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vertAlign w:val="superscript"/>
        </w:rPr>
      </w:pPr>
      <w:bookmarkStart w:colFirst="0" w:colLast="0" w:name="_vuhksz38hqao" w:id="0"/>
      <w:bookmarkEnd w:id="0"/>
      <w:r w:rsidDel="00000000" w:rsidR="00000000" w:rsidRPr="00000000">
        <w:rPr>
          <w:rtl w:val="0"/>
        </w:rPr>
        <w:t xml:space="preserve">The Making of an “Omnivorous Generation”</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u4zvic7ecw3y" w:id="1"/>
      <w:bookmarkEnd w:id="1"/>
      <w:r w:rsidDel="00000000" w:rsidR="00000000" w:rsidRPr="00000000">
        <w:rPr>
          <w:rtl w:val="0"/>
        </w:rPr>
        <w:tab/>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33cjpwxo18gf" w:id="2"/>
      <w:bookmarkEnd w:id="2"/>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xd5c6d7knfy5" w:id="3"/>
      <w:bookmarkEnd w:id="3"/>
      <w:r w:rsidDel="00000000" w:rsidR="00000000" w:rsidRPr="00000000">
        <w:rPr>
          <w:rtl w:val="0"/>
        </w:rPr>
        <w:t xml:space="preserve">Jennifer C. Lena</w:t>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spacing w:line="240" w:lineRule="auto"/>
        <w:rPr>
          <w:i w:val="1"/>
          <w:iCs w:val="1"/>
        </w:rPr>
      </w:pPr>
      <w:bookmarkStart w:colFirst="0" w:colLast="0" w:name="_xd5c6d7knfy5" w:id="3"/>
      <w:bookmarkEnd w:id="3"/>
      <w:r w:rsidDel="00000000" w:rsidR="00000000" w:rsidRPr="00000000">
        <w:rPr>
          <w:i w:val="1"/>
          <w:iCs w:val="1"/>
          <w:rtl w:val="0"/>
        </w:rPr>
        <w:t xml:space="preserve">Columbia University, Teachers College</w:t>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xd5c6d7knfy5" w:id="3"/>
      <w:bookmarkEnd w:id="3"/>
      <w:r w:rsidDel="00000000" w:rsidR="00000000" w:rsidRPr="00000000">
        <w:rPr>
          <w:rtl w:val="0"/>
        </w:rPr>
      </w:r>
    </w:p>
    <w:p w:rsidR="00000000" w:rsidDel="00000000" w:rsidP="00000000" w:rsidRDefault="00000000" w:rsidRPr="00000000" w14:paraId="00000007">
      <w:pPr>
        <w:pStyle w:val="Subtitle"/>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xd5c6d7knfy5" w:id="3"/>
      <w:bookmarkEnd w:id="3"/>
      <w:r w:rsidDel="00000000" w:rsidR="00000000" w:rsidRPr="00000000">
        <w:rPr>
          <w:rtl w:val="0"/>
        </w:rPr>
        <w:t xml:space="preserve">Omar Lizardo</w:t>
      </w:r>
    </w:p>
    <w:p w:rsidR="00000000" w:rsidDel="00000000" w:rsidP="00000000" w:rsidRDefault="00000000" w:rsidRPr="00000000" w14:paraId="00000008">
      <w:pPr>
        <w:pStyle w:val="Subtitle"/>
        <w:pageBreakBefore w:val="0"/>
        <w:pBdr>
          <w:top w:space="0" w:sz="0" w:val="nil"/>
          <w:left w:space="0" w:sz="0" w:val="nil"/>
          <w:bottom w:space="0" w:sz="0" w:val="nil"/>
          <w:right w:space="0" w:sz="0" w:val="nil"/>
          <w:between w:space="0" w:sz="0" w:val="nil"/>
        </w:pBdr>
        <w:shd w:fill="auto" w:val="clear"/>
        <w:spacing w:line="240" w:lineRule="auto"/>
        <w:rPr>
          <w:i w:val="1"/>
          <w:iCs w:val="1"/>
        </w:rPr>
      </w:pPr>
      <w:bookmarkStart w:colFirst="0" w:colLast="0" w:name="_xd5c6d7knfy5" w:id="3"/>
      <w:bookmarkEnd w:id="3"/>
      <w:r w:rsidDel="00000000" w:rsidR="00000000" w:rsidRPr="00000000">
        <w:rPr>
          <w:i w:val="1"/>
          <w:iCs w:val="1"/>
          <w:rtl w:val="0"/>
        </w:rPr>
        <w:t xml:space="preserve">University of Notre Dame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Keywords: </w:t>
      </w:r>
      <w:r w:rsidDel="00000000" w:rsidR="00000000" w:rsidRPr="00000000">
        <w:rPr>
          <w:rtl w:val="0"/>
        </w:rPr>
        <w:t xml:space="preserve">Omnivorousness, generation, culture, valorization, vernacular, folk, institutions, New Deal, Progressive Era, museums, organizations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Word Count: 12,025 (plus 1,560 in Appendix)</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0F">
      <w:pPr>
        <w:pStyle w:val="Subtitle"/>
        <w:pageBreakBefore w:val="0"/>
        <w:pBdr>
          <w:top w:space="0" w:sz="0" w:val="nil"/>
          <w:left w:space="0" w:sz="0" w:val="nil"/>
          <w:bottom w:space="0" w:sz="0" w:val="nil"/>
          <w:right w:space="0" w:sz="0" w:val="nil"/>
          <w:between w:space="0" w:sz="0" w:val="nil"/>
        </w:pBdr>
        <w:shd w:fill="auto" w:val="clear"/>
        <w:spacing w:line="240" w:lineRule="auto"/>
        <w:rPr>
          <w:color w:val="632423"/>
          <w:sz w:val="24"/>
          <w:szCs w:val="24"/>
        </w:rPr>
      </w:pPr>
      <w:bookmarkStart w:colFirst="0" w:colLast="0" w:name="_jt8m8kilg192" w:id="4"/>
      <w:bookmarkEnd w:id="4"/>
      <w:r w:rsidDel="00000000" w:rsidR="00000000" w:rsidRPr="00000000">
        <w:rPr>
          <w:rtl w:val="0"/>
        </w:rPr>
      </w:r>
    </w:p>
    <w:p w:rsidR="00000000" w:rsidDel="00000000" w:rsidP="00000000" w:rsidRDefault="00000000" w:rsidRPr="00000000" w14:paraId="00000010">
      <w:pPr>
        <w:pStyle w:val="Subtitle"/>
        <w:pageBreakBefore w:val="0"/>
        <w:pBdr>
          <w:top w:space="0" w:sz="0" w:val="nil"/>
          <w:left w:space="0" w:sz="0" w:val="nil"/>
          <w:bottom w:space="0" w:sz="0" w:val="nil"/>
          <w:right w:space="0" w:sz="0" w:val="nil"/>
          <w:between w:space="0" w:sz="0" w:val="nil"/>
        </w:pBdr>
        <w:shd w:fill="auto" w:val="clear"/>
        <w:spacing w:line="240" w:lineRule="auto"/>
        <w:rPr>
          <w:color w:val="632423"/>
          <w:sz w:val="24"/>
          <w:szCs w:val="24"/>
        </w:rPr>
      </w:pPr>
      <w:bookmarkStart w:colFirst="0" w:colLast="0" w:name="_y9nuz1bmcxyr" w:id="5"/>
      <w:bookmarkEnd w:id="5"/>
      <w:r w:rsidDel="00000000" w:rsidR="00000000" w:rsidRPr="00000000">
        <w:rPr>
          <w:rtl w:val="0"/>
        </w:rPr>
      </w:r>
    </w:p>
    <w:p w:rsidR="00000000" w:rsidDel="00000000" w:rsidP="00000000" w:rsidRDefault="00000000" w:rsidRPr="00000000" w14:paraId="00000011">
      <w:pPr>
        <w:pStyle w:val="Subtitle"/>
        <w:pageBreakBefore w:val="0"/>
        <w:pBdr>
          <w:top w:space="0" w:sz="0" w:val="nil"/>
          <w:left w:space="0" w:sz="0" w:val="nil"/>
          <w:bottom w:space="0" w:sz="0" w:val="nil"/>
          <w:right w:space="0" w:sz="0" w:val="nil"/>
          <w:between w:space="0" w:sz="0" w:val="nil"/>
        </w:pBdr>
        <w:shd w:fill="auto" w:val="clear"/>
        <w:spacing w:line="240" w:lineRule="auto"/>
        <w:rPr>
          <w:sz w:val="24"/>
          <w:szCs w:val="24"/>
        </w:rPr>
      </w:pPr>
      <w:bookmarkStart w:colFirst="0" w:colLast="0" w:name="_lfawl7b51a85" w:id="6"/>
      <w:bookmarkEnd w:id="6"/>
      <w:r w:rsidDel="00000000" w:rsidR="00000000" w:rsidRPr="00000000">
        <w:rPr>
          <w:rtl w:val="0"/>
        </w:rPr>
      </w:r>
    </w:p>
    <w:p w:rsidR="00000000" w:rsidDel="00000000" w:rsidP="00000000" w:rsidRDefault="00000000" w:rsidRPr="00000000" w14:paraId="00000012">
      <w:pPr>
        <w:pStyle w:val="Subtitle"/>
        <w:pageBreakBefore w:val="0"/>
        <w:pBdr>
          <w:top w:space="0" w:sz="0" w:val="nil"/>
          <w:left w:space="0" w:sz="0" w:val="nil"/>
          <w:bottom w:space="0" w:sz="0" w:val="nil"/>
          <w:right w:space="0" w:sz="0" w:val="nil"/>
          <w:between w:space="0" w:sz="0" w:val="nil"/>
        </w:pBdr>
        <w:shd w:fill="auto" w:val="clear"/>
        <w:spacing w:line="240" w:lineRule="auto"/>
        <w:rPr>
          <w:sz w:val="24"/>
          <w:szCs w:val="24"/>
        </w:rPr>
      </w:pPr>
      <w:bookmarkStart w:colFirst="0" w:colLast="0" w:name="_eqahhelj8t0t" w:id="7"/>
      <w:bookmarkEnd w:id="7"/>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4">
      <w:pPr>
        <w:pStyle w:val="Subtitle"/>
        <w:pageBreakBefore w:val="0"/>
        <w:pBdr>
          <w:top w:space="0" w:sz="0" w:val="nil"/>
          <w:left w:space="0" w:sz="0" w:val="nil"/>
          <w:bottom w:space="0" w:sz="0" w:val="nil"/>
          <w:right w:space="0" w:sz="0" w:val="nil"/>
          <w:between w:space="0" w:sz="0" w:val="nil"/>
        </w:pBdr>
        <w:shd w:fill="auto" w:val="clear"/>
        <w:spacing w:line="240" w:lineRule="auto"/>
        <w:rPr>
          <w:sz w:val="24"/>
          <w:szCs w:val="24"/>
        </w:rPr>
      </w:pPr>
      <w:bookmarkStart w:colFirst="0" w:colLast="0" w:name="_fh7lspq7sqvz" w:id="8"/>
      <w:bookmarkEnd w:id="8"/>
      <w:r w:rsidDel="00000000" w:rsidR="00000000" w:rsidRPr="00000000">
        <w:rPr>
          <w:rtl w:val="0"/>
        </w:rPr>
      </w:r>
    </w:p>
    <w:p w:rsidR="00000000" w:rsidDel="00000000" w:rsidP="00000000" w:rsidRDefault="00000000" w:rsidRPr="00000000" w14:paraId="00000015">
      <w:pPr>
        <w:pStyle w:val="Subtitle"/>
        <w:pageBreakBefore w:val="0"/>
        <w:pBdr>
          <w:top w:space="0" w:sz="0" w:val="nil"/>
          <w:left w:space="0" w:sz="0" w:val="nil"/>
          <w:bottom w:space="0" w:sz="0" w:val="nil"/>
          <w:right w:space="0" w:sz="0" w:val="nil"/>
          <w:between w:space="0" w:sz="0" w:val="nil"/>
        </w:pBdr>
        <w:shd w:fill="auto" w:val="clear"/>
        <w:spacing w:line="240" w:lineRule="auto"/>
        <w:rPr>
          <w:sz w:val="24"/>
          <w:szCs w:val="24"/>
        </w:rPr>
      </w:pPr>
      <w:bookmarkStart w:colFirst="0" w:colLast="0" w:name="_ohri8sn7vfse" w:id="9"/>
      <w:bookmarkEnd w:id="9"/>
      <w:r w:rsidDel="00000000" w:rsidR="00000000" w:rsidRPr="00000000">
        <w:rPr>
          <w:rtl w:val="0"/>
        </w:rPr>
      </w:r>
    </w:p>
    <w:p w:rsidR="00000000" w:rsidDel="00000000" w:rsidP="00000000" w:rsidRDefault="00000000" w:rsidRPr="00000000" w14:paraId="00000016">
      <w:pPr>
        <w:pStyle w:val="Subtitle"/>
        <w:pageBreakBefore w:val="0"/>
        <w:pBdr>
          <w:top w:space="0" w:sz="0" w:val="nil"/>
          <w:left w:space="0" w:sz="0" w:val="nil"/>
          <w:bottom w:space="0" w:sz="0" w:val="nil"/>
          <w:right w:space="0" w:sz="0" w:val="nil"/>
          <w:between w:space="0" w:sz="0" w:val="nil"/>
        </w:pBdr>
        <w:shd w:fill="auto" w:val="clear"/>
        <w:spacing w:line="240" w:lineRule="auto"/>
        <w:rPr>
          <w:sz w:val="24"/>
          <w:szCs w:val="24"/>
        </w:rPr>
      </w:pPr>
      <w:bookmarkStart w:colFirst="0" w:colLast="0" w:name="_aj0mz2nxyy9m" w:id="10"/>
      <w:bookmarkEnd w:id="10"/>
      <w:r w:rsidDel="00000000" w:rsidR="00000000" w:rsidRPr="00000000">
        <w:rPr>
          <w:rtl w:val="0"/>
        </w:rPr>
      </w:r>
    </w:p>
    <w:p w:rsidR="00000000" w:rsidDel="00000000" w:rsidP="00000000" w:rsidRDefault="00000000" w:rsidRPr="00000000" w14:paraId="00000017">
      <w:pPr>
        <w:pStyle w:val="Subtitle"/>
        <w:pageBreakBefore w:val="0"/>
        <w:pBdr>
          <w:top w:space="0" w:sz="0" w:val="nil"/>
          <w:left w:space="0" w:sz="0" w:val="nil"/>
          <w:bottom w:space="0" w:sz="0" w:val="nil"/>
          <w:right w:space="0" w:sz="0" w:val="nil"/>
          <w:between w:space="0" w:sz="0" w:val="nil"/>
        </w:pBdr>
        <w:shd w:fill="auto" w:val="clear"/>
        <w:spacing w:line="240" w:lineRule="auto"/>
        <w:rPr>
          <w:sz w:val="24"/>
          <w:szCs w:val="24"/>
        </w:rPr>
      </w:pPr>
      <w:bookmarkStart w:colFirst="0" w:colLast="0" w:name="_gmc57n8bh684" w:id="11"/>
      <w:bookmarkEnd w:id="11"/>
      <w:r w:rsidDel="00000000" w:rsidR="00000000" w:rsidRPr="00000000">
        <w:rPr>
          <w:rtl w:val="0"/>
        </w:rPr>
      </w:r>
    </w:p>
    <w:p w:rsidR="00000000" w:rsidDel="00000000" w:rsidP="00000000" w:rsidRDefault="00000000" w:rsidRPr="00000000" w14:paraId="00000018">
      <w:pPr>
        <w:pStyle w:val="Subtitle"/>
        <w:pageBreakBefore w:val="0"/>
        <w:pBdr>
          <w:top w:space="0" w:sz="0" w:val="nil"/>
          <w:left w:space="0" w:sz="0" w:val="nil"/>
          <w:bottom w:space="0" w:sz="0" w:val="nil"/>
          <w:right w:space="0" w:sz="0" w:val="nil"/>
          <w:between w:space="0" w:sz="0" w:val="nil"/>
        </w:pBdr>
        <w:shd w:fill="auto" w:val="clear"/>
        <w:spacing w:line="240" w:lineRule="auto"/>
        <w:rPr>
          <w:sz w:val="24"/>
          <w:szCs w:val="24"/>
        </w:rPr>
      </w:pPr>
      <w:bookmarkStart w:colFirst="0" w:colLast="0" w:name="_v4mwc9vpah89" w:id="12"/>
      <w:bookmarkEnd w:id="12"/>
      <w:r w:rsidDel="00000000" w:rsidR="00000000" w:rsidRPr="00000000">
        <w:rPr>
          <w:rtl w:val="0"/>
        </w:rPr>
      </w:r>
    </w:p>
    <w:p w:rsidR="00000000" w:rsidDel="00000000" w:rsidP="00000000" w:rsidRDefault="00000000" w:rsidRPr="00000000" w14:paraId="00000019">
      <w:pPr>
        <w:pStyle w:val="Subtitle"/>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sehrxxb8sf0v" w:id="13"/>
      <w:bookmarkEnd w:id="13"/>
      <w:r w:rsidDel="00000000" w:rsidR="00000000" w:rsidRPr="00000000">
        <w:rPr>
          <w:sz w:val="24"/>
          <w:szCs w:val="24"/>
          <w:rtl w:val="0"/>
        </w:rPr>
        <w:t xml:space="preserve">*</w:t>
      </w:r>
      <w:r w:rsidDel="00000000" w:rsidR="00000000" w:rsidRPr="00000000">
        <w:rPr>
          <w:sz w:val="20"/>
          <w:szCs w:val="20"/>
          <w:rtl w:val="0"/>
        </w:rPr>
        <w:t xml:space="preserve">Earlier versions of this paper were presented at the 2014 Annual Meetings of the American Sociological Association in San Francisco, and at the 2015 Annual Meetings of the American Sociological Association in Chicago. We would like to thank Peter Bearman, Shamus Khan, Adam Reich, Wendy Griswold, and four anonymous reviewers for helpful comments and suggestions. Direct correspondence to Jennifer Lena, 525 West 120th St. Box 78, NYC, NY 10027, Email: </w:t>
      </w:r>
      <w:hyperlink r:id="rId7">
        <w:r w:rsidDel="00000000" w:rsidR="00000000" w:rsidRPr="00000000">
          <w:rPr>
            <w:color w:val="1155cc"/>
            <w:sz w:val="20"/>
            <w:szCs w:val="20"/>
            <w:u w:val="single"/>
            <w:rtl w:val="0"/>
          </w:rPr>
          <w:t xml:space="preserve">jcl42@columbia.edu</w:t>
        </w:r>
      </w:hyperlink>
      <w:r w:rsidDel="00000000" w:rsidR="00000000" w:rsidRPr="00000000">
        <w:rPr>
          <w:sz w:val="20"/>
          <w:szCs w:val="20"/>
          <w:rtl w:val="0"/>
        </w:rPr>
        <w:t xml:space="preserve"> or Omar Lizardo, 810 Flanner Hall Notre Dame, IN 46556, Email: </w:t>
      </w:r>
      <w:hyperlink r:id="rId8">
        <w:r w:rsidDel="00000000" w:rsidR="00000000" w:rsidRPr="00000000">
          <w:rPr>
            <w:color w:val="1155cc"/>
            <w:sz w:val="20"/>
            <w:szCs w:val="20"/>
            <w:u w:val="single"/>
            <w:rtl w:val="0"/>
          </w:rPr>
          <w:t xml:space="preserve">olizardo@nd.edu</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A">
      <w:pPr>
        <w:pStyle w:val="Subtitle"/>
        <w:pageBreakBefore w:val="0"/>
        <w:pBdr>
          <w:top w:space="0" w:sz="0" w:val="nil"/>
          <w:left w:space="0" w:sz="0" w:val="nil"/>
          <w:bottom w:space="0" w:sz="0" w:val="nil"/>
          <w:right w:space="0" w:sz="0" w:val="nil"/>
          <w:between w:space="0" w:sz="0" w:val="nil"/>
        </w:pBdr>
        <w:shd w:fill="auto" w:val="clear"/>
        <w:rPr/>
      </w:pPr>
      <w:bookmarkStart w:colFirst="0" w:colLast="0" w:name="_72olfirkync4" w:id="14"/>
      <w:bookmarkEnd w:id="14"/>
      <w:r w:rsidDel="00000000" w:rsidR="00000000" w:rsidRPr="00000000">
        <w:rPr>
          <w:rtl w:val="0"/>
        </w:rPr>
      </w:r>
    </w:p>
    <w:p w:rsidR="00000000" w:rsidDel="00000000" w:rsidP="00000000" w:rsidRDefault="00000000" w:rsidRPr="00000000" w14:paraId="0000001B">
      <w:pPr>
        <w:pStyle w:val="Subtitle"/>
        <w:pageBreakBefore w:val="0"/>
        <w:pBdr>
          <w:top w:space="0" w:sz="0" w:val="nil"/>
          <w:left w:space="0" w:sz="0" w:val="nil"/>
          <w:bottom w:space="0" w:sz="0" w:val="nil"/>
          <w:right w:space="0" w:sz="0" w:val="nil"/>
          <w:between w:space="0" w:sz="0" w:val="nil"/>
        </w:pBdr>
        <w:shd w:fill="auto" w:val="clear"/>
        <w:rPr/>
      </w:pPr>
      <w:bookmarkStart w:colFirst="0" w:colLast="0" w:name="_96xoucmayizg" w:id="15"/>
      <w:bookmarkEnd w:id="15"/>
      <w:r w:rsidDel="00000000" w:rsidR="00000000" w:rsidRPr="00000000">
        <w:rPr>
          <w:rtl w:val="0"/>
        </w:rPr>
      </w:r>
    </w:p>
    <w:p w:rsidR="00000000" w:rsidDel="00000000" w:rsidP="00000000" w:rsidRDefault="00000000" w:rsidRPr="00000000" w14:paraId="0000001C">
      <w:pPr>
        <w:pStyle w:val="Subtitle"/>
        <w:pageBreakBefore w:val="0"/>
        <w:pBdr>
          <w:top w:space="0" w:sz="0" w:val="nil"/>
          <w:left w:space="0" w:sz="0" w:val="nil"/>
          <w:bottom w:space="0" w:sz="0" w:val="nil"/>
          <w:right w:space="0" w:sz="0" w:val="nil"/>
          <w:between w:space="0" w:sz="0" w:val="nil"/>
        </w:pBdr>
        <w:shd w:fill="auto" w:val="clear"/>
        <w:rPr/>
      </w:pPr>
      <w:bookmarkStart w:colFirst="0" w:colLast="0" w:name="_c1clts69v1nd" w:id="16"/>
      <w:bookmarkEnd w:id="16"/>
      <w:r w:rsidDel="00000000" w:rsidR="00000000" w:rsidRPr="00000000">
        <w:rPr>
          <w:rtl w:val="0"/>
        </w:rPr>
      </w:r>
    </w:p>
    <w:p w:rsidR="00000000" w:rsidDel="00000000" w:rsidP="00000000" w:rsidRDefault="00000000" w:rsidRPr="00000000" w14:paraId="0000001D">
      <w:pPr>
        <w:pStyle w:val="Subtitle"/>
        <w:pageBreakBefore w:val="0"/>
        <w:pBdr>
          <w:top w:space="0" w:sz="0" w:val="nil"/>
          <w:left w:space="0" w:sz="0" w:val="nil"/>
          <w:bottom w:space="0" w:sz="0" w:val="nil"/>
          <w:right w:space="0" w:sz="0" w:val="nil"/>
          <w:between w:space="0" w:sz="0" w:val="nil"/>
        </w:pBdr>
        <w:shd w:fill="auto" w:val="clear"/>
        <w:rPr/>
      </w:pPr>
      <w:bookmarkStart w:colFirst="0" w:colLast="0" w:name="_l4fucbxq2l4b" w:id="17"/>
      <w:bookmarkEnd w:id="17"/>
      <w:r w:rsidDel="00000000" w:rsidR="00000000" w:rsidRPr="00000000">
        <w:rPr>
          <w:rtl w:val="0"/>
        </w:rPr>
      </w:r>
    </w:p>
    <w:p w:rsidR="00000000" w:rsidDel="00000000" w:rsidP="00000000" w:rsidRDefault="00000000" w:rsidRPr="00000000" w14:paraId="0000001E">
      <w:pPr>
        <w:pStyle w:val="Subtitle"/>
        <w:pageBreakBefore w:val="0"/>
        <w:pBdr>
          <w:top w:space="0" w:sz="0" w:val="nil"/>
          <w:left w:space="0" w:sz="0" w:val="nil"/>
          <w:bottom w:space="0" w:sz="0" w:val="nil"/>
          <w:right w:space="0" w:sz="0" w:val="nil"/>
          <w:between w:space="0" w:sz="0" w:val="nil"/>
        </w:pBdr>
        <w:shd w:fill="auto" w:val="clear"/>
        <w:rPr/>
      </w:pPr>
      <w:bookmarkStart w:colFirst="0" w:colLast="0" w:name="_408ln5xopjaw" w:id="18"/>
      <w:bookmarkEnd w:id="18"/>
      <w:r w:rsidDel="00000000" w:rsidR="00000000" w:rsidRPr="00000000">
        <w:rPr>
          <w:rtl w:val="0"/>
        </w:rPr>
      </w:r>
    </w:p>
    <w:p w:rsidR="00000000" w:rsidDel="00000000" w:rsidP="00000000" w:rsidRDefault="00000000" w:rsidRPr="00000000" w14:paraId="0000001F">
      <w:pPr>
        <w:pStyle w:val="Subtitle"/>
        <w:pageBreakBefore w:val="0"/>
        <w:pBdr>
          <w:top w:space="0" w:sz="0" w:val="nil"/>
          <w:left w:space="0" w:sz="0" w:val="nil"/>
          <w:bottom w:space="0" w:sz="0" w:val="nil"/>
          <w:right w:space="0" w:sz="0" w:val="nil"/>
          <w:between w:space="0" w:sz="0" w:val="nil"/>
        </w:pBdr>
        <w:shd w:fill="auto" w:val="clear"/>
        <w:rPr/>
      </w:pPr>
      <w:bookmarkStart w:colFirst="0" w:colLast="0" w:name="_1xnhvap62qw4" w:id="19"/>
      <w:bookmarkEnd w:id="19"/>
      <w:r w:rsidDel="00000000" w:rsidR="00000000" w:rsidRPr="00000000">
        <w:rPr>
          <w:rtl w:val="0"/>
        </w:rPr>
        <w:t xml:space="preserve">Abstract</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We</w:t>
      </w:r>
      <w:r w:rsidDel="00000000" w:rsidR="00000000" w:rsidRPr="00000000">
        <w:rPr>
          <w:rtl w:val="0"/>
        </w:rPr>
        <w:t xml:space="preserve"> begin by confirming and advancing preliminary research indicating period-specific effects in Americans’ cultural omnivorousness. We use data from the Survey for Public Participation in the Arts to examine arts participation. Our analysis uncovers a distinct “omnivorous generation” born in the post-Progressive Era. Mirroring </w:t>
      </w:r>
      <w:r w:rsidDel="00000000" w:rsidR="00000000" w:rsidRPr="00000000">
        <w:rPr>
          <w:rtl w:val="0"/>
        </w:rPr>
        <w:t xml:space="preserve">prior analyses of the features of status-defining tastes which have linked transformations in tastes to those in arts organizations and institutions, we</w:t>
      </w:r>
      <w:r w:rsidDel="00000000" w:rsidR="00000000" w:rsidRPr="00000000">
        <w:rPr>
          <w:rtl w:val="0"/>
        </w:rPr>
        <w:t xml:space="preserve"> find one powerful potential explanation in the New Deal era art works programs.</w:t>
      </w:r>
      <w:r w:rsidDel="00000000" w:rsidR="00000000" w:rsidRPr="00000000">
        <w:rPr>
          <w:b w:val="1"/>
          <w:bCs w:val="1"/>
          <w:rtl w:val="0"/>
        </w:rPr>
        <w:t xml:space="preserve"> </w:t>
      </w:r>
      <w:r w:rsidDel="00000000" w:rsidR="00000000" w:rsidRPr="00000000">
        <w:rPr>
          <w:rtl w:val="0"/>
        </w:rPr>
        <w:t xml:space="preserve">Our historical analysis reveals that institutional entrepreneurship by government arts administrators increased the diversity of art on offer to this generation and promoted its artistic legitimation. We argue that the “historicality” embedded in cohorts is a key driver of contemporaneous patterns of cultural choice, generating durable dispositions toward cultural participation among members of this generation that are still evident today.</w:t>
      </w:r>
      <w:r w:rsidDel="00000000" w:rsidR="00000000" w:rsidRPr="00000000">
        <w:rPr>
          <w:i w:val="1"/>
          <w:i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q9jord8ckic5" w:id="20"/>
      <w:bookmarkEnd w:id="20"/>
      <w:r w:rsidDel="00000000" w:rsidR="00000000" w:rsidRPr="00000000">
        <w:rPr>
          <w:rtl w:val="0"/>
        </w:rPr>
        <w:t xml:space="preserve">1.0 Introduction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fundamental premise of classic work linking the production and consumption of culture is that historical changes in the institutional organization of artistic production, dissemination, and classification are linked to the “making” of distinct culture consuming publics (Bourdieu 1993; DiMaggio 1982; Levine 1988; Weber 1977). In spite of this foundational emphasis on between-domain linkages, recent work in cultural sociology has been characterized by an increasing segregation of research on production and consumption dynamics. On the production side, we have sophisticated studies of the emergence, consolidation, and transformation of production systems and associated cultural classification regimes for cultural goods (Baumann 2001; Allen and Lincoln 2004; Ferguson 1998; Johnston and Baumann 2007; Lena 2012; </w:t>
      </w:r>
      <w:r w:rsidDel="00000000" w:rsidR="00000000" w:rsidRPr="00000000">
        <w:rPr>
          <w:rtl w:val="0"/>
        </w:rPr>
        <w:t xml:space="preserve">Rossman 2012</w:t>
      </w:r>
      <w:r w:rsidDel="00000000" w:rsidR="00000000" w:rsidRPr="00000000">
        <w:rPr>
          <w:rtl w:val="0"/>
        </w:rPr>
        <w:t xml:space="preserve">). On the consumption side, attention has centered on putative </w:t>
      </w:r>
      <w:r w:rsidDel="00000000" w:rsidR="00000000" w:rsidRPr="00000000">
        <w:rPr>
          <w:rtl w:val="0"/>
        </w:rPr>
        <w:t xml:space="preserve">transformations of elite consumption patterns summarized by the notion of “omnivorousness” (Peterson 2005)</w:t>
      </w:r>
      <w:r w:rsidDel="00000000" w:rsidR="00000000" w:rsidRPr="00000000">
        <w:rPr>
          <w:rtl w:val="0"/>
        </w:rPr>
        <w:t xml:space="preserve">. This refers to the now well-established propensity on the part of contemporary elites to express a variety of cultural preferences and activities either within a single domain such as music or television (Lizardo and Skiles 2009; García-Álvarez, Katz-Gerro, and López-Sintas 2007) or, as in the analysis that follows, across the arts broadly defined (López-Sintas and Katz-Gerro 2005; DiMaggio and Mukhtar 2004).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If the major drawback of production-oriented studies is that they tend to leave implicit the consequences of production-side dynamics for patterns of cultural choice, a key weakness of consumption-oriented studies is that they tend to neglect the generative mechanisms for the genesis and maintenance of cultural tastes (Lizardo and Skiles 2012). As a result, there has been a relative lack of attention to the macro/micro linkage between institutional context and culture consumption patterns. In particular, work on the production of culture, save for some signal exceptions (e.g. Mears 2011; Lena 2012; Ocejo 2014), has lacked systematic examination to how the making of taste publics (Gans 1999) is contingent on processes embedded in configurations of institutional and organizational practices, themselves the product of specific historical trajectories. More specifically, there has been a relative dearth of work empirically examining how differences in patterns of artistic engagement may be reflective of the “</w:t>
      </w:r>
      <w:r w:rsidDel="00000000" w:rsidR="00000000" w:rsidRPr="00000000">
        <w:rPr>
          <w:rtl w:val="0"/>
        </w:rPr>
        <w:t xml:space="preserve">historicality</w:t>
      </w:r>
      <w:r w:rsidDel="00000000" w:rsidR="00000000" w:rsidRPr="00000000">
        <w:rPr>
          <w:rtl w:val="0"/>
        </w:rPr>
        <w:t xml:space="preserve">” encoded in individuals as a result of their distinct generational experiences (Abbott 2016). From this perspective, the differential distribution of culture consumption propensities at any given time may be the result of “institutional legacy” effects linking contemporaneous differentiation in cultural engagement to historical factors operative at previous point in time (Fishman and Lizardo 2013).</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0" w:lineRule="auto"/>
        <w:rPr>
          <w:color w:val="632423"/>
          <w:sz w:val="32"/>
          <w:szCs w:val="32"/>
        </w:rPr>
      </w:pPr>
      <w:r w:rsidDel="00000000" w:rsidR="00000000" w:rsidRPr="00000000">
        <w:rPr>
          <w:rtl w:val="0"/>
        </w:rPr>
        <w:t xml:space="preserve">In this paper, we synthesize variegated lines of work pointing to linkages between production and consumption domains and institutional legacies embedded in unique cohort experiences (Abbott 2016; </w:t>
      </w:r>
      <w:r w:rsidDel="00000000" w:rsidR="00000000" w:rsidRPr="00000000">
        <w:rPr>
          <w:rtl w:val="0"/>
        </w:rPr>
        <w:t xml:space="preserve">Greve and Rao 2014</w:t>
      </w:r>
      <w:r w:rsidDel="00000000" w:rsidR="00000000" w:rsidRPr="00000000">
        <w:rPr>
          <w:rtl w:val="0"/>
        </w:rPr>
        <w:t xml:space="preserve">; Fishman and Lizardo 2013). Our argument is that historically durable dispositions towards “omnivorous” forms of arts consumption emerged for persons who experienced significant expansions in the availability, accessibility, and institutional valorization of categories of cultural goods (</w:t>
      </w:r>
      <w:r w:rsidDel="00000000" w:rsidR="00000000" w:rsidRPr="00000000">
        <w:rPr>
          <w:rtl w:val="0"/>
        </w:rPr>
        <w:t xml:space="preserve">DiMaggio </w:t>
      </w:r>
      <w:r w:rsidDel="00000000" w:rsidR="00000000" w:rsidRPr="00000000">
        <w:rPr>
          <w:rtl w:val="0"/>
        </w:rPr>
        <w:t xml:space="preserve">2000). We demonstrate that there exists an empirically specifiable generational effect on the breadth of involvement in particular arts activities for specific groups of Americans. This is a contemporary behavioral pattern that can be traced to significant (e.g. “coming of age”) experiences, namely, institutional entrepreneurship within and around arts organizations during the New Deal, itself spurred by then unprecedented levels of public investment in American art. Our analysis thus provides a sustained empirical demonstration of the historically mediated effect of organizational</w:t>
      </w:r>
      <w:r w:rsidDel="00000000" w:rsidR="00000000" w:rsidRPr="00000000">
        <w:rPr>
          <w:rtl w:val="0"/>
        </w:rPr>
        <w:t xml:space="preserve"> practices</w:t>
      </w:r>
      <w:r w:rsidDel="00000000" w:rsidR="00000000" w:rsidRPr="00000000">
        <w:rPr>
          <w:rtl w:val="0"/>
        </w:rPr>
        <w:t xml:space="preserve"> and institutional legacies on patterns of cultural choice over time. </w:t>
      </w:r>
      <w:r w:rsidDel="00000000" w:rsidR="00000000" w:rsidRPr="00000000">
        <w:rPr>
          <w:rtl w:val="0"/>
        </w:rPr>
      </w:r>
    </w:p>
    <w:p w:rsidR="00000000" w:rsidDel="00000000" w:rsidP="00000000" w:rsidRDefault="00000000" w:rsidRPr="00000000" w14:paraId="00000025">
      <w:pPr>
        <w:pStyle w:val="Heading2"/>
        <w:pageBreakBefore w:val="0"/>
        <w:pBdr>
          <w:top w:space="0" w:sz="0" w:val="nil"/>
          <w:left w:space="0" w:sz="0" w:val="nil"/>
          <w:bottom w:space="0" w:sz="0" w:val="nil"/>
          <w:right w:space="0" w:sz="0" w:val="nil"/>
          <w:between w:space="0" w:sz="0" w:val="nil"/>
        </w:pBdr>
        <w:shd w:fill="auto" w:val="clear"/>
        <w:jc w:val="both"/>
        <w:rPr>
          <w:sz w:val="26"/>
          <w:szCs w:val="26"/>
        </w:rPr>
      </w:pPr>
      <w:bookmarkStart w:colFirst="0" w:colLast="0" w:name="_b7ulvax2gsl6" w:id="21"/>
      <w:bookmarkEnd w:id="21"/>
      <w:r w:rsidDel="00000000" w:rsidR="00000000" w:rsidRPr="00000000">
        <w:rPr>
          <w:sz w:val="26"/>
          <w:szCs w:val="26"/>
          <w:rtl w:val="0"/>
        </w:rPr>
        <w:t xml:space="preserve">1.1 Cultural </w:t>
      </w:r>
      <w:r w:rsidDel="00000000" w:rsidR="00000000" w:rsidRPr="00000000">
        <w:rPr>
          <w:sz w:val="26"/>
          <w:szCs w:val="26"/>
          <w:rtl w:val="0"/>
        </w:rPr>
        <w:t xml:space="preserve">Omnivorousness</w:t>
      </w:r>
      <w:r w:rsidDel="00000000" w:rsidR="00000000" w:rsidRPr="00000000">
        <w:rPr>
          <w:sz w:val="26"/>
          <w:szCs w:val="26"/>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American cultural omnivore was introduced in Peterson and Simkus’s (1992) analysis of elites’ musical preferences, although earlier studies suggested it would be found (</w:t>
      </w:r>
      <w:r w:rsidDel="00000000" w:rsidR="00000000" w:rsidRPr="00000000">
        <w:rPr>
          <w:i w:val="1"/>
          <w:iCs w:val="1"/>
          <w:rtl w:val="0"/>
        </w:rPr>
        <w:t xml:space="preserve">cf.</w:t>
      </w:r>
      <w:r w:rsidDel="00000000" w:rsidR="00000000" w:rsidRPr="00000000">
        <w:rPr>
          <w:rtl w:val="0"/>
        </w:rPr>
        <w:t xml:space="preserve"> Lynes 1954; Shils 1958; Wilensky 1964). The initial series of studies predominantly relied upon the SPPA’s data on cultural participation and taste, demonstrating a particular interest in music as a site of taste discrimination. Peterson and Simkus (1992) concluded that only a small minority of college-educated elite Americans remained committed to univorous tastes for “highbrow” culture (e.g., classical music and opera), and a growing majority enjoyed popular musical entertainment. They argued that “highbrow snobbery” had been replaced by “highbrow omnivorousness.”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Studies of cultural omnivorousness now comprise a vast, international, and wide-ranging literature featuring various definitions, conceptualizations, and operationalizations of the construct (for reviews, see Peterson 2005; Ollivier 2008; Robette and Roueff 2014).</w:t>
      </w:r>
      <w:r w:rsidDel="00000000" w:rsidR="00000000" w:rsidRPr="00000000">
        <w:rPr>
          <w:vertAlign w:val="superscript"/>
        </w:rPr>
        <w:footnoteReference w:customMarkFollows="0" w:id="0"/>
      </w:r>
      <w:r w:rsidDel="00000000" w:rsidR="00000000" w:rsidRPr="00000000">
        <w:rPr>
          <w:rtl w:val="0"/>
        </w:rPr>
        <w:t xml:space="preserve"> What all the definitions have in common is that omnivorousness is meant to capture the breadth of involvement of an individual in a given domain of cultural engagement (e.g., music, television, comedy) or the arts broadly defined.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 different approaches to conceptualizing omnivorousness can be sorted along two dimensions: First, there is the distinction between measures of omnivorousness as concerned with taste judgments (e.g. of like or dislike) or more behavioral measures of cultural participation. Second, there is the issue as to whether omnivorousness is best thought of as breadth of engagement within a domain or as boundary crossing (across genres, domains, or hierarchies like “highbrow” and “popular”). As described by Ollivier (2008: 122</w:t>
      </w:r>
      <w:r w:rsidDel="00000000" w:rsidR="00000000" w:rsidRPr="00000000">
        <w:rPr>
          <w:i w:val="1"/>
          <w:iCs w:val="1"/>
          <w:rtl w:val="0"/>
        </w:rPr>
        <w:t xml:space="preserve">ff</w:t>
      </w:r>
      <w:r w:rsidDel="00000000" w:rsidR="00000000" w:rsidRPr="00000000">
        <w:rPr>
          <w:rtl w:val="0"/>
        </w:rPr>
        <w:t xml:space="preserve">), these dimensions define a possible space of conceptualizations of the omnivorousness construct. Rather than arguing about which conceptualization or measurement strategy is best, we follow a more pragmatic route. Our own approach follows López-Sintas and Katz-Gerro (2005) in investigating the phenomenon with respect to a range of activities that have received cultural legitimation and institutional supports as “the arts.” Thus, our conception of omnivorousness is both domain-specific (although allowing for quite a range of variation across forms), and </w:t>
      </w:r>
      <w:r w:rsidDel="00000000" w:rsidR="00000000" w:rsidRPr="00000000">
        <w:rPr>
          <w:rtl w:val="0"/>
        </w:rPr>
        <w:t xml:space="preserve">focuses on patterns</w:t>
      </w:r>
      <w:r w:rsidDel="00000000" w:rsidR="00000000" w:rsidRPr="00000000">
        <w:rPr>
          <w:rtl w:val="0"/>
        </w:rPr>
        <w:t xml:space="preserve"> of consumption behavior.</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begin by empirically considering whether Americans’ cultural omnivorousness, centered around patterns of participation in a wide range of cultural forms related to the arts, exhibit cohort-specific effects. This possibility was raised in López-Sintas and Katz-Gerro’s (2005) study of behavioral indicators of the omnivorous disposition, taken from three waves (1982, 1992, 2002) of the Survey of Public Participation in the Arts (SPPA).  López-Sintas and Katz-Gerro (2005) note that, rather than observing an unilinear trend in which less omnivorous cohorts are replaced by more omnivorous ones, the “omnivorousness trend developed unevenly over the 20 years” and is characterized by period-specific effects. This reflects the null relationship between cohort and omnivorousness uncovered by Garcia-Alvarez, Katz-Gerro and López-Sintas (2007: 433). </w:t>
      </w:r>
    </w:p>
    <w:p w:rsidR="00000000" w:rsidDel="00000000" w:rsidP="00000000" w:rsidRDefault="00000000" w:rsidRPr="00000000" w14:paraId="0000002A">
      <w:pPr>
        <w:pStyle w:val="Heading2"/>
        <w:pageBreakBefore w:val="0"/>
        <w:pBdr>
          <w:top w:space="0" w:sz="0" w:val="nil"/>
          <w:left w:space="0" w:sz="0" w:val="nil"/>
          <w:bottom w:space="0" w:sz="0" w:val="nil"/>
          <w:right w:space="0" w:sz="0" w:val="nil"/>
          <w:between w:space="0" w:sz="0" w:val="nil"/>
        </w:pBdr>
        <w:shd w:fill="auto" w:val="clear"/>
        <w:jc w:val="both"/>
        <w:rPr>
          <w:sz w:val="26"/>
          <w:szCs w:val="26"/>
        </w:rPr>
      </w:pPr>
      <w:bookmarkStart w:colFirst="0" w:colLast="0" w:name="_z6urqondgh" w:id="22"/>
      <w:bookmarkEnd w:id="22"/>
      <w:r w:rsidDel="00000000" w:rsidR="00000000" w:rsidRPr="00000000">
        <w:rPr>
          <w:sz w:val="26"/>
          <w:szCs w:val="26"/>
          <w:rtl w:val="0"/>
        </w:rPr>
        <w:t xml:space="preserve">1.2 Data and Methods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in previous work (e.g. DiMaggio and Mukhtar 2004; López-Sintas and Katz-Gerro 2005), we rely on the cumulative data file containing six waves of the the Survey of Public Participation in the Arts (SPPA), covering 30 years (1982-2012).</w:t>
      </w:r>
      <w:r w:rsidDel="00000000" w:rsidR="00000000" w:rsidRPr="00000000">
        <w:rPr>
          <w:vertAlign w:val="superscript"/>
        </w:rPr>
        <w:footnoteReference w:customMarkFollows="0" w:id="1"/>
      </w:r>
      <w:r w:rsidDel="00000000" w:rsidR="00000000" w:rsidRPr="00000000">
        <w:rPr>
          <w:rtl w:val="0"/>
        </w:rPr>
        <w:t xml:space="preserve"> The SPPA is sponsored by the Research Division of the National Endowment for the Arts (</w:t>
      </w:r>
      <w:hyperlink r:id="rId9">
        <w:r w:rsidDel="00000000" w:rsidR="00000000" w:rsidRPr="00000000">
          <w:rPr>
            <w:color w:val="1155cc"/>
            <w:u w:val="single"/>
            <w:rtl w:val="0"/>
          </w:rPr>
          <w:t xml:space="preserve">http://www.nea.gov</w:t>
        </w:r>
      </w:hyperlink>
      <w:r w:rsidDel="00000000" w:rsidR="00000000" w:rsidRPr="00000000">
        <w:rPr>
          <w:rtl w:val="0"/>
        </w:rPr>
        <w:t xml:space="preserve">), and is designed to capture Americans' participation in the performing, visual, and literary arts; it constitutes the largest recurring cross-sectional survey of adult arts participation in the U.S.  The 1982, 1985, and 1992 surveys were conducted by the Bureau of the Census as a supplement to the National Crime Survey (NCS). The 1997 survey was conducted by Westat, a private contractor using a different sampling scheme, so it was not included as part of the cumulative data file. The 2002, 2008, and 2012 surveys were conducted by the Bureau of Labor Statistics as a supplement to the Current Population Survey. The SPPA 1982-2008 cumulative file was produced to facilitate trend analysis such as the one that we report here.</w:t>
      </w:r>
      <w:r w:rsidDel="00000000" w:rsidR="00000000" w:rsidRPr="00000000">
        <w:rPr>
          <w:vertAlign w:val="superscript"/>
        </w:rPr>
        <w:footnoteReference w:customMarkFollows="0" w:id="2"/>
      </w:r>
      <w:r w:rsidDel="00000000" w:rsidR="00000000" w:rsidRPr="00000000">
        <w:rPr>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SPPA is appropriate for our purpose for several reasons. First, these data have been used to establish a good portion of the research on omnivorousness in the U.S.; in order to advance research in this tradition we utilize the same data source. In keeping with current trends in the field, our operationalization makes use of all the key cultural consumption items in the SPPA, and captures breadth and intensity of engagement. While these eight items reflect only a portion of the cultural activities enjoyed by Americans (of any birth cohort), the SPPA constitutes the largest recurring cross-sectional survey of adults arts participation in the U.S., and is thus the most likely to contain traces of continuity and differentiation in the long historical experience encoded in cohorts, information that is critical to our argument.</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data include genres with stable canons that enjoy generations of fans (classical, ballet, opera) and those which enjoyed recent artistic legitimation efforts (jazz, musicals, craft fairs and festivals). That is these activities can be differentiated by levels of prestige and length of time at which they have been institutionalized as “serious art” (e.g. by being included in university curricula or by drawing revenue outside of commercial establishments): “with classical music, museum art, opera, and ballet at the top, followed by...jazz and musical theatre, and finally art...craft fairs” and finally historical sites “institutionally orthogonal but aimed at a broad audience” (DiMaggio and Mukhtar 2004: 175). The process of artistic legitimation, which takes place when elites use their familiarity with, and training in, artistic classification to appropriate new works into legitimate categories, is one outcome of omnivorousness (Bourdieu 1987, 1993, 1996).</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remain in dialogue with this body of research we did not go in search of data on “Americans’ cultural tastes,” broadly conceived, rather, we required data that captured participation in those cultural forms that benefited from aesthetic legitimation processes in the 20th century. The SPPA is ideal for these purposes. Any discovery of the enabling effect of cohort membership on engagement across these activities would provide strong evidence for generational effects on omnivorousness.</w:t>
      </w:r>
    </w:p>
    <w:p w:rsidR="00000000" w:rsidDel="00000000" w:rsidP="00000000" w:rsidRDefault="00000000" w:rsidRPr="00000000" w14:paraId="0000002F">
      <w:pPr>
        <w:pStyle w:val="Heading2"/>
        <w:pageBreakBefore w:val="0"/>
        <w:pBdr>
          <w:top w:space="0" w:sz="0" w:val="nil"/>
          <w:left w:space="0" w:sz="0" w:val="nil"/>
          <w:bottom w:space="0" w:sz="0" w:val="nil"/>
          <w:right w:space="0" w:sz="0" w:val="nil"/>
          <w:between w:space="0" w:sz="0" w:val="nil"/>
        </w:pBdr>
        <w:shd w:fill="auto" w:val="clear"/>
        <w:jc w:val="both"/>
        <w:rPr>
          <w:sz w:val="26"/>
          <w:szCs w:val="26"/>
        </w:rPr>
      </w:pPr>
      <w:bookmarkStart w:colFirst="0" w:colLast="0" w:name="_r16b2l4yxy8t" w:id="23"/>
      <w:bookmarkEnd w:id="23"/>
      <w:r w:rsidDel="00000000" w:rsidR="00000000" w:rsidRPr="00000000">
        <w:rPr>
          <w:sz w:val="26"/>
          <w:szCs w:val="26"/>
          <w:rtl w:val="0"/>
        </w:rPr>
        <w:t xml:space="preserve">1.3 Generations and Taste Publics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generations, as classically defined by Mannheim (1952), refers to age cohorts that experience the same major events in their lives and subsequently develop similar dispositions and worldviews (Ryder 1965). Mannheim’s generational thesis has been applied to empirical material mainly in the study of collective memory (e.g. Schuman and Scott 1989), and knowledge of important public events (e.g. Schuman and Corning 2000). We argue that this theoretical lens can be used to identify </w:t>
      </w:r>
      <w:r w:rsidDel="00000000" w:rsidR="00000000" w:rsidRPr="00000000">
        <w:rPr>
          <w:i w:val="1"/>
          <w:iCs w:val="1"/>
          <w:rtl w:val="0"/>
        </w:rPr>
        <w:t xml:space="preserve">culture consumption generations</w:t>
      </w:r>
      <w:r w:rsidDel="00000000" w:rsidR="00000000" w:rsidRPr="00000000">
        <w:rPr>
          <w:rtl w:val="0"/>
        </w:rPr>
        <w:t xml:space="preserve"> whose dispositions are shaped by historically located organizational features and institutional processes.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heed recent calls for cultural sociologists to move beyond an emphasis on contemporaneous socio-demographic effects on patterns of cultural choice and towards a more concerted consideration of </w:t>
      </w:r>
      <w:r w:rsidDel="00000000" w:rsidR="00000000" w:rsidRPr="00000000">
        <w:rPr>
          <w:i w:val="1"/>
          <w:iCs w:val="1"/>
          <w:rtl w:val="0"/>
        </w:rPr>
        <w:t xml:space="preserve">temporality</w:t>
      </w:r>
      <w:r w:rsidDel="00000000" w:rsidR="00000000" w:rsidRPr="00000000">
        <w:rPr>
          <w:rtl w:val="0"/>
        </w:rPr>
        <w:t xml:space="preserve"> at both the individual and macrosocial levels. The increasing availability of data on repeated cross-sections of culture consumers has opened up this analytic potential, especially when it comes to the “omnivore thesis”  (Reeves 2015: 116-117;  López-Sintas and Katz-Gerro 2005). We see an opportunity to conjoin this line of work with recent calls to consider the “historicality” encoded in groups via their dispositions as a powerful historical force, thereby linking the institutional past with the behavioral present (Abbott 2016: 10; Greve and Rao 2014; Fishman and Lizardo 2013). Investigation of the features of omnivorous cultural consumption may serve as an ideal testbed for this process, as periods of intensive investment in the arts are often accompanied by the legitimation of novel aesthetic objects; persons who came of age during these periods may “carry over” such dispositions to their engagement with art over time.</w:t>
      </w:r>
    </w:p>
    <w:p w:rsidR="00000000" w:rsidDel="00000000" w:rsidP="00000000" w:rsidRDefault="00000000" w:rsidRPr="00000000" w14:paraId="00000032">
      <w:pPr>
        <w:pStyle w:val="Heading2"/>
        <w:pageBreakBefore w:val="0"/>
        <w:pBdr>
          <w:top w:space="0" w:sz="0" w:val="nil"/>
          <w:left w:space="0" w:sz="0" w:val="nil"/>
          <w:bottom w:space="0" w:sz="0" w:val="nil"/>
          <w:right w:space="0" w:sz="0" w:val="nil"/>
          <w:between w:space="0" w:sz="0" w:val="nil"/>
        </w:pBdr>
        <w:shd w:fill="auto" w:val="clear"/>
        <w:jc w:val="both"/>
        <w:rPr>
          <w:sz w:val="26"/>
          <w:szCs w:val="26"/>
        </w:rPr>
      </w:pPr>
      <w:bookmarkStart w:colFirst="0" w:colLast="0" w:name="_frqpym1qkqyq" w:id="24"/>
      <w:bookmarkEnd w:id="24"/>
      <w:r w:rsidDel="00000000" w:rsidR="00000000" w:rsidRPr="00000000">
        <w:rPr>
          <w:sz w:val="26"/>
          <w:szCs w:val="26"/>
          <w:rtl w:val="0"/>
        </w:rPr>
        <w:t xml:space="preserve">1.4 Outcome: Arts Participation in “Core Activities”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goal is to ascertain the possible existence of generational (cohort) effects in engagement with the arts; given the existence of these effects, our goal is to identify their pattern. The SPPA tracks arts participation by, among other things, asking respondents about whether they have engaged in a series of activities during the last 12 months. Consistent with previous work (e.g. DiMaggio and Mukhtar 2004; López-Sintas and Katz-Gerro 2005), we focus on the SPPA’s ‘‘core’’ items: questions about attendance at classical music concerts, jazz performances, opera, musical theatre, ballet, visual art exhibits at museums or galleries, arts and craft fairs, and historic sites. Respondents choose either “yes” or “no,” with residual codes for “don’t know” and “refused.”  We analyze the same data source and behavioral indicators of engagement as López-Sintas and Katz-Gerro (2005), but augment the cumulative data set with the two most recent survey waves (2008 and 2012), while relying on a technique explicitly developed to tease out cohort from period and age effects in substantively meaningful ways (Yang and Land 2006, 2008; Reeves 2015). Until recently, scholars lacked both data and means to adjudicate between cohort and generational effects on outcomes like taste omnivorousness, and this article takes advantage of advances in both domains.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1 shows the percentage of respondents who reported having attended each activity for all six survey waves. The table also reports the number of respondents for whom we have non-missing data on each item in each year. We fit logistic regression models to each separately.</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[Table 1 About Here]</w:t>
      </w:r>
    </w:p>
    <w:p w:rsidR="00000000" w:rsidDel="00000000" w:rsidP="00000000" w:rsidRDefault="00000000" w:rsidRPr="00000000" w14:paraId="00000037">
      <w:pPr>
        <w:pStyle w:val="Heading2"/>
        <w:pageBreakBefore w:val="0"/>
        <w:pBdr>
          <w:top w:space="0" w:sz="0" w:val="nil"/>
          <w:left w:space="0" w:sz="0" w:val="nil"/>
          <w:bottom w:space="0" w:sz="0" w:val="nil"/>
          <w:right w:space="0" w:sz="0" w:val="nil"/>
          <w:between w:space="0" w:sz="0" w:val="nil"/>
        </w:pBdr>
        <w:shd w:fill="auto" w:val="clear"/>
        <w:jc w:val="both"/>
        <w:rPr>
          <w:sz w:val="26"/>
          <w:szCs w:val="26"/>
        </w:rPr>
      </w:pPr>
      <w:bookmarkStart w:colFirst="0" w:colLast="0" w:name="_yggxf1qhfyp" w:id="25"/>
      <w:bookmarkEnd w:id="25"/>
      <w:r w:rsidDel="00000000" w:rsidR="00000000" w:rsidRPr="00000000">
        <w:rPr>
          <w:sz w:val="26"/>
          <w:szCs w:val="26"/>
          <w:rtl w:val="0"/>
        </w:rPr>
        <w:t xml:space="preserve">1.5 Uncovering Cohort Effects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Though simple conceptually, the estimation of cohort (generational) effects is not a straightforward exercise. The issue is the identification problem posed by the deterministic relationship between age, period, and cohort, as any one of the three factors is a linear combination of the other two (e.g., period = cohort + age; cohort = period - age; age = period - cohort); these three pieces of information are really only two pieces of information. This makes it impossible to separate the three effects in an unambiguous way within the context of a regression model. There are no magical solutions to this problem and no assumption-free ways of solving it. Yang and Land (2006) have proposed an approach that makes reasonable assumptions, grounded in a sociological conceptualization of the underlying substantive meaning of cohorts and periods as contextual </w:t>
      </w:r>
      <w:r w:rsidDel="00000000" w:rsidR="00000000" w:rsidRPr="00000000">
        <w:rPr>
          <w:i w:val="1"/>
          <w:iCs w:val="1"/>
          <w:rtl w:val="0"/>
        </w:rPr>
        <w:t xml:space="preserve">groupings</w:t>
      </w:r>
      <w:r w:rsidDel="00000000" w:rsidR="00000000" w:rsidRPr="00000000">
        <w:rPr>
          <w:rtl w:val="0"/>
        </w:rPr>
        <w:t xml:space="preserve"> of persons defined by a common event and experiences (Ryder 1965).</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Substantively, Yang and Land’s (2006) hierarchical age-period-cohort (HAPC) approach to breaking the linear dependency between age, period, and cohort relies on conceiving of age as an </w:t>
      </w:r>
      <w:r w:rsidDel="00000000" w:rsidR="00000000" w:rsidRPr="00000000">
        <w:rPr>
          <w:i w:val="1"/>
          <w:iCs w:val="1"/>
          <w:rtl w:val="0"/>
        </w:rPr>
        <w:t xml:space="preserve">individual</w:t>
      </w:r>
      <w:r w:rsidDel="00000000" w:rsidR="00000000" w:rsidRPr="00000000">
        <w:rPr>
          <w:rtl w:val="0"/>
        </w:rPr>
        <w:t xml:space="preserve"> characteristic that is specific to each sampled respondent. Consistent with our goal of uncovering omnivorous generations, an individual’s assignment to a given cohort (and period) is specified as a </w:t>
      </w:r>
      <w:r w:rsidDel="00000000" w:rsidR="00000000" w:rsidRPr="00000000">
        <w:rPr>
          <w:i w:val="1"/>
          <w:iCs w:val="1"/>
          <w:rtl w:val="0"/>
        </w:rPr>
        <w:t xml:space="preserve">contextual</w:t>
      </w:r>
      <w:r w:rsidDel="00000000" w:rsidR="00000000" w:rsidRPr="00000000">
        <w:rPr>
          <w:rtl w:val="0"/>
        </w:rPr>
        <w:t xml:space="preserve"> effect within a multilevel modelling framework. The partially overlapping nature of cohort and period memberships implies that, in the context of a repeated cross-sections survey design (such as the cumulative SPPA), time periods are not fully nested within cohorts or vice versa (as in standard multilevel models in which persons are embedded within fully overlapping contexts such as schools and neighborhoods). Rather, one obtains a “cross-classified” structure with individuals nested within cells defined by birth cohorts and time period.</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Statistically, this yields the Cross-Classified Random Effects Models (CCREM;  see Yang and Land 2006, 2008 for technical details). The cohort effect thus captures that which is distinctive of each generation and is carried forward via historical encoding; period effects capture purely contemporaneous influences, while age is held constant as an individual level trait. Accordingly, we specify a crossed random-effects model for binary outcomes of the general form:</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200" w:lineRule="auto"/>
        <w:rPr/>
      </w:pPr>
      <w:hyperlink r:id="rId10">
        <w:r w:rsidDel="00000000" w:rsidR="00000000" w:rsidRPr="00000000">
          <w:rPr>
            <w:rtl w:val="0"/>
          </w:rPr>
          <w:t xml:space="preserve">   </w:t>
        </w:r>
      </w:hyperlink>
      <w:r w:rsidDel="00000000" w:rsidR="00000000" w:rsidRPr="00000000">
        <w:rPr>
          <w:rtl w:val="0"/>
        </w:rPr>
        <w:tab/>
      </w:r>
      <w:r w:rsidDel="00000000" w:rsidR="00000000" w:rsidRPr="00000000">
        <w:rPr/>
        <w:drawing>
          <wp:inline distB="19050" distT="19050" distL="19050" distR="19050">
            <wp:extent cx="3429000" cy="4826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429000" cy="482600"/>
                    </a:xfrm>
                    <a:prstGeom prst="rect"/>
                    <a:ln/>
                  </pic:spPr>
                </pic:pic>
              </a:graphicData>
            </a:graphic>
          </wp:inline>
        </w:drawing>
      </w:r>
      <w:r w:rsidDel="00000000" w:rsidR="00000000" w:rsidRPr="00000000">
        <w:rPr>
          <w:rtl w:val="0"/>
        </w:rPr>
        <w:tab/>
        <w:tab/>
        <w:t xml:space="preserve">(1)</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t>
      </w:r>
      <w:r w:rsidDel="00000000" w:rsidR="00000000" w:rsidRPr="00000000">
        <w:rPr>
          <w:i w:val="1"/>
          <w:iCs w:val="1"/>
          <w:rtl w:val="0"/>
        </w:rPr>
        <w:t xml:space="preserve">Y</w:t>
      </w:r>
      <w:r w:rsidDel="00000000" w:rsidR="00000000" w:rsidRPr="00000000">
        <w:rPr>
          <w:i w:val="1"/>
          <w:iCs w:val="1"/>
          <w:vertAlign w:val="subscript"/>
          <w:rtl w:val="0"/>
        </w:rPr>
        <w:t xml:space="preserve">ijkl</w:t>
      </w:r>
      <w:r w:rsidDel="00000000" w:rsidR="00000000" w:rsidRPr="00000000">
        <w:rPr>
          <w:rtl w:val="0"/>
        </w:rPr>
        <w:t xml:space="preserve"> = 1 if individual </w:t>
      </w:r>
      <w:r w:rsidDel="00000000" w:rsidR="00000000" w:rsidRPr="00000000">
        <w:rPr>
          <w:i w:val="1"/>
          <w:iCs w:val="1"/>
          <w:rtl w:val="0"/>
        </w:rPr>
        <w:t xml:space="preserve">i</w:t>
      </w:r>
      <w:r w:rsidDel="00000000" w:rsidR="00000000" w:rsidRPr="00000000">
        <w:rPr>
          <w:rtl w:val="0"/>
        </w:rPr>
        <w:t xml:space="preserve">, assigned to cohort group </w:t>
      </w:r>
      <w:r w:rsidDel="00000000" w:rsidR="00000000" w:rsidRPr="00000000">
        <w:rPr>
          <w:i w:val="1"/>
          <w:iCs w:val="1"/>
          <w:rtl w:val="0"/>
        </w:rPr>
        <w:t xml:space="preserve">j</w:t>
      </w:r>
      <w:r w:rsidDel="00000000" w:rsidR="00000000" w:rsidRPr="00000000">
        <w:rPr>
          <w:rtl w:val="0"/>
        </w:rPr>
        <w:t xml:space="preserve">, interviewed at survey wave </w:t>
      </w:r>
      <w:r w:rsidDel="00000000" w:rsidR="00000000" w:rsidRPr="00000000">
        <w:rPr>
          <w:i w:val="1"/>
          <w:iCs w:val="1"/>
          <w:rtl w:val="0"/>
        </w:rPr>
        <w:t xml:space="preserve">k </w:t>
      </w:r>
      <w:r w:rsidDel="00000000" w:rsidR="00000000" w:rsidRPr="00000000">
        <w:rPr>
          <w:rtl w:val="0"/>
        </w:rPr>
        <w:t xml:space="preserve">reports having attended the </w:t>
      </w:r>
      <w:r w:rsidDel="00000000" w:rsidR="00000000" w:rsidRPr="00000000">
        <w:rPr>
          <w:i w:val="1"/>
          <w:iCs w:val="1"/>
          <w:rtl w:val="0"/>
        </w:rPr>
        <w:t xml:space="preserve">l</w:t>
      </w:r>
      <w:r w:rsidDel="00000000" w:rsidR="00000000" w:rsidRPr="00000000">
        <w:rPr>
          <w:i w:val="1"/>
          <w:iCs w:val="1"/>
          <w:vertAlign w:val="superscript"/>
          <w:rtl w:val="0"/>
        </w:rPr>
        <w:t xml:space="preserve">th </w:t>
      </w:r>
      <w:r w:rsidDel="00000000" w:rsidR="00000000" w:rsidRPr="00000000">
        <w:rPr>
          <w:rtl w:val="0"/>
        </w:rPr>
        <w:t xml:space="preserve">arts participation activity; </w:t>
      </w:r>
      <w:r w:rsidDel="00000000" w:rsidR="00000000" w:rsidRPr="00000000">
        <w:rPr>
          <w:rFonts w:ascii="Times New Roman" w:cs="Times New Roman" w:eastAsia="Times New Roman" w:hAnsi="Times New Roman"/>
          <w:i w:val="1"/>
          <w:iCs w:val="1"/>
          <w:rtl w:val="0"/>
        </w:rPr>
        <w:t xml:space="preserve">υ</w:t>
      </w:r>
      <w:r w:rsidDel="00000000" w:rsidR="00000000" w:rsidRPr="00000000">
        <w:rPr>
          <w:i w:val="1"/>
          <w:iCs w:val="1"/>
          <w:vertAlign w:val="subscript"/>
          <w:rtl w:val="0"/>
        </w:rPr>
        <w:t xml:space="preserve">0j</w:t>
      </w:r>
      <w:r w:rsidDel="00000000" w:rsidR="00000000" w:rsidRPr="00000000">
        <w:rPr>
          <w:vertAlign w:val="subscript"/>
          <w:rtl w:val="0"/>
        </w:rPr>
        <w:t xml:space="preserve"> </w:t>
      </w:r>
      <w:r w:rsidDel="00000000" w:rsidR="00000000" w:rsidRPr="00000000">
        <w:rPr>
          <w:rtl w:val="0"/>
        </w:rPr>
        <w:t xml:space="preserve">is the random effect for the </w:t>
      </w:r>
      <w:r w:rsidDel="00000000" w:rsidR="00000000" w:rsidRPr="00000000">
        <w:rPr>
          <w:i w:val="1"/>
          <w:iCs w:val="1"/>
          <w:rtl w:val="0"/>
        </w:rPr>
        <w:t xml:space="preserve">jth</w:t>
      </w:r>
      <w:r w:rsidDel="00000000" w:rsidR="00000000" w:rsidRPr="00000000">
        <w:rPr>
          <w:rtl w:val="0"/>
        </w:rPr>
        <w:t xml:space="preserve"> cohort group (at 5 year intervals), </w:t>
      </w:r>
      <w:r w:rsidDel="00000000" w:rsidR="00000000" w:rsidRPr="00000000">
        <w:rPr>
          <w:rFonts w:ascii="Times New Roman" w:cs="Times New Roman" w:eastAsia="Times New Roman" w:hAnsi="Times New Roman"/>
          <w:i w:val="1"/>
          <w:iCs w:val="1"/>
          <w:rtl w:val="0"/>
        </w:rPr>
        <w:t xml:space="preserve">υ</w:t>
      </w:r>
      <w:r w:rsidDel="00000000" w:rsidR="00000000" w:rsidRPr="00000000">
        <w:rPr>
          <w:i w:val="1"/>
          <w:iCs w:val="1"/>
          <w:vertAlign w:val="subscript"/>
          <w:rtl w:val="0"/>
        </w:rPr>
        <w:t xml:space="preserve">0k</w:t>
      </w:r>
      <w:r w:rsidDel="00000000" w:rsidR="00000000" w:rsidRPr="00000000">
        <w:rPr>
          <w:rtl w:val="0"/>
        </w:rPr>
        <w:t xml:space="preserve"> is the random effect for </w:t>
      </w:r>
      <w:r w:rsidDel="00000000" w:rsidR="00000000" w:rsidRPr="00000000">
        <w:rPr>
          <w:i w:val="1"/>
          <w:iCs w:val="1"/>
          <w:rtl w:val="0"/>
        </w:rPr>
        <w:t xml:space="preserve">k</w:t>
      </w:r>
      <w:r w:rsidDel="00000000" w:rsidR="00000000" w:rsidRPr="00000000">
        <w:rPr>
          <w:i w:val="1"/>
          <w:iCs w:val="1"/>
          <w:vertAlign w:val="superscript"/>
          <w:rtl w:val="0"/>
        </w:rPr>
        <w:t xml:space="preserve">th </w:t>
      </w:r>
      <w:r w:rsidDel="00000000" w:rsidR="00000000" w:rsidRPr="00000000">
        <w:rPr>
          <w:rtl w:val="0"/>
        </w:rPr>
        <w:t xml:space="preserve">period group (survey year), </w:t>
      </w:r>
      <w:r w:rsidDel="00000000" w:rsidR="00000000" w:rsidRPr="00000000">
        <w:rPr>
          <w:i w:val="1"/>
          <w:iCs w:val="1"/>
          <w:rtl w:val="0"/>
        </w:rPr>
        <w:t xml:space="preserve">age </w:t>
      </w:r>
      <w:r w:rsidDel="00000000" w:rsidR="00000000" w:rsidRPr="00000000">
        <w:rPr>
          <w:rtl w:val="0"/>
        </w:rPr>
        <w:t xml:space="preserve">is the respondent’s age centered at (the grand mean of) 45 years, </w:t>
      </w:r>
      <w:r w:rsidDel="00000000" w:rsidR="00000000" w:rsidRPr="00000000">
        <w:rPr>
          <w:i w:val="1"/>
          <w:iCs w:val="1"/>
          <w:rtl w:val="0"/>
        </w:rPr>
        <w:t xml:space="preserve">age</w:t>
      </w:r>
      <w:r w:rsidDel="00000000" w:rsidR="00000000" w:rsidRPr="00000000">
        <w:rPr>
          <w:i w:val="1"/>
          <w:iCs w:val="1"/>
          <w:vertAlign w:val="superscript"/>
          <w:rtl w:val="0"/>
        </w:rPr>
        <w:t xml:space="preserve">2</w:t>
      </w:r>
      <w:r w:rsidDel="00000000" w:rsidR="00000000" w:rsidRPr="00000000">
        <w:rPr>
          <w:rtl w:val="0"/>
        </w:rPr>
        <w:t xml:space="preserve"> is the square of the respondent’s age, the betas</w:t>
      </w:r>
      <w:r w:rsidDel="00000000" w:rsidR="00000000" w:rsidRPr="00000000">
        <w:rPr>
          <w:rtl w:val="0"/>
        </w:rPr>
        <w:t xml:space="preserve"> </w:t>
      </w:r>
      <w:r w:rsidDel="00000000" w:rsidR="00000000" w:rsidRPr="00000000">
        <w:rPr>
          <w:rtl w:val="0"/>
        </w:rPr>
        <w:t xml:space="preserve">are fixed regression weights, and X</w:t>
      </w:r>
      <w:r w:rsidDel="00000000" w:rsidR="00000000" w:rsidRPr="00000000">
        <w:rPr>
          <w:vertAlign w:val="subscript"/>
          <w:rtl w:val="0"/>
        </w:rPr>
        <w:t xml:space="preserve">i</w:t>
      </w:r>
      <w:r w:rsidDel="00000000" w:rsidR="00000000" w:rsidRPr="00000000">
        <w:rPr>
          <w:rtl w:val="0"/>
        </w:rPr>
        <w:t xml:space="preserve"> is a vector of individual level covariates. The result of interest in this model will be an estimate of the age-adjusted likelihood of the group level (cohort) effect for each arts participation activity. Positive (negative) </w:t>
      </w:r>
      <w:r w:rsidDel="00000000" w:rsidR="00000000" w:rsidRPr="00000000">
        <w:rPr>
          <w:i w:val="1"/>
          <w:iCs w:val="1"/>
          <w:rtl w:val="0"/>
        </w:rPr>
        <w:t xml:space="preserve">deviations</w:t>
      </w:r>
      <w:r w:rsidDel="00000000" w:rsidR="00000000" w:rsidRPr="00000000">
        <w:rPr>
          <w:rtl w:val="0"/>
        </w:rPr>
        <w:t xml:space="preserve"> from the expected baseline (represented by the sign of exp(</w:t>
      </w:r>
      <w:r w:rsidDel="00000000" w:rsidR="00000000" w:rsidRPr="00000000">
        <w:rPr>
          <w:rFonts w:ascii="Times New Roman" w:cs="Times New Roman" w:eastAsia="Times New Roman" w:hAnsi="Times New Roman"/>
          <w:i w:val="1"/>
          <w:iCs w:val="1"/>
          <w:rtl w:val="0"/>
        </w:rPr>
        <w:t xml:space="preserve">υ</w:t>
      </w:r>
      <w:r w:rsidDel="00000000" w:rsidR="00000000" w:rsidRPr="00000000">
        <w:rPr>
          <w:i w:val="1"/>
          <w:iCs w:val="1"/>
          <w:vertAlign w:val="subscript"/>
          <w:rtl w:val="0"/>
        </w:rPr>
        <w:t xml:space="preserve">0j</w:t>
      </w:r>
      <w:r w:rsidDel="00000000" w:rsidR="00000000" w:rsidRPr="00000000">
        <w:rPr>
          <w:rtl w:val="0"/>
        </w:rPr>
        <w:t xml:space="preserve">)) are taken as evidence of a </w:t>
      </w:r>
      <w:r w:rsidDel="00000000" w:rsidR="00000000" w:rsidRPr="00000000">
        <w:rPr>
          <w:i w:val="1"/>
          <w:iCs w:val="1"/>
          <w:rtl w:val="0"/>
        </w:rPr>
        <w:t xml:space="preserve">facilitating</w:t>
      </w:r>
      <w:r w:rsidDel="00000000" w:rsidR="00000000" w:rsidRPr="00000000">
        <w:rPr>
          <w:rtl w:val="0"/>
        </w:rPr>
        <w:t xml:space="preserve"> (</w:t>
      </w:r>
      <w:r w:rsidDel="00000000" w:rsidR="00000000" w:rsidRPr="00000000">
        <w:rPr>
          <w:i w:val="1"/>
          <w:iCs w:val="1"/>
          <w:rtl w:val="0"/>
        </w:rPr>
        <w:t xml:space="preserve">suppressing</w:t>
      </w:r>
      <w:r w:rsidDel="00000000" w:rsidR="00000000" w:rsidRPr="00000000">
        <w:rPr>
          <w:rtl w:val="0"/>
        </w:rPr>
        <w:t xml:space="preserve">) effect of cohort group membership on arts participation for the </w:t>
      </w:r>
      <w:r w:rsidDel="00000000" w:rsidR="00000000" w:rsidRPr="00000000">
        <w:rPr>
          <w:i w:val="1"/>
          <w:iCs w:val="1"/>
          <w:rtl w:val="0"/>
        </w:rPr>
        <w:t xml:space="preserve">l</w:t>
      </w:r>
      <w:r w:rsidDel="00000000" w:rsidR="00000000" w:rsidRPr="00000000">
        <w:rPr>
          <w:i w:val="1"/>
          <w:iCs w:val="1"/>
          <w:vertAlign w:val="superscript"/>
          <w:rtl w:val="0"/>
        </w:rPr>
        <w:t xml:space="preserve">th</w:t>
      </w:r>
      <w:r w:rsidDel="00000000" w:rsidR="00000000" w:rsidRPr="00000000">
        <w:rPr>
          <w:rtl w:val="0"/>
        </w:rPr>
        <w:t xml:space="preserve"> activity net of age influences.</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important to underscore that the goal of this analysis is to isolate and establish the existence of generational effects on arts participation and to chart their distribution across cohort groups. Our use of these statistical models is not meant to be “explanatory” in the sense in which this term is sometimes misused in variables-oriented analysis, but instead is </w:t>
      </w:r>
      <w:r w:rsidDel="00000000" w:rsidR="00000000" w:rsidRPr="00000000">
        <w:rPr>
          <w:i w:val="1"/>
          <w:iCs w:val="1"/>
          <w:rtl w:val="0"/>
        </w:rPr>
        <w:t xml:space="preserve">descriptive</w:t>
      </w:r>
      <w:r w:rsidDel="00000000" w:rsidR="00000000" w:rsidRPr="00000000">
        <w:rPr>
          <w:rtl w:val="0"/>
        </w:rPr>
        <w:t xml:space="preserve"> (Spillman 2014). Our strategy is to deploy this statistical framework to establish a broad, empirical pattern of generational effects on arts participation rates. The existence of this effect, as well as its specific patterning, become the phenomenon to be further elucidated. The goal is to then link cohorts distinguished by higher-than-expected participation rates to unique institutional experiences, using a complementary case-based methodological strategy that combines historical narrative, institutional analysis, and process-tracing (Schneiberg and Clemens 2006; Fishman and Lizardo 2013).</w:t>
      </w:r>
      <w:r w:rsidDel="00000000" w:rsidR="00000000" w:rsidRPr="00000000">
        <w:rPr>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03E">
      <w:pPr>
        <w:pStyle w:val="Heading2"/>
        <w:pageBreakBefore w:val="0"/>
        <w:pBdr>
          <w:top w:space="0" w:sz="0" w:val="nil"/>
          <w:left w:space="0" w:sz="0" w:val="nil"/>
          <w:bottom w:space="0" w:sz="0" w:val="nil"/>
          <w:right w:space="0" w:sz="0" w:val="nil"/>
          <w:between w:space="0" w:sz="0" w:val="nil"/>
        </w:pBdr>
        <w:shd w:fill="auto" w:val="clear"/>
        <w:jc w:val="both"/>
        <w:rPr>
          <w:sz w:val="26"/>
          <w:szCs w:val="26"/>
        </w:rPr>
      </w:pPr>
      <w:bookmarkStart w:colFirst="0" w:colLast="0" w:name="_pka28s3iypwi" w:id="26"/>
      <w:bookmarkEnd w:id="26"/>
      <w:r w:rsidDel="00000000" w:rsidR="00000000" w:rsidRPr="00000000">
        <w:rPr>
          <w:sz w:val="26"/>
          <w:szCs w:val="26"/>
          <w:rtl w:val="0"/>
        </w:rPr>
        <w:t xml:space="preserve">1.6 Exploratory Analyses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Bell and Jones (2014) have argued that HAPC models can sometimes fail to recover true cohort (or period effects). However, as a response drafted by some of the leading demographers in the field (Reither et al 2015) shows, HAPC will recover cohort and period effects in real data when these data are extensive enough to display variation across all three dimensions. As such, Reither et al (2015) recommend first testing for the presence of cohort and period effects in the data using standard models, as well as the inspection of graphical summaries displaying distinct age, period, and cohort patterns before fitting the full HAPC model. Implementing the first recommendation, table 2 shows the results of goodness of fitness test for logistic regression models predicting arts participation across all age activities using age, period, and cohort as predictor. In each model the age, cohort effects are specified non-parametrically as a series of dummy variables coding groups of respondents based on a five-year window (results are similar when we vary these windows). We used Akaike’s Information Criterion as our index of model fit. If period and cohort effects are present in the data, we should expect that models specifying all three dimensions should fit better than age only or age/period or age/cohort models. As the table shows, the models that specify all three effects outperform all the other models, suggesting that the correlational structure of the data is sufficiently rich to support the HAPC modelling strategy. Moreover, taking the age-only model as a baseline, the age/cohort specification always results in a more substantial improvement in model fit that then age/period one, suggesting that cohort effects dominate over period effects in these data, holding age-effects constant.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pattern of variation across the three dimensions? Figure 1 provides a descriptive plot of all age, period, and cohort trends. One thing to look for here is sufficient distinctiveness in the trends across dimensions, as HAPC models would not be able to disentangle two trends (e.g age and cohort) displaying the same (e.g. linear) pattern. The figures reveal substantively significant differences in the trends across all three dimensions. As shown in the leftmost panel of the figure, age effects across all eight core arts participation items are either flat (e.g. Opera, Symphony) or negative (Art Festivals, Historical Monuments, Musicals) especially after crossing the retirement-age threshold. In contrast, period effects, as shown in the center panel, are mostly flat for all activities, excepting Art Festivals and Historical Monuments (which display a negative trending effect). Finally, as shown in the rightmost panel, cohort effects display a striking consistent “inverted U-shape” trend across all eight core activities, with participation rates peaking among persons born between 1930 and 1960. Note that the effect seems to be partially asymmetrical, with the contrast between people born around mid-century being stronger in relation to their older predecessors (pre-depression era cohorts) than their successors (post-1960 cohorts). Figure 2 shows period-specific plots (Reeves 2014) of the cohort trends for all eight core activities. The results show that the seeming omnivorousness of the post-progressive era cohorts (1930-1960) is not a period specific artifact of any one survey wave, but instead it reappears across surveys separated by as much as two decades. Although we can observe evidence of the aging effect in the leftmost panel of figure 1 (downward movement in the y axis with in 2002 and 2012 in relation to 1982), the inverted u-shaped pattern favoring post-progressive era cohorts is robust. </w:t>
      </w:r>
    </w:p>
    <w:p w:rsidR="00000000" w:rsidDel="00000000" w:rsidP="00000000" w:rsidRDefault="00000000" w:rsidRPr="00000000" w14:paraId="00000041">
      <w:pPr>
        <w:pStyle w:val="Heading2"/>
        <w:pageBreakBefore w:val="0"/>
        <w:pBdr>
          <w:top w:space="0" w:sz="0" w:val="nil"/>
          <w:left w:space="0" w:sz="0" w:val="nil"/>
          <w:bottom w:space="0" w:sz="0" w:val="nil"/>
          <w:right w:space="0" w:sz="0" w:val="nil"/>
          <w:between w:space="0" w:sz="0" w:val="nil"/>
        </w:pBdr>
        <w:shd w:fill="auto" w:val="clear"/>
        <w:jc w:val="both"/>
        <w:rPr>
          <w:sz w:val="26"/>
          <w:szCs w:val="26"/>
        </w:rPr>
      </w:pPr>
      <w:bookmarkStart w:colFirst="0" w:colLast="0" w:name="_i4dcv8ut7ld5" w:id="27"/>
      <w:bookmarkEnd w:id="27"/>
      <w:r w:rsidDel="00000000" w:rsidR="00000000" w:rsidRPr="00000000">
        <w:rPr>
          <w:sz w:val="26"/>
          <w:szCs w:val="26"/>
          <w:rtl w:val="0"/>
        </w:rPr>
        <w:t xml:space="preserve">1.7 Multivariate Analyses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Results so far suggest that there are strong cohort dynamics in arts participation, and that they seem to share a generational patterning across all arts participation activities. This descriptive analysis suggests that if there is a generation worth referring to as most “omnivorous” with respect to arts participation, it is concentrated among persons who came of age in the immediate post-progressive and post-war period (1940s, 1950s, 1960s). Here, we examine whether we can replicate the observed generational clustering result in a multivariate context, adjusting for possible confounders, and modelling the interplay of age, period, and cohort within the HAPC framework described earlier.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aware that the increased arts participation activity of the post-progressive era cohorts in relation to their predecessors could be a result of the gradual educational upgrading experienced by Americans throughout the twentieth century. This is important since education has been, and continues to be, the most important individual-level predictor of engagement with the arts (DiMaggio and Mukhtar 2004). Accordingly, our models include an ordinal variable indexing highest degree completed, ranging from high school to postgraduate or professional degree. In addition, our HAPC specification also holds constant other individual (and, at the cohort level, compositional) predictors of engagement with the arts: race (DiMaggio and Ostrower 1990 with dummy variables for white, black, asian, and hispanic respondents), gender (Lizardo 2006), and region of residence (with dummy variables for northeast, south, midwest/plains and west coast). Finally, in accord with the pattern of results shown in Figure 1, we specify the fixed effects of age using a parsimonious spline function with a “hinge” at 55 years of age.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HAPC models produce fixed effects estimates of the effects of these covariates on cultural participation (</w:t>
      </w:r>
      <w:r w:rsidDel="00000000" w:rsidR="00000000" w:rsidRPr="00000000">
        <w:rPr>
          <w:i w:val="1"/>
          <w:iCs w:val="1"/>
          <w:rtl w:val="0"/>
        </w:rPr>
        <w:t xml:space="preserve">𝛽</w:t>
      </w:r>
      <w:r w:rsidDel="00000000" w:rsidR="00000000" w:rsidRPr="00000000">
        <w:rPr>
          <w:i w:val="1"/>
          <w:iCs w:val="1"/>
          <w:vertAlign w:val="subscript"/>
          <w:rtl w:val="0"/>
        </w:rPr>
        <w:t xml:space="preserve">1</w:t>
      </w:r>
      <w:r w:rsidDel="00000000" w:rsidR="00000000" w:rsidRPr="00000000">
        <w:rPr>
          <w:rtl w:val="0"/>
        </w:rPr>
        <w:t xml:space="preserve">, </w:t>
      </w:r>
      <w:r w:rsidDel="00000000" w:rsidR="00000000" w:rsidRPr="00000000">
        <w:rPr>
          <w:i w:val="1"/>
          <w:iCs w:val="1"/>
          <w:rtl w:val="0"/>
        </w:rPr>
        <w:t xml:space="preserve">𝛽</w:t>
      </w:r>
      <w:r w:rsidDel="00000000" w:rsidR="00000000" w:rsidRPr="00000000">
        <w:rPr>
          <w:i w:val="1"/>
          <w:iCs w:val="1"/>
          <w:vertAlign w:val="subscript"/>
          <w:rtl w:val="0"/>
        </w:rPr>
        <w:t xml:space="preserve">m </w:t>
      </w:r>
      <w:r w:rsidDel="00000000" w:rsidR="00000000" w:rsidRPr="00000000">
        <w:rPr>
          <w:rtl w:val="0"/>
        </w:rPr>
        <w:t xml:space="preserve">in equation 1), of more substantive interest are the random variance component estimates for the cohort (𝜐</w:t>
      </w:r>
      <w:r w:rsidDel="00000000" w:rsidR="00000000" w:rsidRPr="00000000">
        <w:rPr>
          <w:vertAlign w:val="subscript"/>
          <w:rtl w:val="0"/>
        </w:rPr>
        <w:t xml:space="preserve">0j</w:t>
      </w:r>
      <w:r w:rsidDel="00000000" w:rsidR="00000000" w:rsidRPr="00000000">
        <w:rPr>
          <w:rtl w:val="0"/>
        </w:rPr>
        <w:t xml:space="preserve">) and period (𝜐</w:t>
      </w:r>
      <w:r w:rsidDel="00000000" w:rsidR="00000000" w:rsidRPr="00000000">
        <w:rPr>
          <w:vertAlign w:val="subscript"/>
          <w:rtl w:val="0"/>
        </w:rPr>
        <w:t xml:space="preserve">0k</w:t>
      </w:r>
      <w:r w:rsidDel="00000000" w:rsidR="00000000" w:rsidRPr="00000000">
        <w:rPr>
          <w:rtl w:val="0"/>
        </w:rPr>
        <w:t xml:space="preserve">) group contexts for each outcome. These are shown in Table 2. These estimates give us a sense of whether we can identify cohort and period based on variation in art participation levels, above and beyond the effect of age. As suggested by the previous analysis, we find statistically significant cohort and period-based variance for all outcomes after adjusting for age fixed effects (results remain the same when including a more extensive set of covariates such as age, education, and current region of residence). Comparing the substantive magnitude of cohort and period variance component estimates across participation outcomes, we can see that the cohort effect rivals the period effect in size for all outcomes except Ballet attendance. For four outcomes, Jazz, Classical, Musicals, and Art Museums, the cohort-based variance is substantially larger than the period-based variance; in the case of Art Festivals both are of equal (substantively significant) magnitude.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Figure 3 shows the cohort-group deviations from the average for each activity. This quantity can be interpreted as the “boost” (or “suppression”) for cultural participation that the individual gets as a result of their </w:t>
      </w:r>
      <w:r w:rsidDel="00000000" w:rsidR="00000000" w:rsidRPr="00000000">
        <w:rPr>
          <w:i w:val="1"/>
          <w:iCs w:val="1"/>
          <w:rtl w:val="0"/>
        </w:rPr>
        <w:t xml:space="preserve">membership in a cohort group</w:t>
      </w:r>
      <w:r w:rsidDel="00000000" w:rsidR="00000000" w:rsidRPr="00000000">
        <w:rPr>
          <w:rtl w:val="0"/>
        </w:rPr>
        <w:t xml:space="preserve"> net of individual characteristics. The direction and magnitude of the cohort effects across different participation rates reveal a clear pattern of generational clustering. Across putatively distinct arts participation practices, we find that, with few exceptions, cohorts born between 1930 and 1950 have higher positive deviations in expected engagement than their earlier born counterparts. Because the distribution of age becomes truncated as we move to more recently born cohorts (or move back to the earliest cohorts), we are more cautious about interpreting the negative cohort deviations at the extreme boundaries (e.g. 1890-1900 and 1980 to 1990). We can say, however, that the concentration of substantively significant positive deviations within a narrow band of cohort groups born within a span of three decades, across a very diverse range of arts  participation outcomes, holding constant key predictors of such engagement, does sanction the designation of these generations as (comparatively) “omnivorous” in this particular domain (DiMaggio and Mukhtar 2004). The cohort born between 1930 and 1950 appears to be an Omnivorous Generation. </w:t>
      </w:r>
    </w:p>
    <w:p w:rsidR="00000000" w:rsidDel="00000000" w:rsidP="00000000" w:rsidRDefault="00000000" w:rsidRPr="00000000" w14:paraId="00000046">
      <w:pPr>
        <w:pStyle w:val="Heading2"/>
        <w:pageBreakBefore w:val="0"/>
        <w:pBdr>
          <w:top w:space="0" w:sz="0" w:val="nil"/>
          <w:left w:space="0" w:sz="0" w:val="nil"/>
          <w:bottom w:space="0" w:sz="0" w:val="nil"/>
          <w:right w:space="0" w:sz="0" w:val="nil"/>
          <w:between w:space="0" w:sz="0" w:val="nil"/>
        </w:pBdr>
        <w:shd w:fill="auto" w:val="clear"/>
        <w:jc w:val="both"/>
        <w:rPr>
          <w:sz w:val="26"/>
          <w:szCs w:val="26"/>
        </w:rPr>
      </w:pPr>
      <w:bookmarkStart w:colFirst="0" w:colLast="0" w:name="_ws2x3hm8unw4" w:id="28"/>
      <w:bookmarkEnd w:id="28"/>
      <w:r w:rsidDel="00000000" w:rsidR="00000000" w:rsidRPr="00000000">
        <w:rPr>
          <w:sz w:val="26"/>
          <w:szCs w:val="26"/>
          <w:rtl w:val="0"/>
        </w:rPr>
        <w:t xml:space="preserve">1.7 Summary of Survey-Based Analysis of Cohort Effects in Arts Participation</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Results from random-effects Hierarchical Age-Period-Cohort Models (HAPC) point to the existence of a distinct Omnivorous Generation, born in the immediate post-Progressive Era, who are more likely to engage in diverse forms of arts participation. For this group of respondents, the generational effect is facilitative rather than inhibitive, and extends to virtually all of the core arts participation activities. For most activities, the generational effect is bounded roughly between 1930 and 1950. This produces a consistent “reverse U-shaped” cohort effect for all of our outcomes (see Figure 1 for the pattern of cohort deviations and Figure 4 in Appendix 1 for predicted rates of </w:t>
      </w:r>
      <w:r w:rsidDel="00000000" w:rsidR="00000000" w:rsidRPr="00000000">
        <w:rPr>
          <w:rtl w:val="0"/>
        </w:rPr>
        <w:t xml:space="preserve">participation</w:t>
      </w:r>
      <w:r w:rsidDel="00000000" w:rsidR="00000000" w:rsidRPr="00000000">
        <w:rPr>
          <w:rtl w:val="0"/>
        </w:rPr>
        <w:t xml:space="preserv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detailed in the supplementary analyses reported in the Appendix, these results are robust to alternative (fixed effects) specifications of the HAPC modelling strategy (section 1, figure 4); moreover, the cohort boundaries suggested by the HAPC analysis, especially those separating the omnivorous generation from their predecessors (section 2, figure 5), can be corroborated by inspection of simple cohort-by-period graphical plots (Reeves 2015; see, e.g., Voas and Chaves 2016 for an application of this approach to religiosity trends). Finally, there is suggestive evidence that members of this generational cluster are more likely to report more exposure to the arts during their formative years than persons born before 1930 (section 3, figure 6).</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 these results strongly suggest that persons born in the three decades immediately following the Progressive Era are distinctive enough in their pattern of cultural engagement to be considered an “Omnivorous Generation.” As noted above, it is important underscore both the avidity and breadth of cultural engagement of members of this generation. This breadth extends to forms of folk and vernacular culture that were legitimized during the 20th century, including Jazz and--most importantly for the argument that follows--Craft Fairs and Art Festivals. These results lead us to discard interpretations of omnivorousness as a linear cohort trend over time, in favor of a generational specificity argument, confirming recent but preliminary work in the field (Rossman and Peterson 2015; López-Sintas and Katz-Gerro 2005).</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pattern of generational clustering is in itself a compelling finding but as a macro-level quantitative pattern it opens up questions that the survey data alone cannot answer (Spillman 2014). What exactly makes the generation born in the immediate post-Progressive Era distinctive from those born just a decade earlier? When research in the mid-1990s discovered patterns of omnivorousness among elites, scholars (</w:t>
      </w:r>
      <w:r w:rsidDel="00000000" w:rsidR="00000000" w:rsidRPr="00000000">
        <w:rPr>
          <w:i w:val="1"/>
          <w:iCs w:val="1"/>
          <w:rtl w:val="0"/>
        </w:rPr>
        <w:t xml:space="preserve">inter alia </w:t>
      </w:r>
      <w:r w:rsidDel="00000000" w:rsidR="00000000" w:rsidRPr="00000000">
        <w:rPr>
          <w:rtl w:val="0"/>
        </w:rPr>
        <w:t xml:space="preserve">Peterson and Kern 1996) hypothesized that transformations in artistic classification systems, promoted by cultural entrepreneurs with control over organizations and their institutional practices, must lie behind these changes. Even the emergence of a distinction between high and popular culture in the U.S. has been demonstrably linked to organizational and institutional transformations (DiMaggio 1982). The generational clustering pattern we report above suggests we should find an historically rooted transformation related to artistic classification, dissemination, and production systems (DiMaggio 1987, 2000).</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next section, we explore the possibility that this generational effect can be traced to the expansion and consolidation of elite-led institutional work enacted during the Progressive Era, which consolidated in powerful organizations during the post-war period. We hypothesize that these left their mark in the “encoding” of individual cultural consumption practices, and made this generation distinct from their predecessors.</w:t>
      </w:r>
    </w:p>
    <w:p w:rsidR="00000000" w:rsidDel="00000000" w:rsidP="00000000" w:rsidRDefault="00000000" w:rsidRPr="00000000" w14:paraId="0000004C">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f5tzicx8h0fk" w:id="29"/>
      <w:bookmarkEnd w:id="29"/>
      <w:r w:rsidDel="00000000" w:rsidR="00000000" w:rsidRPr="00000000">
        <w:rPr>
          <w:rtl w:val="0"/>
        </w:rPr>
        <w:t xml:space="preserve">2.0 Institutional and Organizational Impacts on Tastes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and fruitful investigations of cultural tastes on the one hand, and the production of culture on the other, provide contemporary scholars with the opportunity to build more sophisticated accounts of the links between these two cultural realms. We begin with a simple premise: historical changes in the institutional organization of culture are linked to the creation, maintenance, or dissolution of culture consuming publics. This sensitizes us to look for this type of antecedent to account for the Omnivorous Generation.</w:t>
      </w:r>
    </w:p>
    <w:p w:rsidR="00000000" w:rsidDel="00000000" w:rsidP="00000000" w:rsidRDefault="00000000" w:rsidRPr="00000000" w14:paraId="0000004E">
      <w:pPr>
        <w:pStyle w:val="Heading2"/>
        <w:pageBreakBefore w:val="0"/>
        <w:pBdr>
          <w:top w:space="0" w:sz="0" w:val="nil"/>
          <w:left w:space="0" w:sz="0" w:val="nil"/>
          <w:bottom w:space="0" w:sz="0" w:val="nil"/>
          <w:right w:space="0" w:sz="0" w:val="nil"/>
          <w:between w:space="0" w:sz="0" w:val="nil"/>
        </w:pBdr>
        <w:shd w:fill="auto" w:val="clear"/>
        <w:jc w:val="both"/>
        <w:rPr>
          <w:sz w:val="26"/>
          <w:szCs w:val="26"/>
        </w:rPr>
      </w:pPr>
      <w:bookmarkStart w:colFirst="0" w:colLast="0" w:name="_ck1dc3g937tx" w:id="30"/>
      <w:bookmarkEnd w:id="30"/>
      <w:r w:rsidDel="00000000" w:rsidR="00000000" w:rsidRPr="00000000">
        <w:rPr>
          <w:sz w:val="26"/>
          <w:szCs w:val="26"/>
          <w:rtl w:val="0"/>
        </w:rPr>
        <w:t xml:space="preserve">2.1 The Emergence of High Culture as an Exemplar Case</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 influential article, DiMaggio (1982) attributes the emergence of a distinction between high and popular culture in the U.S. to organizational and institutional transformations that took place in 19</w:t>
      </w:r>
      <w:r w:rsidDel="00000000" w:rsidR="00000000" w:rsidRPr="00000000">
        <w:rPr>
          <w:vertAlign w:val="superscript"/>
          <w:rtl w:val="0"/>
        </w:rPr>
        <w:t xml:space="preserve">th</w:t>
      </w:r>
      <w:r w:rsidDel="00000000" w:rsidR="00000000" w:rsidRPr="00000000">
        <w:rPr>
          <w:rtl w:val="0"/>
        </w:rPr>
        <w:t xml:space="preserve"> century Boston. This is the period when the grand project of defining an institutional field of “fine arts” culture began to be pursued by bourgeois, urban elites. This is also the period in which what Levine (1988: 85-168) has referred to as the “sacralization” of the arts began in full force. These fields come to have an organizational base in universities, museums, galleries and other elite-supported non-profit institutions designed for the production, dissemination, and canonization of cultural products; they play a critical role training both artists and consumers in the newly defined principles of cultural valuation (Conner 2008: 113; DiMaggio 2000).</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research demonstrates an association between organizational factors (the creation and elaboration of the non-profit arts organization) and institutional work (sacralization) accomplished by cultural entrepreneurs (the Boston Brahmins; college educated arts bureaucrats) resulting in the production and perpetuation of a new form of taste (“high culture”). It is this sort of work that is still needed as sociologists explore new forms of cultural expression, and new production arrangements. These include, most importantly for our purposes, the characteristic features of the 20th century’s artistic field: the emergence of omnivorous culture consuming publics and aesthetic legitimation processes leading to the expansion of the artistic canon. Although scholars have proffered some scattered ideas on the link between these two developments, no single analysis has tried to link the behavioral manifestation with its institutional antecedents.</w:t>
      </w:r>
    </w:p>
    <w:p w:rsidR="00000000" w:rsidDel="00000000" w:rsidP="00000000" w:rsidRDefault="00000000" w:rsidRPr="00000000" w14:paraId="00000051">
      <w:pPr>
        <w:pStyle w:val="Heading2"/>
        <w:pageBreakBefore w:val="0"/>
        <w:pBdr>
          <w:top w:space="0" w:sz="0" w:val="nil"/>
          <w:left w:space="0" w:sz="0" w:val="nil"/>
          <w:bottom w:space="0" w:sz="0" w:val="nil"/>
          <w:right w:space="0" w:sz="0" w:val="nil"/>
          <w:between w:space="0" w:sz="0" w:val="nil"/>
        </w:pBdr>
        <w:shd w:fill="auto" w:val="clear"/>
        <w:jc w:val="both"/>
        <w:rPr>
          <w:sz w:val="26"/>
          <w:szCs w:val="26"/>
        </w:rPr>
      </w:pPr>
      <w:bookmarkStart w:colFirst="0" w:colLast="0" w:name="_axxasirswkux" w:id="31"/>
      <w:bookmarkEnd w:id="31"/>
      <w:r w:rsidDel="00000000" w:rsidR="00000000" w:rsidRPr="00000000">
        <w:rPr>
          <w:sz w:val="26"/>
          <w:szCs w:val="26"/>
          <w:rtl w:val="0"/>
        </w:rPr>
        <w:t xml:space="preserve">2.2 Artistic Valorization and the WPA</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the turn of the 20th century, the non-profit organizational form provided elite art patrons dominion over definitions of “art,” and they turned their attention toward maintaining the new category’s legitimacy by responding to shifting expectations of the role of art at the national level. Changing political, social, and economic conditions during the interwar period placed pressure on organizations to modify their institutional practices. In particular, arts administrators, dealers, experts, critics, patrons, donors, collectors, artists, and audience members sought to change definitions of “American art” to reflect perceived transformations in the national character: “one of the consequences is that...museums welcome into their halls works that were not considered Art until they were granted entry: African ‘primitive’ works, folk art, comic strips, and even industrial artifacts” (Zolberg 1984: 390). The artistic legitimation of vernacular culture--and what Bourdieu (1965) called </w:t>
      </w:r>
      <w:r w:rsidDel="00000000" w:rsidR="00000000" w:rsidRPr="00000000">
        <w:rPr>
          <w:i w:val="1"/>
          <w:iCs w:val="1"/>
          <w:rtl w:val="0"/>
        </w:rPr>
        <w:t xml:space="preserve">les arts moyennes</w:t>
      </w:r>
      <w:r w:rsidDel="00000000" w:rsidR="00000000" w:rsidRPr="00000000">
        <w:rPr>
          <w:rtl w:val="0"/>
        </w:rPr>
        <w:t xml:space="preserve">--was the locus of intense cultural entrepreneurship in the first half of the twentieth century.</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movement better illustrates the intensity of 20</w:t>
      </w:r>
      <w:r w:rsidDel="00000000" w:rsidR="00000000" w:rsidRPr="00000000">
        <w:rPr>
          <w:vertAlign w:val="superscript"/>
          <w:rtl w:val="0"/>
        </w:rPr>
        <w:t xml:space="preserve">th</w:t>
      </w:r>
      <w:r w:rsidDel="00000000" w:rsidR="00000000" w:rsidRPr="00000000">
        <w:rPr>
          <w:rtl w:val="0"/>
        </w:rPr>
        <w:t xml:space="preserve"> century vernacular culture legitimation than the federated state and national arts programs during the 1930s and 40s. Under the auspices of the New Deal programs, federal, state, and local government bodies provided subsidies to individual artists and supported new schools of art, visual art and performing arts events. As a direct commissioning agent, government agencies encouraged the production of works that displayed “the American experience” and its “roots in the folk tradition of the people” (Matthews 1975: 334). Administrators of WPA offices encouraged their artists to develop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240" w:lineRule="auto"/>
        <w:ind w:left="720" w:right="720" w:firstLine="0"/>
        <w:rPr/>
      </w:pPr>
      <w:r w:rsidDel="00000000" w:rsidR="00000000" w:rsidRPr="00000000">
        <w:rPr>
          <w:rtl w:val="0"/>
        </w:rPr>
        <w:t xml:space="preserve">a local vernacular associated with regional and cultural identity…[a] vernacular of authenticity that could plumb native sources of modern art within an academic tradition, the vernacular of folk art, the vernacular of indigenous traditions and ethnography, the vernacular of the everyday, and the vernacular of regional artists, photographers, and filmmakers giving expression to national consciousness during the lean years of the Great Depression (Umbach and Hüppauf 2005: 25).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Broad-based transformations in the expectations of the art-consuming public resulted from these measures, and arts administrators, curators, and artistic directors worked expeditiously to make that culture available. In so doing, they legitimated some vernacular culture, heralding the rise of what some have called a renaissance of “vernacular modernism” (Bacon 2005).</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Artists employed under these works programs at the federal, state, and local levels, produced an enormous variety of art, including paintings, graphics, motion pictures, murals, photographs, posters, sculptures, and plates for the Index of American Design. Still others taught art and art appreciation; mounted exhibitions, tours, and lectures; built frames and dioramas; and sketched maps. Some creative workers even developed color standards and tested paint in cooperation with the Bureau of Standards. Arguably, the most popular program placed commissioned murals into 1,100 post offices (Park and Markowitz 1984).</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t xml:space="preserve">State-level support for indigent artists began as early as 1931, but the first Federal, non-relief project for artists, the Public Works of Art project, was initiated in 1933.</w:t>
      </w:r>
      <w:r w:rsidDel="00000000" w:rsidR="00000000" w:rsidRPr="00000000">
        <w:rPr>
          <w:vertAlign w:val="superscript"/>
        </w:rPr>
        <w:footnoteReference w:customMarkFollows="0" w:id="5"/>
      </w:r>
      <w:r w:rsidDel="00000000" w:rsidR="00000000" w:rsidRPr="00000000">
        <w:rPr>
          <w:rtl w:val="0"/>
        </w:rPr>
        <w:t xml:space="preserve"> A more comprehensive work relief program was announced in August, 1935 and was known as the Works Progress Administration (WPA). Under the WPA, the four programs referred to as “Federal Project Number One” provided subsidies for the production of visual art, music, theater, and literature (and later, the historical records survey). The resulting output of creative material from Federal One is nothing short of astonishing: from 1935 to its closure in June 1943, artists created 2,566 murals, 17,744 sculptures, 108,099 paintings, 250,000 prints from 11,285 images, 2 million posters from 35,000 designs, and more than 22,000 design plates (O’Connor 1969: 28-9; Greengard et al 1986: 58-60).</w:t>
      </w:r>
      <w:r w:rsidDel="00000000" w:rsidR="00000000" w:rsidRPr="00000000">
        <w:rPr>
          <w:vertAlign w:val="superscript"/>
        </w:rPr>
        <w:footnoteReference w:customMarkFollows="0" w:id="6"/>
      </w:r>
      <w:r w:rsidDel="00000000" w:rsidR="00000000" w:rsidRPr="00000000">
        <w:rPr>
          <w:rtl w:val="0"/>
        </w:rPr>
        <w:t xml:space="preserve"> As one historian opined: “the resulting output of Americana was overwhelming” (Mathews 1975: 334).</w:t>
      </w:r>
      <w:r w:rsidDel="00000000" w:rsidR="00000000" w:rsidRPr="00000000">
        <w:rPr>
          <w:vertAlign w:val="superscript"/>
        </w:rPr>
        <w:footnoteReference w:customMarkFollows="0" w:id="7"/>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expansion of access to artistic production and presentation provided by state and federal subsidy produced two outcomes that are critical to our argument: first, it diversified both artistic content and personnel; second, new genres were presented as art within benchmark art organizations as objects for aesthetic appreciation, endorsed by legitimate art experts like curators, collectors, and critics.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not all of the arts administrators in charge of disposing of federal and state arts funds embraced the vision of a cultural democracy taken up by Roosevelt, some endorsed this vision and welcomed new content and creators into art genres. Harry Hopkins, appointed in 1933 to direct monies for actors and musicians, was a member of the latter group; he pushed theater directors to depict the deplorable conditions in tenements in the hope that it might encourage a landslide of support for the construction of decent housing for American citizens. Administrators in the Theater Division commissioned adaptations of non-theatrical material like pageants, dance dramas, and living newspapers in order to dramatize the full range of American life. Playwright Percy MacKaye called for a “Drama for Democracy” and theaters that would be a “civic agency” for “the whole people” (N.A. 1936, “Art: Government Inspiration”). Musicologist Charles Seeger was encouraged by the Resettlement Administration to foster the unity of communities by encouraging the use of indigenous musical resources. Seeger had built his career on identifying regional, popular, and folk music and integrating those with academic music into a uniquely American idiomatic expression (Mathews 1975).</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arts diversified, arts administrators worked to legitimate particular forms of vernacular culture as art. Artist Yasuo Kuniyoshi has argued that great American culture was created by WPA “artists [who] were encouraged to...search for roots in the folk tradition of the people, documenting the values and behavior of a culture in the throes of self-recognition” (Matthews 1975: 334).</w:t>
      </w:r>
      <w:r w:rsidDel="00000000" w:rsidR="00000000" w:rsidRPr="00000000">
        <w:rPr>
          <w:sz w:val="20"/>
          <w:szCs w:val="20"/>
          <w:rtl w:val="0"/>
        </w:rPr>
        <w:t xml:space="preserve"> </w:t>
      </w:r>
      <w:r w:rsidDel="00000000" w:rsidR="00000000" w:rsidRPr="00000000">
        <w:rPr>
          <w:rtl w:val="0"/>
        </w:rPr>
        <w:t xml:space="preserve">WPA music division director Nikolai Sokoloff presented folk music of a dizzying variety: white and black spirituals, Spanish songs from the Southwest, Creole ballads from Louisiana, liturgical music from California missions, and bayou songs from the Mississippi delta (Mathews 1975: 336). In 1936, </w:t>
      </w:r>
      <w:r w:rsidDel="00000000" w:rsidR="00000000" w:rsidRPr="00000000">
        <w:rPr>
          <w:i w:val="1"/>
          <w:iCs w:val="1"/>
          <w:rtl w:val="0"/>
        </w:rPr>
        <w:t xml:space="preserve">Time Magazine</w:t>
      </w:r>
      <w:r w:rsidDel="00000000" w:rsidR="00000000" w:rsidRPr="00000000">
        <w:rPr>
          <w:rtl w:val="0"/>
        </w:rPr>
        <w:t xml:space="preserve"> reported that Sokoloff’s payroll included a 22-piece “gypsy orchestra” in Pittsburg, a Hungarian ensemble in Chicago, and </w:t>
      </w:r>
      <w:r w:rsidDel="00000000" w:rsidR="00000000" w:rsidRPr="00000000">
        <w:rPr>
          <w:i w:val="1"/>
          <w:iCs w:val="1"/>
          <w:rtl w:val="0"/>
        </w:rPr>
        <w:t xml:space="preserve">típica</w:t>
      </w:r>
      <w:r w:rsidDel="00000000" w:rsidR="00000000" w:rsidRPr="00000000">
        <w:rPr>
          <w:rtl w:val="0"/>
        </w:rPr>
        <w:t xml:space="preserve"> orchestras in San Antonio and Tucson (N.A. 1936, “Music: Relief Melodies,” 1936). State and federal agencies provided the funding to refurbish and rejuvenate Harlem’s Lafayette Theater, which offered staged Macbeth for over 130,000 audience members (Mathews 1975: 325). Other organizations in ethnic and minority neighborhoods launched or advanced the careers of local artists; the Harlem Art Center presented such shows, including work by now famous painters like Jacob Lawrence.</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under the aegis of federal, state, and local governments, some of these works were presented in benchmark arts organizations including the Smithsonian, the National Gallery, the Museum of Modern Art, and the Federal Art Gallery in New York (Greengard et al 1986). The Public Works of Art Project closed with a gigantic exhibition in Washington at which high-ranking government employees were encouraged to take what they liked and to display the art in their offices.</w:t>
      </w:r>
      <w:r w:rsidDel="00000000" w:rsidR="00000000" w:rsidRPr="00000000">
        <w:rPr>
          <w:vertAlign w:val="superscript"/>
        </w:rPr>
        <w:footnoteReference w:customMarkFollows="0" w:id="8"/>
      </w:r>
      <w:r w:rsidDel="00000000" w:rsidR="00000000" w:rsidRPr="00000000">
        <w:rPr>
          <w:rtl w:val="0"/>
        </w:rPr>
        <w:t xml:space="preserve"> President and Mrs. Roosevelt hosted a series of nine concerts of “traditional” musicians at the White House, including one in June 1939 attended by the King and Queen of England, the first reigning British monarchs to visit the U.S. The playbill included the mountain string band the Coon Creek Girls; Marion Anderson, the contralto opera singer; the North Carolina Spiritual Singers; and musicologist Alan Lomax, who performed cowboy songs. Federal One contributed to a transformation in the organization of art in America: curators and preservationists developed new competencies, organizations presented new kinds of work, new markets opened, and audiences acquired new modes of appreciation.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How lasting were these changes? The record keeping for WPA federal and state agencies was uneven and distributed across more than a hundred offices. We do know that some of the art and arts administrators had long careers. The original 22,000 plates from the Index of American Design are still housed at the National Gallery of Art in Washington, DC. The Newark Museum also has a large number of WPA works, including Minna Citron’s painting “Staten Island Ferry.” Yet, many other works produced in the New Deal era were destroyed, abandoned, or forgotten. </w:t>
      </w: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somewhat easier to trace the fate of the WPA arts administrators, some of whom went on to helm large and influential organizations and brought with them a desire to diversify the art on offer. To trace just a single, important lineage: Holger Cahill left his position as the Director of the Federal Art Project (FAP, 1935-1943), and became a curator at the Newark Museum and then MoMA, where he served as interim director for a year (1932-1933). In both jobs, he worked to canonize material that drew upon the nation’s folk traditions, a modernist project for which MoMA would become famous. Barr was succeeded at MoMA by René d'Harnoncourt, former Manager of the WPA’s Indian Arts and Crafts Board. An advocate of folk art, d'Harnoncourt was an expert in Mexican, vernacular, and modern American art. During his tenure at MoMA (1949-1968), d’Harnoncourt supervised and curated numerous exhibitions of folk material from the U.S. and elsewhere including displays of American woodcuts (1952), “young American printmakers” (1954), paintings by “amateurs” (1955), graffiti (1956), and film posters (1960). He became a close advisor to Nelson A. Rockefeller, and supported his acquisition of an enormous collection of so-called “primitive art” from Africa, Oceania, and the Americas. Nelson presented this collection as the Museum of Primitive Art in 1957; it housed the nation's most extensive collection of art objects from Africa, Oceania, and the Americas. In the mid-1970s, it was transferred to the Metropolitan Museum of Art (NYC), signaling a shift in the museum’s opinion of these works from anthropological to aesthetic in character, and again, expanding the corpus of what counted as American art (LaGamma et al 2014). Equally significant changes were taking place in the performing arts as cultural capitalists moved benchmark arts organizations toward the goal of presenting American vernacular culture as art.</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significance of the aesthetic legitimation of some vernacular culture as art can also be seen in the creation of new organizations, and new regulatory and institutional practices. These include the American Folklife Preservation Act of 1976, the American Folklife Center, the Folk Arts Program at the National Endowment of the Arts, and UNESCO’s 2003 International Convention on the Safeguarding of Intangible Cultural Heritage (Kurin 1989: 18-19). These provide additional evidence of the artistic legitimation process taking place.</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Thus, we note historical evidence of significant organizational and institutional changes that take place in the lead birth years of the omnivorous generation, and take root during their enculturation process. As the oldest members of this generation aged into their early adulthood, these transformations matured. College-educated elites among them witnessed the closure of WPA art schools and the slow decline of public murals, but also must have come to expect the presentation of African sculpture and film posters as art—the exception became the norm. We hypothesize that these changes impacted the tastes of Americans born in this era, producing a distinct Omnivorous Generation.</w:t>
      </w:r>
    </w:p>
    <w:p w:rsidR="00000000" w:rsidDel="00000000" w:rsidP="00000000" w:rsidRDefault="00000000" w:rsidRPr="00000000" w14:paraId="00000060">
      <w:pPr>
        <w:pStyle w:val="Heading2"/>
        <w:pageBreakBefore w:val="0"/>
        <w:pBdr>
          <w:top w:space="0" w:sz="0" w:val="nil"/>
          <w:left w:space="0" w:sz="0" w:val="nil"/>
          <w:bottom w:space="0" w:sz="0" w:val="nil"/>
          <w:right w:space="0" w:sz="0" w:val="nil"/>
          <w:between w:space="0" w:sz="0" w:val="nil"/>
        </w:pBdr>
        <w:shd w:fill="auto" w:val="clear"/>
        <w:jc w:val="both"/>
        <w:rPr>
          <w:sz w:val="26"/>
          <w:szCs w:val="26"/>
        </w:rPr>
      </w:pPr>
      <w:bookmarkStart w:colFirst="0" w:colLast="0" w:name="_5otyb5864xb6" w:id="32"/>
      <w:bookmarkEnd w:id="32"/>
      <w:r w:rsidDel="00000000" w:rsidR="00000000" w:rsidRPr="00000000">
        <w:rPr>
          <w:sz w:val="26"/>
          <w:szCs w:val="26"/>
          <w:rtl w:val="0"/>
        </w:rPr>
        <w:t xml:space="preserve">2.3 Supplementary Analysis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t xml:space="preserve">Given our argument, it is instructive to compare generational differences across consumption domains that differ both by (a) levels of differentiation  across social strata and (b) the likelihood of being an institutional conduit for the aesthetic legitimation of American vernacular culture. Out of the eight SPPA core participation activities, attendance at Art Museums and Craft Fairs and Art Festivals provide such a substantively motivated contrast (DiMaggio and Mukhtar 2004; López-Sintas and Katz-Gerro 2005). If our argument is on the right track, we should find sharper cohort differentiation patterns setting apart the Omnivorous Generation from other cohorts for Craft Fair and Art Festival attendance, since the latter was a locus of state-led institutional investment and a conduit of aesthetic legitimation practices. In addition, we should find a relative lack of differentiation between persons who have garnered elite markers of status (e.g. a college degree) and those without in the generational effect for Craft Fairs and Art Festivals in comparison to Art Museum attendance.</w:t>
      </w: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[Figure 2 About Here]</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[Figure 3 About Here]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Figures 2 and 3 show the results of cohort-specific participation likelihood estimates obtained from separate random-effects HAPC models estimated for persons without and with a college education (or more) for both participation in Art Festivals/Craft Fairs and Art Museum attendance (respectively). As before, the cohort effect is the deviation in the expected probability of participation in comparison to the cohort- and group-specific (college-educated versus non-college-educated) baseline rate. Since the effects are normalized to each group’s baseline, it is not appropriate to interpret these as absolute effects across groups but only as relative effects. For instance, stronger cohort effects for non-college educated individuals born in a particular cohort do not mean that the non-college educated are more likely to attend than the college educated (the absolute rate of attendance of college educated individuals is higher for all activities in all cohorts). Instead, it means that non-college educated persons born in that group have stronger </w:t>
      </w:r>
      <w:r w:rsidDel="00000000" w:rsidR="00000000" w:rsidRPr="00000000">
        <w:rPr>
          <w:i w:val="1"/>
          <w:iCs w:val="1"/>
          <w:rtl w:val="0"/>
        </w:rPr>
        <w:t xml:space="preserve">deviations</w:t>
      </w:r>
      <w:r w:rsidDel="00000000" w:rsidR="00000000" w:rsidRPr="00000000">
        <w:rPr>
          <w:rtl w:val="0"/>
        </w:rPr>
        <w:t xml:space="preserve"> from the overall baseline expectation for the non-college educated than college educated people born during those years have in relation to their </w:t>
      </w:r>
      <w:r w:rsidDel="00000000" w:rsidR="00000000" w:rsidRPr="00000000">
        <w:rPr>
          <w:i w:val="1"/>
          <w:iCs w:val="1"/>
          <w:rtl w:val="0"/>
        </w:rPr>
        <w:t xml:space="preserve">own</w:t>
      </w:r>
      <w:r w:rsidDel="00000000" w:rsidR="00000000" w:rsidRPr="00000000">
        <w:rPr>
          <w:rtl w:val="0"/>
        </w:rPr>
        <w:t xml:space="preserve"> college educated peers. Note, however, that even a proportionally “smaller” effect among the non-college educated may imply larger absolute effects, as the college educated are a comparative minority of the U.S. population, especially in the first half of the twentieth century.</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results of this analysis show the Omnivorous Generation effect crosses the education divide, and it illustrates the mediation of this generation’s arts engagement by artistic form and education. First, the generational effect is of a much stronger substantive magnitude for Art Festival/Craft Fair attendance than attendance at Art Museums. Second, there are education-based differences in the cohort effect: it is stronger for college educated persons born between 1930 and 1950. However, the difference within this cohort between those with college educations and those without is larger for Art Museums than it for Art Festivals. Third, we can observe positive cohort effects (in relation to generational peers without a college education) among non-college educated Americans born between 1915 and 1929 when it comes to participation in Art Festivals and Craft Fairs. This suggests that less educated Americans coming of age during the Progressive Era may have benefited from cultural activation mechanisms that did not depend on access to elite cultural capital from higher-education institutions (DiMaggio 2000). This is what we would expect if the WPA programs in fact facilitated the expansion of, and broadened access to, this domain of cultural enjoyment. Art Festivals and Craft Fairs are thus among the group of participatory activities that may have functioned as gateways into other forms of arts participation, like attendance at museums, as shown by the positive cohort effects on this outcome for non-college educated individuals born during the Progressive Era (Figure 3).</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68">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h0vbui6woko5" w:id="33"/>
      <w:bookmarkEnd w:id="33"/>
      <w:r w:rsidDel="00000000" w:rsidR="00000000" w:rsidRPr="00000000">
        <w:rPr>
          <w:rtl w:val="0"/>
        </w:rPr>
        <w:t xml:space="preserve">3.0 Alternative Explanations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an analysis of the cumulative data file covering six waves of the SPPA, our results confirm López-Sintas and Kats-Gerro (2005) and Rossman and Peterson’s (2015) conception of omnivorousness as a generational phenomenon. Prior analyses of the features of status-defining tastes in the United States have linked transformations in tastes to transformations in arts organizations and institutions (DiMaggio 1982; Peterson and Kern 1996). Based on the discovery of an omnivorous generation of Americans born in the post-Progressive Era, we hypothesize that this cohort’s exposure to a novel set of experiences in and around the American arts, as a result of New Deal arts programs and their diversification of the artistic canon, is one likely contributor.</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changes we link to the New Deal are not taking place in a vacuum, and might have been buttressed by other transformations noted by scholars seeking to explain the rise of omnivorousness. Those include the “emergence of an inclusive national culture, linking local economies, identities, and lifestyles” (Hall 1984); the occlusion of administrative control of the arts from an essentially hereditary, urban elite by a large class of upwardly-mobile college graduates (DiMaggio 2000); the subsequent managerial revolution in the arts (Zolberg 1986; Meyer 1979; DiMaggio 1991, 2000); the expansion of art education, advocacy, and trade union and guild solidarity by artists (McDonald 1969: 345); and the expansion of public, foundation, and corporate support for the arts (Zolberg 1981, 1986; DiMaggio 2000). Some have also pointed toward macro-social transformations including pervasive and powerful media presentations of global culture (Appadurai 1996; Kuipers and de Kloet 2009; Wright, Purhonen and Heikkilä 2013), the exhaustion of the modernist aesthetic as a cultural force and the subsequent hegemony of consumer culture (Wright 2011; Hanquinet, Roose and Savage 2014), and increasing social and geographic mobility (Peterson and Kern 1996; Van Eijck 2001; Daenekindt and Roose 2014; Emmison 2003).</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current research is not designed to adjudicate between possible explanations for our primary finding of an Omnivorous Generation, we hypothesize that some lines of inquiry are more likely to yield results than others. Any theory that contains generative mechanisms with stable state properties, or which exert increasing influence, like social and geographic mobility, can not explain a </w:t>
      </w:r>
      <w:r w:rsidDel="00000000" w:rsidR="00000000" w:rsidRPr="00000000">
        <w:rPr>
          <w:i w:val="1"/>
          <w:iCs w:val="1"/>
          <w:rtl w:val="0"/>
        </w:rPr>
        <w:t xml:space="preserve">generational</w:t>
      </w:r>
      <w:r w:rsidDel="00000000" w:rsidR="00000000" w:rsidRPr="00000000">
        <w:rPr>
          <w:rtl w:val="0"/>
        </w:rPr>
        <w:t xml:space="preserve"> effect. That we witness declining arts participation and declining rates of omnivorousness in more recent birth cohorts, suggests that this specie of mechanism is unlikely to be present.</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reasonable to expect that the legacy of institutional work enacted during the Progressive Era would carry forward, producing multiple subsequent generations of omnivores. Yet, our results (Table 3) indicate that the cohorts born after the mid-1950s have baseline or slightly below baseline likelihoods of consuming all eight cultural forms. Why do levels of omnivorousness decline in the post-1950s birth cohorts? We have focused our analysis on the main finding of an omnivorous generation, but we can offer some speculation about the conditions that might have produced its apparent decline. These include the gradual decline of organizational resources, the shift of subsidy from artists to audiences, and potential drift of status-defining tastes toward forms of culture that are not captured by these data.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While most additions to the canon remained, and the basic classification schema remained in place, the end of the New Deal heralded the gradual decline of other resources. Art schools closed, murals were over-painted, and comprehensive work relief for artists ended by the war years. Federal subsidies for individual artists were reintroduced by the National Endowment for the Arts (NEA) after it was established by Congress in 1965, but these were competitive grants programs designed to facilitate artistic excellence and innovation. When NEA individual grants were effectively ended in 1994 in the wake of controversies around funding for the so-called “NEA Four,” federal cultural policy shifted to support organizations and to increase audience access and participation (Chartrand and McCaughey 1989).</w:t>
      </w:r>
      <w:r w:rsidDel="00000000" w:rsidR="00000000" w:rsidRPr="00000000">
        <w:rPr>
          <w:vertAlign w:val="superscript"/>
        </w:rPr>
        <w:footnoteReference w:customMarkFollows="0" w:id="10"/>
      </w:r>
      <w:r w:rsidDel="00000000" w:rsidR="00000000" w:rsidRPr="00000000">
        <w:rPr>
          <w:rtl w:val="0"/>
        </w:rPr>
        <w:t xml:space="preserve"> Finally, while it is difficult to compare dollar-to-dollar the impact of WPA-era agencies and the NEA (due to distributed and poor record-keeping in the 1930s and 40s, and the “multiplying effect” of NEA grants which throws off estimates of their “real” value), the government was the primary supporter of the arts in the Progressive Era, but now provides only 10% of financial support for arts organizations, only 2% of which comes from the feds, and only 1% from the NEA (Cowen 2004). In short, the amount and provisioning of resources to support the arts is unique from 1931 to about 1943, and so the constellation of factors that produced the omnivorous generation were only partially (and sometimes only weakly) present for their children. However, there is demonstrable evidence to confirm our argument that there is an association between the rise of omnivorousness and the legitimation of new works and new genres, but not because there is a “meltdown scenario” in which the arts have begun to fail as a signal of cultural capital (DiMaggio and Mukhtar 2004).</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sure, some Americans consume both vernacular culture and art. We have argued that this breadth of interest is a condition for initiating the process of artistic legitimation, the outcome of which is the expansion of artistic canons to include new works, and the broadening of definitions of art to include new genres and styles. Is there a young omnivorous generation that our analysis is missing because the art they consume is not queried by the SPPA? Scholars pursuing this result would have to identify organizational and institutional transformations in the post-War arts that led to new patterns in status-granting behavior. They would then identify multiple categories of newly legitimate arts that are independent of those queried on the SPPA. Since the core participation questions we utilize focus on some organizational sites where multiple genres of art are presented (e.g., “art museums”), it may be difficult to identify participation in newly legitimate arts that are not already being tapped by the existing questions. In other cases (e.g., graphic novels), there is scholarly consensus that the field is undergoing artistic legitimation, yet we might reasonably state respondents do not have a place to indicate their participation in this art form on the SPPA. Even when that is the case, such results are unlikely to eliminate the generational effect reported herein, as they are robust to multiple specifications</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rtl w:val="0"/>
        </w:rPr>
        <w:t xml:space="preserve">see Appendix),</w:t>
      </w:r>
      <w:r w:rsidDel="00000000" w:rsidR="00000000" w:rsidRPr="00000000">
        <w:rPr>
          <w:rtl w:val="0"/>
        </w:rPr>
        <w:t xml:space="preserve"> </w:t>
      </w:r>
      <w:r w:rsidDel="00000000" w:rsidR="00000000" w:rsidRPr="00000000">
        <w:rPr>
          <w:rtl w:val="0"/>
        </w:rPr>
        <w:t xml:space="preserve">and mainly bear on the question of whether later generations exist.</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it is important to note that some studies of omnivorousness have relaxed the association of the concept with taste hierarchies, and instead utilize it as a way of thinking of how cultural tastes link individuals to groups, and groups to one another. If you begin from this premise--very different from our own--that contemporary Americans have broad tastes for many kinds of culture, the SPPA will be a frustrating and dull instrument. It provides little information on participation in the many forms of contemporary, popular culture that are most broadly enjoyed (e.g., video games, NASCAR), and categories are so broadly defined as to obscure salient distinctions, especially between generations. For example, the music preference questions ask respondents if they enjoy “rock,” a style of music that has entertained multiple generations of fans who may not enjoy the same style of music in real terms, as some of them are imagining Elvis Presley and others Marilyn Manson. The respecification of the concept of omnivorousness to refer to “taste groups” has led to profound confusion in the field; we think it’s original use in dialogue with art genres holds the greatest potential for future research.</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literature on omnivorousness has grown, scholars have discovered evidence in multiple other nations, including Netherlands, France, Germany, Spain, Austria, and Australia among others (see Peterson 2015 for a review). Does global evidence of omnivorousness indicate our hypothesized association with organizational and institutional change in the American arts during the post-Progressive Era is a weak explanation? First, it is important to note that none of these studies, to our knowledge, seek to identify generational patterns that may be present. We hope to inspire scholars working with non-U.S. data to investigate the possibility that omnivorousness can function as a </w:t>
      </w:r>
      <w:r w:rsidDel="00000000" w:rsidR="00000000" w:rsidRPr="00000000">
        <w:rPr>
          <w:i w:val="1"/>
          <w:iCs w:val="1"/>
          <w:rtl w:val="0"/>
        </w:rPr>
        <w:t xml:space="preserve">generational </w:t>
      </w:r>
      <w:r w:rsidDel="00000000" w:rsidR="00000000" w:rsidRPr="00000000">
        <w:rPr>
          <w:rtl w:val="0"/>
        </w:rPr>
        <w:t xml:space="preserve">trait, because group-level measurement of the phenomenon is the ideal method to adjudicate these hypotheses.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such discoveries were made, scholars would have to explain how varied policy structures (and funding models) produced similar distributions of taste (and prestige). In the broadest sense, the factors that gave birth to the Omnivorous Generation (e.g., economic depression, state and educational expansion) were felt around the world. We expect that the capacity and orientation of federal governments to respond to those conditions with cultural policy solutions varied greatly. The timing, scale, and focus of any such investment would impact the likelihood that generational effects would result, and would resemble those we have identified in the U.S. In point of fact, the direct subsidies of the 1930s appear to have produced an Omnivorous Generation in the U.S., while reliance on third-party provision of organizational grants to encourage participation (post-1965) has not. All government support for the arts is not equal, and that logic must guide replication studies abroad.</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also possible that organizational and institutional transformations abroad could have resulted from isomorphic pressures exerted by changes in the U.S., without having grounding in any domestic work relief program. Whether there are broad cross-national commonalities or synchronicities in the emergence and generational location of omnivorous expression should be left as an empirical question to be answered in each national setting.</w:t>
      </w:r>
    </w:p>
    <w:p w:rsidR="00000000" w:rsidDel="00000000" w:rsidP="00000000" w:rsidRDefault="00000000" w:rsidRPr="00000000" w14:paraId="0000007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vdxr1tubkb2" w:id="34"/>
      <w:bookmarkEnd w:id="34"/>
      <w:r w:rsidDel="00000000" w:rsidR="00000000" w:rsidRPr="00000000">
        <w:rPr>
          <w:rtl w:val="0"/>
        </w:rPr>
        <w:t xml:space="preserve">4.0 Discussion and Concluding Remarks</w:t>
      </w:r>
    </w:p>
    <w:p w:rsidR="00000000" w:rsidDel="00000000" w:rsidP="00000000" w:rsidRDefault="00000000" w:rsidRPr="00000000" w14:paraId="00000074">
      <w:pPr>
        <w:pStyle w:val="Heading2"/>
        <w:pageBreakBefore w:val="0"/>
        <w:pBdr>
          <w:top w:space="0" w:sz="0" w:val="nil"/>
          <w:left w:space="0" w:sz="0" w:val="nil"/>
          <w:bottom w:space="0" w:sz="0" w:val="nil"/>
          <w:right w:space="0" w:sz="0" w:val="nil"/>
          <w:between w:space="0" w:sz="0" w:val="nil"/>
        </w:pBdr>
        <w:shd w:fill="auto" w:val="clear"/>
        <w:spacing w:after="200" w:before="400" w:lineRule="auto"/>
        <w:rPr/>
      </w:pPr>
      <w:bookmarkStart w:colFirst="0" w:colLast="0" w:name="_4zkxdswleydh" w:id="35"/>
      <w:bookmarkEnd w:id="35"/>
      <w:r w:rsidDel="00000000" w:rsidR="00000000" w:rsidRPr="00000000">
        <w:rPr>
          <w:rtl w:val="0"/>
        </w:rPr>
        <w:t xml:space="preserve">4.1 Epochal shifts versus Generations: Consequences for Omnivorousness Research</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w:t>
      </w:r>
      <w:r w:rsidDel="00000000" w:rsidR="00000000" w:rsidRPr="00000000">
        <w:rPr>
          <w:rtl w:val="0"/>
        </w:rPr>
        <w:t xml:space="preserve">e have examined the consequences for cultural consumption of a </w:t>
      </w:r>
      <w:r w:rsidDel="00000000" w:rsidR="00000000" w:rsidRPr="00000000">
        <w:rPr>
          <w:rtl w:val="0"/>
        </w:rPr>
        <w:t xml:space="preserve">transformation in the artistic classification system.</w:t>
      </w:r>
      <w:r w:rsidDel="00000000" w:rsidR="00000000" w:rsidRPr="00000000">
        <w:rPr>
          <w:rtl w:val="0"/>
        </w:rPr>
        <w:t xml:space="preserve"> This allows us to link institutional activity around the category of American art to historically enduring dispositions in the likelihood of different generational clusters to broadly engage the arts. In this way, the current research is of relevance to work on the sources of transformation in cultural taste</w:t>
      </w:r>
      <w:r w:rsidDel="00000000" w:rsidR="00000000" w:rsidRPr="00000000">
        <w:rPr>
          <w:rtl w:val="0"/>
        </w:rPr>
        <w:t xml:space="preserve"> (DiMaggio and Mukhtar 2004; López-Sintas and Katz-Gerro 2005; Garcia-Alvarez, López-Sintas and Katz-Gerro 2007; Johnston and Baumann </w:t>
      </w:r>
      <w:r w:rsidDel="00000000" w:rsidR="00000000" w:rsidRPr="00000000">
        <w:rPr>
          <w:rtl w:val="0"/>
        </w:rPr>
        <w:t xml:space="preserve">2007</w:t>
      </w:r>
      <w:r w:rsidDel="00000000" w:rsidR="00000000" w:rsidRPr="00000000">
        <w:rPr>
          <w:rtl w:val="0"/>
        </w:rPr>
        <w:t xml:space="preserve">; Rossman and Peterson 2015). </w:t>
      </w:r>
      <w:r w:rsidDel="00000000" w:rsidR="00000000" w:rsidRPr="00000000">
        <w:rPr>
          <w:rtl w:val="0"/>
        </w:rPr>
        <w:t xml:space="preserve">Our analysis advances the literature in demonstrating the analytic payoff of taking temporality seriously for the purpose of elucidating the mechanisms that generate cultural tastes (Reeves 2015). </w:t>
      </w:r>
      <w:r w:rsidDel="00000000" w:rsidR="00000000" w:rsidRPr="00000000">
        <w:rPr>
          <w:rtl w:val="0"/>
        </w:rPr>
        <w:t xml:space="preserve">Unlike our peers, we focus on omnivorousness as a group-level phenomenon,  demonstrating how the uptake of cultural goods previously marked as vernacular culture by art publics is conditioned by historically specific processes of institutional change, institution building, and cultural expansion. Our argument addresses a key issue raised by a small but growing chorus of voices clamoring to situate the omnivore taste phenomenon in a more encompassing macro-historical </w:t>
      </w:r>
      <w:r w:rsidDel="00000000" w:rsidR="00000000" w:rsidRPr="00000000">
        <w:rPr>
          <w:rtl w:val="0"/>
        </w:rPr>
        <w:t xml:space="preserve">context</w:t>
      </w:r>
      <w:r w:rsidDel="00000000" w:rsidR="00000000" w:rsidRPr="00000000">
        <w:rPr>
          <w:rtl w:val="0"/>
        </w:rPr>
        <w:t xml:space="preserve">, one attentive to case-specific historical trajectories (Johnston and Baumann 2007; Fishman and Lizardo 2013; </w:t>
      </w:r>
      <w:r w:rsidDel="00000000" w:rsidR="00000000" w:rsidRPr="00000000">
        <w:rPr>
          <w:rtl w:val="0"/>
        </w:rPr>
        <w:t xml:space="preserve">Hanquinet, Roose and Savage 2014</w:t>
      </w:r>
      <w:r w:rsidDel="00000000" w:rsidR="00000000" w:rsidRPr="00000000">
        <w:rPr>
          <w:rtl w:val="0"/>
        </w:rPr>
        <w:t xml:space="preserve">; </w:t>
      </w:r>
      <w:r w:rsidDel="00000000" w:rsidR="00000000" w:rsidRPr="00000000">
        <w:rPr>
          <w:rtl w:val="0"/>
        </w:rPr>
        <w:t xml:space="preserve">Prieur and Savage 2013</w:t>
      </w:r>
      <w:r w:rsidDel="00000000" w:rsidR="00000000" w:rsidRPr="00000000">
        <w:rPr>
          <w:rtl w:val="0"/>
        </w:rPr>
        <w:t xml:space="preserve">; Lizardo 2008; Wright 2011).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shown that historically rooted institutional processes constituted a generation distinct in its relative openness to engagement across a wide set of artistic offerings. Our results thus point to the possibility that the accumulation of new tastes can be a group level phenomenon, emerging as a response to the dynamic expansion of the arts to include formerly vernacular or “</w:t>
      </w:r>
      <w:r w:rsidDel="00000000" w:rsidR="00000000" w:rsidRPr="00000000">
        <w:rPr>
          <w:rtl w:val="0"/>
        </w:rPr>
        <w:t xml:space="preserve">middlebrow</w:t>
      </w:r>
      <w:r w:rsidDel="00000000" w:rsidR="00000000" w:rsidRPr="00000000">
        <w:rPr>
          <w:rtl w:val="0"/>
        </w:rPr>
        <w:t xml:space="preserve">” fare, particularly after the mid-century. Importantly, this implies that speaking of omnivorousness in terms that do not take into account the specific historical conditions under which clusters of individuals come of age has its limitations. Simply put, future research needs to consider the possibility that the current focus on individual-level omnivorousness masks variegated, partially overlapping institutional processes of artistic valorization, whose outcomes ripple through distinct generations of art </w:t>
      </w:r>
      <w:r w:rsidDel="00000000" w:rsidR="00000000" w:rsidRPr="00000000">
        <w:rPr>
          <w:rtl w:val="0"/>
        </w:rPr>
        <w:t xml:space="preserve">consumers</w:t>
      </w:r>
      <w:r w:rsidDel="00000000" w:rsidR="00000000" w:rsidRPr="00000000">
        <w:rPr>
          <w:rtl w:val="0"/>
        </w:rPr>
        <w:t xml:space="preserve"> in historically uneven, temporally “lumpy” ways. Some scholars have begun to test the impact of macro- and meso-structural factors to explain the rise of omnivorousness, to mixed results. Such investigations typically fail to reveal variation in highbrow omnivores, and scholars then discard the explanatory role of contextual factors (e.g. Lambert et al 2005).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analysis does suggest that while attention to institutional, organizational, and state-led projects geared towards the expansion of the aesthetic canon is important, ultimately the “historicality” produced by these factors must ultimately be encoded in individuals to be causally </w:t>
      </w:r>
      <w:r w:rsidDel="00000000" w:rsidR="00000000" w:rsidRPr="00000000">
        <w:rPr>
          <w:rtl w:val="0"/>
        </w:rPr>
        <w:t xml:space="preserve">effective</w:t>
      </w:r>
      <w:r w:rsidDel="00000000" w:rsidR="00000000" w:rsidRPr="00000000">
        <w:rPr>
          <w:rtl w:val="0"/>
        </w:rPr>
        <w:t xml:space="preserve"> (Abbott 2016). In addition, because individuals carry these encodings forward over their lifetime, the effects of institutional transformations go beyond their immediate (contemporaneous) influence. Instead, culture consumption behavior may exhibit consistent heterogeneity that is not fully traceable to current opportunities and constraints (“period effects”) but which instead need to be traced to generational legacy effects (Greve and Rao 2014).  Most research in the field focuses on individual level stratification within generations, traceable to class, gender, or </w:t>
      </w:r>
      <w:r w:rsidDel="00000000" w:rsidR="00000000" w:rsidRPr="00000000">
        <w:rPr>
          <w:rtl w:val="0"/>
        </w:rPr>
        <w:t xml:space="preserve">race</w:t>
      </w:r>
      <w:r w:rsidDel="00000000" w:rsidR="00000000" w:rsidRPr="00000000">
        <w:rPr>
          <w:rtl w:val="0"/>
        </w:rPr>
        <w:t xml:space="preserve">.</w:t>
      </w:r>
      <w:r w:rsidDel="00000000" w:rsidR="00000000" w:rsidRPr="00000000">
        <w:rPr>
          <w:vertAlign w:val="superscript"/>
        </w:rPr>
        <w:footnoteReference w:customMarkFollows="0" w:id="11"/>
      </w:r>
      <w:r w:rsidDel="00000000" w:rsidR="00000000" w:rsidRPr="00000000">
        <w:rPr>
          <w:rtl w:val="0"/>
        </w:rPr>
        <w:t xml:space="preserve"> We argue that explanations of the existence of a generationally specific forms of avid engagement in the arts are enhanced by understanding major institutional and organizational transformations during the Progressive Era. We may make our explanations of</w:t>
      </w:r>
      <w:r w:rsidDel="00000000" w:rsidR="00000000" w:rsidRPr="00000000">
        <w:rPr>
          <w:rtl w:val="0"/>
        </w:rPr>
        <w:t xml:space="preserve"> heterogeneity</w:t>
      </w:r>
      <w:r w:rsidDel="00000000" w:rsidR="00000000" w:rsidRPr="00000000">
        <w:rPr>
          <w:rtl w:val="0"/>
        </w:rPr>
        <w:t xml:space="preserve"> in cultural engagement (in the U.S., abroad, or cross-nationally) more robust by linking structured differences to historical conditions of genesis rather than looking at more temporally proximate factors. This should be a focus of further research on the subject. </w:t>
      </w:r>
    </w:p>
    <w:p w:rsidR="00000000" w:rsidDel="00000000" w:rsidP="00000000" w:rsidRDefault="00000000" w:rsidRPr="00000000" w14:paraId="00000078">
      <w:pPr>
        <w:pStyle w:val="Heading2"/>
        <w:pageBreakBefore w:val="0"/>
        <w:pBdr>
          <w:top w:space="0" w:sz="0" w:val="nil"/>
          <w:left w:space="0" w:sz="0" w:val="nil"/>
          <w:bottom w:space="0" w:sz="0" w:val="nil"/>
          <w:right w:space="0" w:sz="0" w:val="nil"/>
          <w:between w:space="0" w:sz="0" w:val="nil"/>
        </w:pBdr>
        <w:shd w:fill="auto" w:val="clear"/>
        <w:spacing w:after="200" w:before="400" w:lineRule="auto"/>
        <w:rPr/>
      </w:pPr>
      <w:bookmarkStart w:colFirst="0" w:colLast="0" w:name="_xgmh7e581y4v" w:id="36"/>
      <w:bookmarkEnd w:id="36"/>
      <w:r w:rsidDel="00000000" w:rsidR="00000000" w:rsidRPr="00000000">
        <w:rPr>
          <w:rtl w:val="0"/>
        </w:rPr>
        <w:t xml:space="preserve">4.2 Contributions to Comparative Cultural Policy </w:t>
      </w:r>
      <w:r w:rsidDel="00000000" w:rsidR="00000000" w:rsidRPr="00000000">
        <w:rPr>
          <w:rtl w:val="0"/>
        </w:rPr>
        <w:t xml:space="preserve">Studies</w:t>
      </w: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policy implications of both our argument and our findings are potentially quite significant, especially when thinking about the (intended and unintended) consequences of state support for the arts (DiMaggio and Useem 1978; Alexander 1996; Alexander and Rueschemeyer 2005). Our analysis suggests that government subventions to the arts, and institutional work around the aesthetic valorization of folk culture, can produce a generation of omnivores--highly engaged and broadly curious consumers--and a generation or more of creative innovators. The health and vitality of arts sectors thus depends on the existence of robust delivery systems which serve to expose incoming cohorts at the right (e.g. “coming of age”) moment in the life course. Young individuals, especially those outside of elite circles, may depend upon these delivery and exposure systems to engage the arts. The degradation of such systems via disinvestment, defunding, or retraction to class-segregated, privatized venues may result in permanent shocks including entire generations withdrawing from certain forms of cultural engagement. This is consistent with the long-standing claim that artistic producers are better off under high public support systems than market-dominated systems (Alexander and Rueschemeyer 2005).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Additionally, our results support the relatively under-explored thesis that broad, public engagement with the arts (the “demand side” of the equation) is highly dependent on how the arts are institutionally “framed” at the national level and that state action may have a lot do with this framing (Alexander 2008). Cohorts coming of age before the late 1950s were exposed to an environment in which the arts were portrayed as more class-differentiated, the supply of accessible works relatively scarcer, and the moral purpose of arts consumption less likely to be framed as serving “national” (as opposed to elite-centered) interests. It is possible that the consolidation and expansion of the avant garde art world in the major American urban centers, including New York City, Chicago and San Francisco (Crane 1989), coupled with the subsequent retrenchment in public support for the arts in the Reagan-Thatcher era, may have produced a generational reversal in engagement.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conclusion, our results are consistent with comparative evidence (e.g. Virtanen 2003; Alexander and Rueschemeyer 2005): where public support for the arts is still relatively generous (e.g. Scandinavian social democracies), engagement with the arts is both more intense and less differentiated by such markers of status such as education. Our analysis suggests that the U.S. enjoyed such a “social democratic” historical moment, leaving a lasting impact on the Omnivorous Generation of art consumers, and facilitating a moment of great institutional change in which the artistic canon expanded our access to the </w:t>
      </w:r>
      <w:r w:rsidDel="00000000" w:rsidR="00000000" w:rsidRPr="00000000">
        <w:rPr>
          <w:i w:val="1"/>
          <w:iCs w:val="1"/>
          <w:rtl w:val="0"/>
        </w:rPr>
        <w:t xml:space="preserve">real</w:t>
      </w:r>
      <w:r w:rsidDel="00000000" w:rsidR="00000000" w:rsidRPr="00000000">
        <w:rPr>
          <w:rtl w:val="0"/>
        </w:rPr>
        <w:t xml:space="preserve"> American character. </w:t>
      </w:r>
    </w:p>
    <w:p w:rsidR="00000000" w:rsidDel="00000000" w:rsidP="00000000" w:rsidRDefault="00000000" w:rsidRPr="00000000" w14:paraId="0000007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xwtg6dx6sw7r" w:id="37"/>
      <w:bookmarkEnd w:id="37"/>
      <w:r w:rsidDel="00000000" w:rsidR="00000000" w:rsidRPr="00000000">
        <w:rPr>
          <w:rtl w:val="0"/>
        </w:rPr>
        <w:t xml:space="preserve">Appendix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noted above, the age-period-cohort problem is ultimately one of perfect collinearity between three pieces of information, and there are no assumption-free ways of resolving that collinearity. The HAPC framework provides one way of tackling the issue while making reasonable, sociological assumptions (e.g. treating cohort and period clusters as overlapping “groups”). However, since we want to draw substantively meaningful empirical conclusions from this analysis, the reader may wonder how sensible such conclusions are to the assumptions embedded in the method. In this section we evaluate the robustness of the results presented earlier by ascertaining whether we can replicate the substantively similar differences between the cohort groups using alternative analytic strategies. </w:t>
      </w:r>
    </w:p>
    <w:p w:rsidR="00000000" w:rsidDel="00000000" w:rsidP="00000000" w:rsidRDefault="00000000" w:rsidRPr="00000000" w14:paraId="0000007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ffhk0vpz8v0o" w:id="38"/>
      <w:bookmarkEnd w:id="38"/>
      <w:r w:rsidDel="00000000" w:rsidR="00000000" w:rsidRPr="00000000">
        <w:rPr>
          <w:rtl w:val="0"/>
        </w:rPr>
        <w:t xml:space="preserve">1.0 Fixed Effects HAPC Estimator</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way to check the robustness of the results is to examine their resilience when we relax a key assumption of the HAPC strategy: that the cohort and period “group” effects can be parsimoniously modelled as “random effects” (parametric deviations from an average effect assumed to follow a normal distribution with constant variance) rather than being specified directly (e.g. by entering vector dummy variables for each period and cohort group into the regression). As Yang and Land (2008) note, this latter “fixed effects” strategy is perfectly feasible, although they ultimately recommend the random-effects approach on the grounds of parsimony and computational efficiency. However, one possible drawback of the random-effects HAPC model is that certain results (e.g. large positive deviations for the 1930 to 1955 generations) may be produced by over-smoothing underlying non-linear cohort trends. Yang and Land (2008) thus recommend checking results from the two estimation strategies for consistency.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[Figure 4  About Here]</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Estimates of cohort-specific levels of engagement (at 5-year intervals) estimated from the random-effects and fixed-effects estimation approaches are shown in Figure 3. As the figure shows, both estimation strategies reveal a reverse “U” shaped cohort trend peaking between </w:t>
      </w:r>
      <w:r w:rsidDel="00000000" w:rsidR="00000000" w:rsidRPr="00000000">
        <w:rPr>
          <w:rtl w:val="0"/>
        </w:rPr>
        <w:t xml:space="preserve">1930 and </w:t>
      </w:r>
      <w:r w:rsidDel="00000000" w:rsidR="00000000" w:rsidRPr="00000000">
        <w:rPr>
          <w:rtl w:val="0"/>
        </w:rPr>
        <w:t xml:space="preserve">1950 for all eight core SPPA activities. Significantly, this analysis demonstrates that the HAPC approach actually </w:t>
      </w:r>
      <w:r w:rsidDel="00000000" w:rsidR="00000000" w:rsidRPr="00000000">
        <w:rPr>
          <w:i w:val="1"/>
          <w:iCs w:val="1"/>
          <w:rtl w:val="0"/>
        </w:rPr>
        <w:t xml:space="preserve">underestimates </w:t>
      </w:r>
      <w:r w:rsidDel="00000000" w:rsidR="00000000" w:rsidRPr="00000000">
        <w:rPr>
          <w:rtl w:val="0"/>
        </w:rPr>
        <w:t xml:space="preserve">the differences between the cohorts born between 1930 and 1950 especially when it comes to the key contrast with their older</w:t>
      </w:r>
      <w:r w:rsidDel="00000000" w:rsidR="00000000" w:rsidRPr="00000000">
        <w:rPr>
          <w:i w:val="1"/>
          <w:iCs w:val="1"/>
          <w:rtl w:val="0"/>
        </w:rPr>
        <w:t xml:space="preserve"> </w:t>
      </w:r>
      <w:r w:rsidDel="00000000" w:rsidR="00000000" w:rsidRPr="00000000">
        <w:rPr>
          <w:rtl w:val="0"/>
        </w:rPr>
        <w:t xml:space="preserve">counterparts (successors). This is true for all activities except Jazz and Classical music concerts. This is indicated by the more pronounced “peak” in the fixed-effect, cohort-specific estimates in comparison to the random-effects estimates of culture consumption activity and the much lower fixed-effects predictions for those born before 1930. These differences are more pronounced for Musicals, Art Museums, Art Festivals, and Historic Monuments. As such, it is safe to say that the random-effects HAPC models revealed the presence of an omnivorous generation in spite of the fact that, in this particular application, they turned out to be a more conservative estimation </w:t>
      </w:r>
      <w:r w:rsidDel="00000000" w:rsidR="00000000" w:rsidRPr="00000000">
        <w:rPr>
          <w:rtl w:val="0"/>
        </w:rPr>
        <w:t xml:space="preserve">strategy</w:t>
      </w:r>
      <w:r w:rsidDel="00000000" w:rsidR="00000000" w:rsidRPr="00000000">
        <w:rPr>
          <w:rtl w:val="0"/>
        </w:rPr>
        <w:t xml:space="preserve"> especially in “smoothing” the differences between the omnivorous generation and their immediate predecessors.</w:t>
      </w:r>
    </w:p>
    <w:p w:rsidR="00000000" w:rsidDel="00000000" w:rsidP="00000000" w:rsidRDefault="00000000" w:rsidRPr="00000000" w14:paraId="0000008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8tk70z4idr3" w:id="39"/>
      <w:bookmarkEnd w:id="39"/>
      <w:r w:rsidDel="00000000" w:rsidR="00000000" w:rsidRPr="00000000">
        <w:rPr>
          <w:rtl w:val="0"/>
        </w:rPr>
        <w:t xml:space="preserve">2.0 Corroborating Omnivorous Generation Boundaries via the Graphical Method</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relatively simple (and thus undemanding of these data) strategy is the “graphical” approach for disaggregating period and cohort effects advocated by Reeves (2015) in the context of arts participation data. This is an approach Voas and Chaves (2016) follow when identifying cohort changes in </w:t>
      </w:r>
      <w:r w:rsidDel="00000000" w:rsidR="00000000" w:rsidRPr="00000000">
        <w:rPr>
          <w:rtl w:val="0"/>
        </w:rPr>
        <w:t xml:space="preserve">religious </w:t>
      </w:r>
      <w:r w:rsidDel="00000000" w:rsidR="00000000" w:rsidRPr="00000000">
        <w:rPr>
          <w:rtl w:val="0"/>
        </w:rPr>
        <w:t xml:space="preserve">participation in the U.S. Here, we use it to validate the criterion validity of the cohort boundaries delimiting the omnivorous generation.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graphical approach consists of the visual inspection of plots with survey year on the x-axis and a given outcome on the y-axis, with separate lines (either theoretically or empirically determined) for cohort clusters. In Figure 5, we examine the probability of participation in the eight core activities for three 25-year cohort clusters: 1900 through 1925, 1930 through 1955 (the “Omnivorous Generation” according to the HAPC models), and 1960 through 1985. Note that no “estimation” is required here as these are descriptive plots, although the cohort cutoffs are derived from the HAPC estimates. The plots should be read as follows: any “horizontal” trends (e.g. upwards, downwards, flat, curvilinear) indicate the (cohort-specific) period effect; any “vertical” differences indicate a cohort effect net of period (e.g. a line standing atop another one indicates a positive effect for the first cohort).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[Figure 5 About Here]</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These results provide strong support for the claim that there is a significant break in culture consumption behavior separating people born before 1930 from those born between 1930 and 1955. Across all eight core activities, members of the latter group display substantially higher levels of engagement (thick, dotted line) than the earlier birth cohort (thin, solid line). In terms of the differences between this cohort and their generational successors (thin, dotted line), the results are more equivocal but still suggestive of strong levels of generational differentiation. Members of the Omnivorous Generation display higher levels of engagement with Classical, Musicals, and Opera than their younger counterparts across all six SPPA surveys. Considering Ballet, Art Festivals (and Craft Fairs), Historical Monuments, and Art Museums, we see generational differentiation favoring members of the 1930 to 1955 generation but only in surveys taken during the 1980s and 1990s, with convergence thereafter. Jazz is the only field for which members of the Omnivorous Generation report comparable levels of engagement with other cohorts. </w:t>
      </w:r>
      <w:r w:rsidDel="00000000" w:rsidR="00000000" w:rsidRPr="00000000">
        <w:rPr>
          <w:rtl w:val="0"/>
        </w:rPr>
        <w:t xml:space="preserve">This pattern of results may be indicative of the fact that persons born in the earlier years of the </w:t>
      </w:r>
      <w:r w:rsidDel="00000000" w:rsidR="00000000" w:rsidRPr="00000000">
        <w:rPr>
          <w:rtl w:val="0"/>
        </w:rPr>
        <w:t xml:space="preserve">Omnivorous Generation</w:t>
      </w:r>
      <w:r w:rsidDel="00000000" w:rsidR="00000000" w:rsidRPr="00000000">
        <w:rPr>
          <w:rtl w:val="0"/>
        </w:rPr>
        <w:t xml:space="preserve"> (e.g. 1930 - 1945) may have been more distinctive in their relatively avid culture consumption, and more likely to exit the survey via mortality (after the 1990s), in relation to persons born thereafter</w:t>
      </w:r>
      <w:r w:rsidDel="00000000" w:rsidR="00000000" w:rsidRPr="00000000">
        <w:rPr>
          <w:rtl w:val="0"/>
        </w:rPr>
        <w:t xml:space="preserve">.</w:t>
      </w:r>
    </w:p>
    <w:p w:rsidR="00000000" w:rsidDel="00000000" w:rsidP="00000000" w:rsidRDefault="00000000" w:rsidRPr="00000000" w14:paraId="0000008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mordjztft53d" w:id="40"/>
      <w:bookmarkEnd w:id="40"/>
      <w:r w:rsidDel="00000000" w:rsidR="00000000" w:rsidRPr="00000000">
        <w:rPr>
          <w:rtl w:val="0"/>
        </w:rPr>
        <w:t xml:space="preserve">3.0 Was the Omnivorous Generation More Likely to Have Higher Levels of Early Exposure to the Arts?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results have led us to hypothesize that members of the Omnivorous Generation were more likely to be exposed to the arts as a result of state support, institutionalization, elite advocacy, and aesthetic valorization work starting during the Progressive Era. The historical evidence provides strong support for the idea that persons who came age during this period of expansion of the artistic canon and incorporation and sponsorship of American vernacular modernism had the </w:t>
      </w:r>
      <w:r w:rsidDel="00000000" w:rsidR="00000000" w:rsidRPr="00000000">
        <w:rPr>
          <w:i w:val="1"/>
          <w:iCs w:val="1"/>
          <w:rtl w:val="0"/>
        </w:rPr>
        <w:t xml:space="preserve">potential</w:t>
      </w:r>
      <w:r w:rsidDel="00000000" w:rsidR="00000000" w:rsidRPr="00000000">
        <w:rPr>
          <w:rtl w:val="0"/>
        </w:rPr>
        <w:t xml:space="preserve"> to have greater exposure to the arts. Is there direct evidence for this exposure?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1973 Americans and the Arts survey (fielded by the National Research Center of the Arts) contained a series of items in which interviewees were asked about their level of exposure to the arts when they were growing up.</w:t>
      </w:r>
      <w:r w:rsidDel="00000000" w:rsidR="00000000" w:rsidRPr="00000000">
        <w:rPr>
          <w:vertAlign w:val="superscript"/>
        </w:rPr>
        <w:footnoteReference w:customMarkFollows="0" w:id="12"/>
      </w:r>
      <w:r w:rsidDel="00000000" w:rsidR="00000000" w:rsidRPr="00000000">
        <w:rPr>
          <w:rtl w:val="0"/>
        </w:rPr>
        <w:t xml:space="preserve"> Respondents were selected via a multistage, cluster random sampling design; thus, when weighted, the data are representative of the U.S. population at the time.</w:t>
      </w:r>
      <w:r w:rsidDel="00000000" w:rsidR="00000000" w:rsidRPr="00000000">
        <w:rPr>
          <w:vertAlign w:val="superscript"/>
        </w:rPr>
        <w:footnoteReference w:customMarkFollows="0" w:id="13"/>
      </w:r>
      <w:r w:rsidDel="00000000" w:rsidR="00000000" w:rsidRPr="00000000">
        <w:rPr>
          <w:rtl w:val="0"/>
        </w:rPr>
        <w:t xml:space="preserve">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Respondents were asked:</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"When you were growing up how often did you go to [activity] with your family or with friends - often, sometimes, hardly ever, or never?"</w:t>
      </w: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survey (</w:t>
      </w:r>
      <w:r w:rsidDel="00000000" w:rsidR="00000000" w:rsidRPr="00000000">
        <w:rPr>
          <w:i w:val="1"/>
          <w:iCs w:val="1"/>
          <w:rtl w:val="0"/>
        </w:rPr>
        <w:t xml:space="preserve">N </w:t>
      </w:r>
      <w:r w:rsidDel="00000000" w:rsidR="00000000" w:rsidRPr="00000000">
        <w:rPr>
          <w:rtl w:val="0"/>
        </w:rPr>
        <w:t xml:space="preserve">= 3,005) asked this question for seven activities: 1) plays, 2) art museums, 3) concerts, 4) opera, 5) science or natural history museums, 6) historical sites, 7) ballet/modern dance. Six of these activities (excepting science museums) count as arts participation activities and resemble the core SPPA categories. In the survey, respondent’s age comes pre-coded into eight age-group categories. We calculated the respondent’s birth cohort from this variable by subtracting 1973 from the age group bounds. We address the question of whether cohort differences in early arts exposure exist by specifying an ordered logit model predicting exposure frequency (in the four ordered categories specified in the question wording example above, recoding all “not sure” responses to “never”) from the cohort group variable. In the models, we adjust for gender, educational attainment at the time of the survey, race, and region of residence. We allow for (expected) nonlinear trends in the cohort effect estimates by entering the cohort group term as a linear and a square term. The main set of results, in the form of the sum of expected probabilities of response categories indicating some level of exposure to the arts (e.g. “often” and “sometimes”) for each cohort/age group, are shown in Figure 6. If our combined historical-quantitative argument is on the right track, we should find that persons born between 1930 and 1955 should report greater early exposure to the arts than persons born before them.</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color w:val="222222"/>
          <w:sz w:val="19"/>
          <w:szCs w:val="19"/>
          <w:highlight w:val="white"/>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[Figure 6  About Here]</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Figure 6 shows, our results provide strong support for the contention that members of the Omnivorous Generation experienced higher odds of having at least some exposure to the arts when they were coming of age than members of the immediately preceding cohorts. Respondents born in the late 1930s, 1940s and the first half of the 1950s report having experienced (substantively and statistically) significantly higher levels of early life exposure to theater, ballet and modern dance, music concerts, art museums, and historical monuments than those born before 1930.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instance, while somebody born in the 1910s or 1920s had less than a 30% chance of having been exposed to art museums while growing up, people born in the later 1930s to the early 1950s have closer to a 40% chance of the same outcome. Differences are starker with respect to attendance at historical monuments and sites, with those born before 1930 being almost half as likely to have enjoyed these activities while growing up. Only opera demonstrated more equivocal results, but cross-cohort differences can be observed for every other art activity, always favoring the omnivorous generation over their pre-1930 predecessors.</w:t>
      </w:r>
      <w:r w:rsidDel="00000000" w:rsidR="00000000" w:rsidRPr="00000000">
        <w:rPr>
          <w:vertAlign w:val="superscript"/>
        </w:rPr>
        <w:footnoteReference w:customMarkFollows="0" w:id="14"/>
      </w:r>
      <w:r w:rsidDel="00000000" w:rsidR="00000000" w:rsidRPr="00000000">
        <w:rPr>
          <w:rtl w:val="0"/>
        </w:rPr>
        <w:t xml:space="preserve"> In all, these results provide strong corroborating information for the underlying mechanisms suggested by the historical analysis presented </w:t>
      </w:r>
      <w:r w:rsidDel="00000000" w:rsidR="00000000" w:rsidRPr="00000000">
        <w:rPr>
          <w:rtl w:val="0"/>
        </w:rPr>
        <w:t xml:space="preserve">above</w:t>
      </w:r>
      <w:r w:rsidDel="00000000" w:rsidR="00000000" w:rsidRPr="00000000">
        <w:rPr>
          <w:rtl w:val="0"/>
        </w:rPr>
        <w:t xml:space="preserve">. </w:t>
      </w:r>
    </w:p>
    <w:p w:rsidR="00000000" w:rsidDel="00000000" w:rsidP="00000000" w:rsidRDefault="00000000" w:rsidRPr="00000000" w14:paraId="0000009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d5vn1v2l8di" w:id="41"/>
      <w:bookmarkEnd w:id="41"/>
      <w:r w:rsidDel="00000000" w:rsidR="00000000" w:rsidRPr="00000000">
        <w:rPr>
          <w:rtl w:val="0"/>
        </w:rPr>
        <w:t xml:space="preserve">References</w:t>
      </w:r>
    </w:p>
    <w:p w:rsidR="00000000" w:rsidDel="00000000" w:rsidP="00000000" w:rsidRDefault="00000000" w:rsidRPr="00000000" w14:paraId="00000098">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vbpuzz74il3z" w:id="42"/>
      <w:bookmarkEnd w:id="42"/>
      <w:r w:rsidDel="00000000" w:rsidR="00000000" w:rsidRPr="00000000">
        <w:rPr>
          <w:rFonts w:ascii="Garamond" w:cs="Garamond" w:eastAsia="Garamond" w:hAnsi="Garamond"/>
          <w:color w:val="000000"/>
          <w:sz w:val="26"/>
          <w:szCs w:val="26"/>
          <w:rtl w:val="0"/>
        </w:rPr>
        <w:t xml:space="preserve">Abbott, Andrew. 2016. “The Historicality of Individuals.” Pp. 3-15 in Processual Sociology. University of Chicago Press.</w:t>
      </w:r>
    </w:p>
    <w:p w:rsidR="00000000" w:rsidDel="00000000" w:rsidP="00000000" w:rsidRDefault="00000000" w:rsidRPr="00000000" w14:paraId="00000099">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aeq8b562saho" w:id="43"/>
      <w:bookmarkEnd w:id="43"/>
      <w:r w:rsidDel="00000000" w:rsidR="00000000" w:rsidRPr="00000000">
        <w:rPr>
          <w:rFonts w:ascii="Garamond" w:cs="Garamond" w:eastAsia="Garamond" w:hAnsi="Garamond"/>
          <w:color w:val="000000"/>
          <w:sz w:val="26"/>
          <w:szCs w:val="26"/>
          <w:rtl w:val="0"/>
        </w:rPr>
        <w:t xml:space="preserve">Alexander, Victoria D. </w:t>
      </w:r>
      <w:r w:rsidDel="00000000" w:rsidR="00000000" w:rsidRPr="00000000">
        <w:rPr>
          <w:rFonts w:ascii="Garamond" w:cs="Garamond" w:eastAsia="Garamond" w:hAnsi="Garamond"/>
          <w:color w:val="000000"/>
          <w:sz w:val="26"/>
          <w:szCs w:val="26"/>
          <w:rtl w:val="0"/>
        </w:rPr>
        <w:t xml:space="preserve">1996. “Pictures at an Exhibition: Conflicting Pressures in Museums and the Display of Art.” American Journal of Sociology. Vol. 101 (4): 797-839.</w:t>
      </w:r>
    </w:p>
    <w:p w:rsidR="00000000" w:rsidDel="00000000" w:rsidP="00000000" w:rsidRDefault="00000000" w:rsidRPr="00000000" w14:paraId="0000009A">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h8itulb4f2v6" w:id="44"/>
      <w:bookmarkEnd w:id="44"/>
      <w:r w:rsidDel="00000000" w:rsidR="00000000" w:rsidRPr="00000000">
        <w:rPr>
          <w:rFonts w:ascii="Garamond" w:cs="Garamond" w:eastAsia="Garamond" w:hAnsi="Garamond"/>
          <w:color w:val="000000"/>
          <w:sz w:val="26"/>
          <w:szCs w:val="26"/>
          <w:rtl w:val="0"/>
        </w:rPr>
        <w:t xml:space="preserve">Alexander, Victoria D. 2008. “Cultural organizations and the state: art and state support in contemporary Britain.” Sociology Compass 2(5): 1416-1430.</w:t>
      </w:r>
    </w:p>
    <w:p w:rsidR="00000000" w:rsidDel="00000000" w:rsidP="00000000" w:rsidRDefault="00000000" w:rsidRPr="00000000" w14:paraId="0000009B">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fev8ogzieuwx" w:id="45"/>
      <w:bookmarkEnd w:id="45"/>
      <w:r w:rsidDel="00000000" w:rsidR="00000000" w:rsidRPr="00000000">
        <w:rPr>
          <w:rFonts w:ascii="Garamond" w:cs="Garamond" w:eastAsia="Garamond" w:hAnsi="Garamond"/>
          <w:color w:val="000000"/>
          <w:sz w:val="26"/>
          <w:szCs w:val="26"/>
          <w:rtl w:val="0"/>
        </w:rPr>
        <w:t xml:space="preserve">Alexander, Victoria D. and Marilyn Rueschemeyer 2005. Art and the State: The Visual Arts in Comparative Perspective. London: Palgrave Macmillan.</w:t>
      </w:r>
    </w:p>
    <w:p w:rsidR="00000000" w:rsidDel="00000000" w:rsidP="00000000" w:rsidRDefault="00000000" w:rsidRPr="00000000" w14:paraId="0000009C">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an31b6dxbhhd" w:id="46"/>
      <w:bookmarkEnd w:id="46"/>
      <w:r w:rsidDel="00000000" w:rsidR="00000000" w:rsidRPr="00000000">
        <w:rPr>
          <w:rFonts w:ascii="Garamond" w:cs="Garamond" w:eastAsia="Garamond" w:hAnsi="Garamond"/>
          <w:color w:val="000000"/>
          <w:sz w:val="26"/>
          <w:szCs w:val="26"/>
          <w:rtl w:val="0"/>
        </w:rPr>
        <w:t xml:space="preserve">Allen, Michael Patrick, and Anne E Lincoln. 2004. “Critical Discourse and the Cultural Consecration of American Films.” Social Forces 82: 871-894.</w:t>
      </w:r>
    </w:p>
    <w:p w:rsidR="00000000" w:rsidDel="00000000" w:rsidP="00000000" w:rsidRDefault="00000000" w:rsidRPr="00000000" w14:paraId="0000009D">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Appadurai, Arjun. 1996. Modernity at Large: Cultural Dimensions of Globalization. University of Minnesota Press.</w:t>
      </w:r>
    </w:p>
    <w:p w:rsidR="00000000" w:rsidDel="00000000" w:rsidP="00000000" w:rsidRDefault="00000000" w:rsidRPr="00000000" w14:paraId="0000009E">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Bacon, Mardges. 2005. “Modernism and the Vernacular at the Museum of Modern Art, New York.” Pp. 25-52 in Vernacular Modernism: Heimat, Globalization, and the Built Environment, Umbach, Maiken and Bernd Hüppauf (eds.). Stanford: Stanford UP. </w:t>
      </w:r>
    </w:p>
    <w:p w:rsidR="00000000" w:rsidDel="00000000" w:rsidP="00000000" w:rsidRDefault="00000000" w:rsidRPr="00000000" w14:paraId="0000009F">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Baumann, Shyon. 2001. “Intellectualization and Art World Development: Film in the United States.” American Sociological Review. Vol. 66: 404-426.</w:t>
      </w:r>
    </w:p>
    <w:p w:rsidR="00000000" w:rsidDel="00000000" w:rsidP="00000000" w:rsidRDefault="00000000" w:rsidRPr="00000000" w14:paraId="000000A0">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wahy467no9r0" w:id="48"/>
      <w:bookmarkEnd w:id="48"/>
      <w:r w:rsidDel="00000000" w:rsidR="00000000" w:rsidRPr="00000000">
        <w:rPr>
          <w:rFonts w:ascii="Garamond" w:cs="Garamond" w:eastAsia="Garamond" w:hAnsi="Garamond"/>
          <w:color w:val="000000"/>
          <w:sz w:val="26"/>
          <w:szCs w:val="26"/>
          <w:rtl w:val="0"/>
        </w:rPr>
        <w:t xml:space="preserve">Biddle, George. 1939. An American Artist’s Story. Little, Brown &amp; Co. Boston.</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ind w:left="720"/>
        <w:rPr/>
      </w:pPr>
      <w:r w:rsidDel="00000000" w:rsidR="00000000" w:rsidRPr="00000000">
        <w:rPr>
          <w:rtl w:val="0"/>
        </w:rPr>
        <w:t xml:space="preserve">Bourdieu, Pierre. 1965. </w:t>
      </w:r>
      <w:r w:rsidDel="00000000" w:rsidR="00000000" w:rsidRPr="00000000">
        <w:rPr>
          <w:i w:val="1"/>
          <w:iCs w:val="1"/>
          <w:rtl w:val="0"/>
        </w:rPr>
        <w:t xml:space="preserve">Un Art Moyen: Essai sur les Usages Sociaux de la Photographie</w:t>
      </w:r>
      <w:r w:rsidDel="00000000" w:rsidR="00000000" w:rsidRPr="00000000">
        <w:rPr>
          <w:rtl w:val="0"/>
        </w:rPr>
        <w:t xml:space="preserve">. Paris: Editions de Minuit.</w:t>
      </w:r>
    </w:p>
    <w:p w:rsidR="00000000" w:rsidDel="00000000" w:rsidP="00000000" w:rsidRDefault="00000000" w:rsidRPr="00000000" w14:paraId="000000A2">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Bourdieu, Pierre. 1987. Distinction: A Social Critique of the Judgement of Taste. Cambridge: Harvard UP.</w:t>
      </w:r>
    </w:p>
    <w:p w:rsidR="00000000" w:rsidDel="00000000" w:rsidP="00000000" w:rsidRDefault="00000000" w:rsidRPr="00000000" w14:paraId="000000A3">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Bourdieu, Pierre. 1993. The Field of Cultural Production. New York: Columbia University Press. </w:t>
      </w:r>
    </w:p>
    <w:p w:rsidR="00000000" w:rsidDel="00000000" w:rsidP="00000000" w:rsidRDefault="00000000" w:rsidRPr="00000000" w14:paraId="000000A4">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Bourdieu, Pierre. 1996. The Rules of Art: Genesis and Structure of the Literary Field. Polity Press, Cambridge, UK.</w:t>
      </w:r>
    </w:p>
    <w:p w:rsidR="00000000" w:rsidDel="00000000" w:rsidP="00000000" w:rsidRDefault="00000000" w:rsidRPr="00000000" w14:paraId="000000A5">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vpu7wwtv6ex5" w:id="49"/>
      <w:bookmarkEnd w:id="49"/>
      <w:r w:rsidDel="00000000" w:rsidR="00000000" w:rsidRPr="00000000">
        <w:rPr>
          <w:rFonts w:ascii="Garamond" w:cs="Garamond" w:eastAsia="Garamond" w:hAnsi="Garamond"/>
          <w:color w:val="000000"/>
          <w:sz w:val="26"/>
          <w:szCs w:val="26"/>
          <w:rtl w:val="0"/>
        </w:rPr>
        <w:t xml:space="preserve">Chartrand, H. and C. McCaughey. 1989. “The Arm’s Length Principle and The Arts: An International Perspective--Past, Present, and Future.” In M. Cummings and M. Schuster Eds., Who’s To Pay for the Arts? An International Search for Models of Support. New York: ACA Books.</w:t>
      </w:r>
    </w:p>
    <w:p w:rsidR="00000000" w:rsidDel="00000000" w:rsidP="00000000" w:rsidRDefault="00000000" w:rsidRPr="00000000" w14:paraId="000000A6">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shnk89d7vcx5" w:id="50"/>
      <w:bookmarkEnd w:id="50"/>
      <w:r w:rsidDel="00000000" w:rsidR="00000000" w:rsidRPr="00000000">
        <w:rPr>
          <w:rFonts w:ascii="Garamond" w:cs="Garamond" w:eastAsia="Garamond" w:hAnsi="Garamond"/>
          <w:color w:val="000000"/>
          <w:sz w:val="26"/>
          <w:szCs w:val="26"/>
          <w:rtl w:val="0"/>
        </w:rPr>
        <w:t xml:space="preserve">Clemens, Elisabeth S, and James M Cook. 1999. “Politics and institutionalism: Explaining durability and change.” Annual Review of Sociology 25: 441-466.</w:t>
      </w:r>
    </w:p>
    <w:p w:rsidR="00000000" w:rsidDel="00000000" w:rsidP="00000000" w:rsidRDefault="00000000" w:rsidRPr="00000000" w14:paraId="000000A7">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mmt4qb520hqw" w:id="51"/>
      <w:bookmarkEnd w:id="51"/>
      <w:r w:rsidDel="00000000" w:rsidR="00000000" w:rsidRPr="00000000">
        <w:rPr>
          <w:rFonts w:ascii="Garamond" w:cs="Garamond" w:eastAsia="Garamond" w:hAnsi="Garamond"/>
          <w:color w:val="000000"/>
          <w:sz w:val="26"/>
          <w:szCs w:val="26"/>
          <w:rtl w:val="0"/>
        </w:rPr>
        <w:t xml:space="preserve">Conner, Lynne. 2008 “In and Out of the Dark: A Theory about Audience Behavior from Sophocles to Spoken Word.” Pp. 103-124 in Engaging Art: The Next Great Transformation of America’s Cultural Life, edited by S. J. Tepper and B. Ivey. New York: Routledge.</w:t>
      </w:r>
    </w:p>
    <w:p w:rsidR="00000000" w:rsidDel="00000000" w:rsidP="00000000" w:rsidRDefault="00000000" w:rsidRPr="00000000" w14:paraId="000000A8">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pPr>
      <w:bookmarkStart w:colFirst="0" w:colLast="0" w:name="_2ydu88vfx17x" w:id="52"/>
      <w:bookmarkEnd w:id="52"/>
      <w:r w:rsidDel="00000000" w:rsidR="00000000" w:rsidRPr="00000000">
        <w:rPr>
          <w:rFonts w:ascii="Garamond" w:cs="Garamond" w:eastAsia="Garamond" w:hAnsi="Garamond"/>
          <w:color w:val="000000"/>
          <w:sz w:val="26"/>
          <w:szCs w:val="26"/>
          <w:rtl w:val="0"/>
        </w:rPr>
        <w:t xml:space="preserve">Cowen, Tyler. 2004. “How the United States Funds the Arts.” Washington D.C.: National Endowment for the Arts, Office of Research and Analysis.</w:t>
      </w:r>
      <w:r w:rsidDel="00000000" w:rsidR="00000000" w:rsidRPr="00000000">
        <w:rPr>
          <w:rtl w:val="0"/>
        </w:rPr>
      </w:r>
    </w:p>
    <w:p w:rsidR="00000000" w:rsidDel="00000000" w:rsidP="00000000" w:rsidRDefault="00000000" w:rsidRPr="00000000" w14:paraId="000000A9">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ustm8yvqr4cy" w:id="53"/>
      <w:bookmarkEnd w:id="53"/>
      <w:r w:rsidDel="00000000" w:rsidR="00000000" w:rsidRPr="00000000">
        <w:rPr>
          <w:rFonts w:ascii="Garamond" w:cs="Garamond" w:eastAsia="Garamond" w:hAnsi="Garamond"/>
          <w:color w:val="000000"/>
          <w:sz w:val="26"/>
          <w:szCs w:val="26"/>
          <w:rtl w:val="0"/>
        </w:rPr>
        <w:t xml:space="preserve">Crane, Diana. 1989. The Transformation of the Avant-Garde: The New York Art World, 1940-1985. University of Chicago Press.</w:t>
      </w:r>
    </w:p>
    <w:p w:rsidR="00000000" w:rsidDel="00000000" w:rsidP="00000000" w:rsidRDefault="00000000" w:rsidRPr="00000000" w14:paraId="000000AA">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o4pv4nsgtajo" w:id="54"/>
      <w:bookmarkEnd w:id="54"/>
      <w:r w:rsidDel="00000000" w:rsidR="00000000" w:rsidRPr="00000000">
        <w:rPr>
          <w:rFonts w:ascii="Garamond" w:cs="Garamond" w:eastAsia="Garamond" w:hAnsi="Garamond"/>
          <w:color w:val="000000"/>
          <w:sz w:val="26"/>
          <w:szCs w:val="26"/>
          <w:rtl w:val="0"/>
        </w:rPr>
        <w:t xml:space="preserve">Daenekindt, Stijn and Henk Roose. 2014. “Social Mobility and Cultural Dissonance.” Poetics 42: 82-97.</w:t>
      </w:r>
    </w:p>
    <w:p w:rsidR="00000000" w:rsidDel="00000000" w:rsidP="00000000" w:rsidRDefault="00000000" w:rsidRPr="00000000" w14:paraId="000000AB">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DiMaggio, Paul. 1982. “Cultural Entrepreneurship in 19th Century Boston.”  I &amp; II, Media Culture and Society.  4: 33-50, 303-322.</w:t>
      </w:r>
    </w:p>
    <w:p w:rsidR="00000000" w:rsidDel="00000000" w:rsidP="00000000" w:rsidRDefault="00000000" w:rsidRPr="00000000" w14:paraId="000000AC">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vyzut8hy6y30" w:id="55"/>
      <w:bookmarkEnd w:id="55"/>
      <w:r w:rsidDel="00000000" w:rsidR="00000000" w:rsidRPr="00000000">
        <w:rPr>
          <w:rFonts w:ascii="Garamond" w:cs="Garamond" w:eastAsia="Garamond" w:hAnsi="Garamond"/>
          <w:color w:val="000000"/>
          <w:sz w:val="26"/>
          <w:szCs w:val="26"/>
          <w:rtl w:val="0"/>
        </w:rPr>
        <w:t xml:space="preserve">DiMaggio, Paul. 1987. “Classification in Art.” American Sociological Review. 52: 440-55. </w:t>
      </w:r>
    </w:p>
    <w:p w:rsidR="00000000" w:rsidDel="00000000" w:rsidP="00000000" w:rsidRDefault="00000000" w:rsidRPr="00000000" w14:paraId="000000AD">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rjl4mfn258h2" w:id="56"/>
      <w:bookmarkEnd w:id="56"/>
      <w:r w:rsidDel="00000000" w:rsidR="00000000" w:rsidRPr="00000000">
        <w:rPr>
          <w:rFonts w:ascii="Garamond" w:cs="Garamond" w:eastAsia="Garamond" w:hAnsi="Garamond"/>
          <w:color w:val="000000"/>
          <w:sz w:val="26"/>
          <w:szCs w:val="26"/>
          <w:rtl w:val="0"/>
        </w:rPr>
        <w:t xml:space="preserve">DiMaggio, Paul. 1991. Constructing an Organizational Field as a Professional Project: U.s. Art Museums, 1920-1940. Pp. 267-292 in Walter W. Powell and Paul J. DiMaggio (eds.), The New Institutionalism in Organizational Analysis. Chicago, IL: University of Chicago Press.</w:t>
      </w: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ind w:left="720"/>
        <w:rPr/>
      </w:pPr>
      <w:r w:rsidDel="00000000" w:rsidR="00000000" w:rsidRPr="00000000">
        <w:rPr>
          <w:rtl w:val="0"/>
        </w:rPr>
        <w:t xml:space="preserve">DiMaggio, Paul. 2000. “Social Structure, Institutions, and Cultural Goods: The Case of the United States.” Pp. 38-62 in Gigi Bradford, Michael Gary, and Glenn Wallach (eds.), </w:t>
      </w:r>
      <w:r w:rsidDel="00000000" w:rsidR="00000000" w:rsidRPr="00000000">
        <w:rPr>
          <w:i w:val="1"/>
          <w:iCs w:val="1"/>
          <w:rtl w:val="0"/>
        </w:rPr>
        <w:t xml:space="preserve">The Politics of Culture: Policy Perspectives for Individuals, Institutions, and Communities. </w:t>
      </w:r>
      <w:r w:rsidDel="00000000" w:rsidR="00000000" w:rsidRPr="00000000">
        <w:rPr>
          <w:rtl w:val="0"/>
        </w:rPr>
        <w:t xml:space="preserve">New York, NY: The New Press.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ind w:left="720"/>
        <w:rPr/>
      </w:pPr>
      <w:r w:rsidDel="00000000" w:rsidR="00000000" w:rsidRPr="00000000">
        <w:rPr>
          <w:rtl w:val="0"/>
        </w:rPr>
        <w:t xml:space="preserve">DiMaggio, Paul, and Michael Useem. 1978. “Cultural Democracy in a Period of Cultural Expansion: The Social Composition of Arts Audiences in the United States.” </w:t>
      </w:r>
      <w:r w:rsidDel="00000000" w:rsidR="00000000" w:rsidRPr="00000000">
        <w:rPr>
          <w:i w:val="1"/>
          <w:iCs w:val="1"/>
          <w:rtl w:val="0"/>
        </w:rPr>
        <w:t xml:space="preserve">Social Problems</w:t>
      </w:r>
      <w:r w:rsidDel="00000000" w:rsidR="00000000" w:rsidRPr="00000000">
        <w:rPr>
          <w:rtl w:val="0"/>
        </w:rPr>
        <w:t xml:space="preserve"> 26: 179-197.</w:t>
      </w:r>
    </w:p>
    <w:p w:rsidR="00000000" w:rsidDel="00000000" w:rsidP="00000000" w:rsidRDefault="00000000" w:rsidRPr="00000000" w14:paraId="000000B0">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as95zpulbb3" w:id="57"/>
      <w:bookmarkEnd w:id="57"/>
      <w:r w:rsidDel="00000000" w:rsidR="00000000" w:rsidRPr="00000000">
        <w:rPr>
          <w:rFonts w:ascii="Garamond" w:cs="Garamond" w:eastAsia="Garamond" w:hAnsi="Garamond"/>
          <w:color w:val="000000"/>
          <w:sz w:val="26"/>
          <w:szCs w:val="26"/>
          <w:rtl w:val="0"/>
        </w:rPr>
        <w:t xml:space="preserve">DiMaggio, Paul and Toqir Mukhtar. 2004. “Arts Participation as Cultural Capital in the United States, 1982-2002: Signs of Decline?” Poetics. 32: 169-194.</w:t>
      </w: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ind w:left="720"/>
        <w:rPr/>
      </w:pPr>
      <w:r w:rsidDel="00000000" w:rsidR="00000000" w:rsidRPr="00000000">
        <w:rPr>
          <w:rtl w:val="0"/>
        </w:rPr>
        <w:t xml:space="preserve">Emmison, Michael.  2003. “Social Class and Social Mobility: Reconfiguring the Cultural Omnivore Thesis.” </w:t>
      </w:r>
      <w:r w:rsidDel="00000000" w:rsidR="00000000" w:rsidRPr="00000000">
        <w:rPr>
          <w:i w:val="1"/>
          <w:iCs w:val="1"/>
          <w:rtl w:val="0"/>
        </w:rPr>
        <w:t xml:space="preserve">Journal of Sociology</w:t>
      </w:r>
      <w:r w:rsidDel="00000000" w:rsidR="00000000" w:rsidRPr="00000000">
        <w:rPr>
          <w:rtl w:val="0"/>
        </w:rPr>
        <w:t xml:space="preserve">. 39: 211-230.</w:t>
      </w:r>
    </w:p>
    <w:p w:rsidR="00000000" w:rsidDel="00000000" w:rsidP="00000000" w:rsidRDefault="00000000" w:rsidRPr="00000000" w14:paraId="000000B2">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Federal Works Agency. 1947. Final report on the WPA program, 1935-43.  U.S. Government Printing Office. Washington, D.C. United States. </w:t>
      </w:r>
    </w:p>
    <w:p w:rsidR="00000000" w:rsidDel="00000000" w:rsidP="00000000" w:rsidRDefault="00000000" w:rsidRPr="00000000" w14:paraId="000000B3">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Ferguson, Priscilla. 1998. “A Cultural Field in the Making: Gastronomy in 19</w:t>
      </w:r>
      <w:r w:rsidDel="00000000" w:rsidR="00000000" w:rsidRPr="00000000">
        <w:rPr>
          <w:rFonts w:ascii="Garamond" w:cs="Garamond" w:eastAsia="Garamond" w:hAnsi="Garamond"/>
          <w:color w:val="000000"/>
          <w:sz w:val="26"/>
          <w:szCs w:val="26"/>
          <w:vertAlign w:val="superscript"/>
          <w:rtl w:val="0"/>
        </w:rPr>
        <w:t xml:space="preserve">th</w:t>
      </w:r>
      <w:r w:rsidDel="00000000" w:rsidR="00000000" w:rsidRPr="00000000">
        <w:rPr>
          <w:rFonts w:ascii="Garamond" w:cs="Garamond" w:eastAsia="Garamond" w:hAnsi="Garamond"/>
          <w:color w:val="000000"/>
          <w:sz w:val="26"/>
          <w:szCs w:val="26"/>
          <w:rtl w:val="0"/>
        </w:rPr>
        <w:t xml:space="preserve">-Century France.” American Journal of Sociology. Vol. 104: 597-641.</w:t>
      </w:r>
    </w:p>
    <w:p w:rsidR="00000000" w:rsidDel="00000000" w:rsidP="00000000" w:rsidRDefault="00000000" w:rsidRPr="00000000" w14:paraId="000000B4">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3exmk99ynm9i" w:id="58"/>
      <w:bookmarkEnd w:id="58"/>
      <w:r w:rsidDel="00000000" w:rsidR="00000000" w:rsidRPr="00000000">
        <w:rPr>
          <w:rFonts w:ascii="Garamond" w:cs="Garamond" w:eastAsia="Garamond" w:hAnsi="Garamond"/>
          <w:color w:val="000000"/>
          <w:sz w:val="26"/>
          <w:szCs w:val="26"/>
          <w:rtl w:val="0"/>
        </w:rPr>
        <w:t xml:space="preserve">Fishman, Robert M, and Omar Lizardo. 2013. “How Macro-Historical Change Shapes Cultural Taste Legacies of Democratization in Spain and Portugal.” American Sociological Review 78: 213-239.</w:t>
      </w:r>
    </w:p>
    <w:p w:rsidR="00000000" w:rsidDel="00000000" w:rsidP="00000000" w:rsidRDefault="00000000" w:rsidRPr="00000000" w14:paraId="000000B5">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7et5oqbz9bvn" w:id="59"/>
      <w:bookmarkEnd w:id="59"/>
      <w:r w:rsidDel="00000000" w:rsidR="00000000" w:rsidRPr="00000000">
        <w:rPr>
          <w:rFonts w:ascii="Garamond" w:cs="Garamond" w:eastAsia="Garamond" w:hAnsi="Garamond"/>
          <w:color w:val="000000"/>
          <w:sz w:val="26"/>
          <w:szCs w:val="26"/>
          <w:rtl w:val="0"/>
        </w:rPr>
        <w:t xml:space="preserve">Foushee, Ola Maie. 1972.  </w:t>
      </w:r>
      <w:r w:rsidDel="00000000" w:rsidR="00000000" w:rsidRPr="00000000">
        <w:rPr>
          <w:rFonts w:ascii="Garamond" w:cs="Garamond" w:eastAsia="Garamond" w:hAnsi="Garamond"/>
          <w:i w:val="1"/>
          <w:iCs w:val="1"/>
          <w:color w:val="000000"/>
          <w:sz w:val="26"/>
          <w:szCs w:val="26"/>
          <w:rtl w:val="0"/>
        </w:rPr>
        <w:t xml:space="preserve">Art in North Carolina: Episodes and Development, 1585-1970</w:t>
      </w:r>
      <w:r w:rsidDel="00000000" w:rsidR="00000000" w:rsidRPr="00000000">
        <w:rPr>
          <w:rFonts w:ascii="Garamond" w:cs="Garamond" w:eastAsia="Garamond" w:hAnsi="Garamond"/>
          <w:color w:val="000000"/>
          <w:sz w:val="26"/>
          <w:szCs w:val="26"/>
          <w:rtl w:val="0"/>
        </w:rPr>
        <w:t xml:space="preserve">. Charlotte, NC.</w:t>
      </w:r>
    </w:p>
    <w:p w:rsidR="00000000" w:rsidDel="00000000" w:rsidP="00000000" w:rsidRDefault="00000000" w:rsidRPr="00000000" w14:paraId="000000B6">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g9syfy2cpkbj" w:id="60"/>
      <w:bookmarkEnd w:id="60"/>
      <w:r w:rsidDel="00000000" w:rsidR="00000000" w:rsidRPr="00000000">
        <w:rPr>
          <w:rFonts w:ascii="Garamond" w:cs="Garamond" w:eastAsia="Garamond" w:hAnsi="Garamond"/>
          <w:color w:val="000000"/>
          <w:sz w:val="26"/>
          <w:szCs w:val="26"/>
          <w:rtl w:val="0"/>
        </w:rPr>
        <w:t xml:space="preserve">Gans, Herbert J. 1999. Popular Culture and High Culture: An Analysis and Evaluation of Taste. New York: Basic Books.</w:t>
      </w:r>
    </w:p>
    <w:p w:rsidR="00000000" w:rsidDel="00000000" w:rsidP="00000000" w:rsidRDefault="00000000" w:rsidRPr="00000000" w14:paraId="000000B7">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25qb35hmg1l5" w:id="61"/>
      <w:bookmarkEnd w:id="61"/>
      <w:r w:rsidDel="00000000" w:rsidR="00000000" w:rsidRPr="00000000">
        <w:rPr>
          <w:rFonts w:ascii="Garamond" w:cs="Garamond" w:eastAsia="Garamond" w:hAnsi="Garamond"/>
          <w:color w:val="000000"/>
          <w:sz w:val="26"/>
          <w:szCs w:val="26"/>
          <w:rtl w:val="0"/>
        </w:rPr>
        <w:t xml:space="preserve">García-Álvarez, Ercilia, Tally Katz-Gerro, and Jordi López-Sintas. 2007. “Deconstructing Cultural Omnivorousness 1982–2002: Heterology in Americans’ Musical Preferences.” Social Forces 86: 417-443.</w:t>
      </w:r>
    </w:p>
    <w:p w:rsidR="00000000" w:rsidDel="00000000" w:rsidP="00000000" w:rsidRDefault="00000000" w:rsidRPr="00000000" w14:paraId="000000B8">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Greengard, Stephen N., Ellen Sragow, Gustave von Groschwitz, Jerry Roth, Riva Helfond, Harold Lehman, Minna Citron, and Harry Gottlieb. 1986. “Ten Crucial Years: The Development of United States Government Sponsored Artists Programs 1933-1943: A Panel Discussion by Six WPA Artists. The Journal of Decorative and Propaganda Arts. Vol. 1: 40-61.</w:t>
      </w:r>
    </w:p>
    <w:p w:rsidR="00000000" w:rsidDel="00000000" w:rsidP="00000000" w:rsidRDefault="00000000" w:rsidRPr="00000000" w14:paraId="000000B9">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vwl7xsdaegc4" w:id="62"/>
      <w:bookmarkEnd w:id="62"/>
      <w:r w:rsidDel="00000000" w:rsidR="00000000" w:rsidRPr="00000000">
        <w:rPr>
          <w:rFonts w:ascii="Garamond" w:cs="Garamond" w:eastAsia="Garamond" w:hAnsi="Garamond"/>
          <w:color w:val="000000"/>
          <w:sz w:val="26"/>
          <w:szCs w:val="26"/>
          <w:rtl w:val="0"/>
        </w:rPr>
        <w:t xml:space="preserve">Greve, Henrich R and Hayagreeva Rao. 2014. “History and the present: Institutional legacies in communities of organizations.” Research in Organizational Behavior 34: 27-41.</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t xml:space="preserve">Griswold, Wendy. 2016. </w:t>
      </w:r>
      <w:r w:rsidDel="00000000" w:rsidR="00000000" w:rsidRPr="00000000">
        <w:rPr>
          <w:i w:val="1"/>
          <w:iCs w:val="1"/>
          <w:rtl w:val="0"/>
        </w:rPr>
        <w:t xml:space="preserve">American Guides: The Federal Writers’ Project and the Casting of American Culture.</w:t>
      </w:r>
      <w:r w:rsidDel="00000000" w:rsidR="00000000" w:rsidRPr="00000000">
        <w:rPr>
          <w:rtl w:val="0"/>
        </w:rPr>
        <w:t xml:space="preserve"> Chicago: University of Chicago Press. </w:t>
      </w:r>
    </w:p>
    <w:p w:rsidR="00000000" w:rsidDel="00000000" w:rsidP="00000000" w:rsidRDefault="00000000" w:rsidRPr="00000000" w14:paraId="000000BB">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mx7om8l1t1tf" w:id="63"/>
      <w:bookmarkEnd w:id="63"/>
      <w:r w:rsidDel="00000000" w:rsidR="00000000" w:rsidRPr="00000000">
        <w:rPr>
          <w:rFonts w:ascii="Garamond" w:cs="Garamond" w:eastAsia="Garamond" w:hAnsi="Garamond"/>
          <w:color w:val="000000"/>
          <w:sz w:val="26"/>
          <w:szCs w:val="26"/>
          <w:rtl w:val="0"/>
        </w:rPr>
        <w:t xml:space="preserve">Hall, Peter D. 1984. The Organization of American Culture. New York University Press.</w:t>
      </w:r>
    </w:p>
    <w:p w:rsidR="00000000" w:rsidDel="00000000" w:rsidP="00000000" w:rsidRDefault="00000000" w:rsidRPr="00000000" w14:paraId="000000BC">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3itf0iivm0mf" w:id="64"/>
      <w:bookmarkEnd w:id="64"/>
      <w:r w:rsidDel="00000000" w:rsidR="00000000" w:rsidRPr="00000000">
        <w:rPr>
          <w:rFonts w:ascii="Garamond" w:cs="Garamond" w:eastAsia="Garamond" w:hAnsi="Garamond"/>
          <w:color w:val="000000"/>
          <w:sz w:val="26"/>
          <w:szCs w:val="26"/>
          <w:rtl w:val="0"/>
        </w:rPr>
        <w:t xml:space="preserve">Hanquinet, Laurie, Henk Roose, and Mike Savage. 2014. “The eyes of the beholder: Aesthetic preferences and the remaking of cultural capital.” Sociology 48: 111-132.</w:t>
      </w:r>
    </w:p>
    <w:p w:rsidR="00000000" w:rsidDel="00000000" w:rsidP="00000000" w:rsidRDefault="00000000" w:rsidRPr="00000000" w14:paraId="000000BD">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Johnston, Josee and Shyon Baumann. 2007. “Democracy versus Distinction: A Study of Omnivorousness in Gourmet Food Writing.” American Journal of Sociology. 113(1): 165-204.</w:t>
      </w:r>
    </w:p>
    <w:p w:rsidR="00000000" w:rsidDel="00000000" w:rsidP="00000000" w:rsidRDefault="00000000" w:rsidRPr="00000000" w14:paraId="000000BE">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3gqvyecsdni8" w:id="65"/>
      <w:bookmarkEnd w:id="65"/>
      <w:r w:rsidDel="00000000" w:rsidR="00000000" w:rsidRPr="00000000">
        <w:rPr>
          <w:rFonts w:ascii="Garamond" w:cs="Garamond" w:eastAsia="Garamond" w:hAnsi="Garamond"/>
          <w:color w:val="000000"/>
          <w:sz w:val="26"/>
          <w:szCs w:val="26"/>
          <w:rtl w:val="0"/>
        </w:rPr>
        <w:t xml:space="preserve">Katz-Gerro, Tally. 2002. “Highbrow Cultural Consumption and Class Distinction in Italy, West Germany, Sweden, and the United States.” Social Forces. 81: 207-229. </w:t>
      </w:r>
    </w:p>
    <w:p w:rsidR="00000000" w:rsidDel="00000000" w:rsidP="00000000" w:rsidRDefault="00000000" w:rsidRPr="00000000" w14:paraId="000000BF">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v0q25k5rswb1" w:id="66"/>
      <w:bookmarkEnd w:id="66"/>
      <w:r w:rsidDel="00000000" w:rsidR="00000000" w:rsidRPr="00000000">
        <w:rPr>
          <w:rFonts w:ascii="Garamond" w:cs="Garamond" w:eastAsia="Garamond" w:hAnsi="Garamond"/>
          <w:color w:val="000000"/>
          <w:sz w:val="26"/>
          <w:szCs w:val="26"/>
          <w:rtl w:val="0"/>
        </w:rPr>
        <w:t xml:space="preserve">Katz-Gerro, Tally, Oriel Sullivan, 2005. “The Omnivore Thesis Revisited: Voracious Cultural Consumers.” Annual Meetings of the American Sociological Association, Philadelphia, PA</w:t>
      </w:r>
    </w:p>
    <w:p w:rsidR="00000000" w:rsidDel="00000000" w:rsidP="00000000" w:rsidRDefault="00000000" w:rsidRPr="00000000" w14:paraId="000000C0">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41tax7haa3el" w:id="67"/>
      <w:bookmarkEnd w:id="67"/>
      <w:r w:rsidDel="00000000" w:rsidR="00000000" w:rsidRPr="00000000">
        <w:rPr>
          <w:rFonts w:ascii="Garamond" w:cs="Garamond" w:eastAsia="Garamond" w:hAnsi="Garamond"/>
          <w:color w:val="000000"/>
          <w:sz w:val="26"/>
          <w:szCs w:val="26"/>
          <w:rtl w:val="0"/>
        </w:rPr>
        <w:t xml:space="preserve">Kraaykamp, Gerbert, and Paul Nieuwbeerta. 2000. “Parental Background and Lifestyle Differentiation in Eastern Europe: Social, Political, and Cultural Intergenerational Transmission in Five Former Socialist Societies.” Social Science Research. 29: 92-122. </w:t>
      </w:r>
    </w:p>
    <w:p w:rsidR="00000000" w:rsidDel="00000000" w:rsidP="00000000" w:rsidRDefault="00000000" w:rsidRPr="00000000" w14:paraId="000000C1">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9zb24xeyhjhl" w:id="68"/>
      <w:bookmarkEnd w:id="68"/>
      <w:r w:rsidDel="00000000" w:rsidR="00000000" w:rsidRPr="00000000">
        <w:rPr>
          <w:rFonts w:ascii="Garamond" w:cs="Garamond" w:eastAsia="Garamond" w:hAnsi="Garamond"/>
          <w:color w:val="000000"/>
          <w:sz w:val="26"/>
          <w:szCs w:val="26"/>
          <w:rtl w:val="0"/>
        </w:rPr>
        <w:t xml:space="preserve">Kuipers, Giselinde, and Jeroen de Kloet. 2009. “Banal Cosmopolitanism and The Lord of the Rings: The Limited Role of National Differences in Global Media Consumption.” Poetics 37(2): 99–118.</w:t>
      </w:r>
    </w:p>
    <w:p w:rsidR="00000000" w:rsidDel="00000000" w:rsidP="00000000" w:rsidRDefault="00000000" w:rsidRPr="00000000" w14:paraId="000000C2">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a3mu4i9pq3k0" w:id="69"/>
      <w:bookmarkEnd w:id="69"/>
      <w:r w:rsidDel="00000000" w:rsidR="00000000" w:rsidRPr="00000000">
        <w:rPr>
          <w:rFonts w:ascii="Cardo" w:cs="Cardo" w:eastAsia="Cardo" w:hAnsi="Cardo"/>
          <w:color w:val="000000"/>
          <w:sz w:val="26"/>
          <w:szCs w:val="26"/>
          <w:rtl w:val="0"/>
        </w:rPr>
        <w:t xml:space="preserve">Lambert, Paul, Bergman, Manfred Max, Prandy, Ken. 2005. “Leisurely Moments or Lifetimes? Contexts and the Study of Leisure, Consumption, and Stratiﬁcation.” Presented at the British Household Panel Survey-2005 Research Conference, Colchester, UK.</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ind w:left="720"/>
        <w:rPr/>
      </w:pPr>
      <w:r w:rsidDel="00000000" w:rsidR="00000000" w:rsidRPr="00000000">
        <w:rPr>
          <w:color w:val="333333"/>
          <w:highlight w:val="white"/>
          <w:rtl w:val="0"/>
        </w:rPr>
        <w:t xml:space="preserve">Lamont, Michele, 1992. Money, Morals, and Manners: The Culture of the French and the American Upper-Middle Class. Chicago: University of Chicago Press.</w:t>
      </w:r>
      <w:r w:rsidDel="00000000" w:rsidR="00000000" w:rsidRPr="00000000">
        <w:rPr>
          <w:rtl w:val="0"/>
        </w:rPr>
      </w:r>
    </w:p>
    <w:p w:rsidR="00000000" w:rsidDel="00000000" w:rsidP="00000000" w:rsidRDefault="00000000" w:rsidRPr="00000000" w14:paraId="000000C4">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g4gs7leo7ypn" w:id="70"/>
      <w:bookmarkEnd w:id="70"/>
      <w:r w:rsidDel="00000000" w:rsidR="00000000" w:rsidRPr="00000000">
        <w:rPr>
          <w:rFonts w:ascii="Garamond" w:cs="Garamond" w:eastAsia="Garamond" w:hAnsi="Garamond"/>
          <w:color w:val="000000"/>
          <w:sz w:val="26"/>
          <w:szCs w:val="26"/>
          <w:rtl w:val="0"/>
        </w:rPr>
        <w:t xml:space="preserve">LaGamma, Alisa, Joanne Pillsbury, Eric Kjellgren, and Yaelle Biro. 2014. “The Nelson A. Rockefeller Vision: Arts of Africa, Oceania, and the Americas.” The Metropolitan Museum of Art Bulletin, LXXII(1). New York: The Metropolitan Museum of Art.</w:t>
      </w:r>
    </w:p>
    <w:p w:rsidR="00000000" w:rsidDel="00000000" w:rsidP="00000000" w:rsidRDefault="00000000" w:rsidRPr="00000000" w14:paraId="000000C5">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k3lw6pw9rr2y" w:id="71"/>
      <w:bookmarkEnd w:id="71"/>
      <w:r w:rsidDel="00000000" w:rsidR="00000000" w:rsidRPr="00000000">
        <w:rPr>
          <w:rFonts w:ascii="Garamond" w:cs="Garamond" w:eastAsia="Garamond" w:hAnsi="Garamond"/>
          <w:color w:val="000000"/>
          <w:sz w:val="26"/>
          <w:szCs w:val="26"/>
          <w:rtl w:val="0"/>
        </w:rPr>
        <w:t xml:space="preserve">Lena, Jennifer C. 2012. Banding Together: How Communities Create Genres in Popular Culture. Princeton University Press.</w:t>
      </w:r>
    </w:p>
    <w:p w:rsidR="00000000" w:rsidDel="00000000" w:rsidP="00000000" w:rsidRDefault="00000000" w:rsidRPr="00000000" w14:paraId="000000C6">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jyy0vhxrvzrp" w:id="72"/>
      <w:bookmarkEnd w:id="72"/>
      <w:r w:rsidDel="00000000" w:rsidR="00000000" w:rsidRPr="00000000">
        <w:rPr>
          <w:rFonts w:ascii="Garamond" w:cs="Garamond" w:eastAsia="Garamond" w:hAnsi="Garamond"/>
          <w:color w:val="000000"/>
          <w:sz w:val="26"/>
          <w:szCs w:val="26"/>
          <w:rtl w:val="0"/>
        </w:rPr>
        <w:t xml:space="preserve">Levine, Lawrence W. 1988. Highbrow/Lowbrow. Cambridge: Harvard University Press.</w:t>
      </w:r>
    </w:p>
    <w:p w:rsidR="00000000" w:rsidDel="00000000" w:rsidP="00000000" w:rsidRDefault="00000000" w:rsidRPr="00000000" w14:paraId="000000C7">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z3q0uo2vidmw" w:id="73"/>
      <w:bookmarkEnd w:id="73"/>
      <w:r w:rsidDel="00000000" w:rsidR="00000000" w:rsidRPr="00000000">
        <w:rPr>
          <w:rFonts w:ascii="Garamond" w:cs="Garamond" w:eastAsia="Garamond" w:hAnsi="Garamond"/>
          <w:color w:val="000000"/>
          <w:sz w:val="26"/>
          <w:szCs w:val="26"/>
          <w:rtl w:val="0"/>
        </w:rPr>
        <w:t xml:space="preserve">Lizardo, Omar. 2008. “The Question of Culture Consumption and Stratification Revisited.” Sociologica 2(2): 0-0.</w:t>
      </w:r>
    </w:p>
    <w:p w:rsidR="00000000" w:rsidDel="00000000" w:rsidP="00000000" w:rsidRDefault="00000000" w:rsidRPr="00000000" w14:paraId="000000C8">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Lizardo, Omar and Sara Skiles. 2009. “Highbrow omnivorousness on the Small Screen? Cultural Industry Systems and Patterns of Cultural Choice in Europe.” Poetics. 37: 1-23.</w:t>
      </w:r>
    </w:p>
    <w:p w:rsidR="00000000" w:rsidDel="00000000" w:rsidP="00000000" w:rsidRDefault="00000000" w:rsidRPr="00000000" w14:paraId="000000C9">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snl6a5ejvfb8" w:id="74"/>
      <w:bookmarkEnd w:id="74"/>
      <w:r w:rsidDel="00000000" w:rsidR="00000000" w:rsidRPr="00000000">
        <w:rPr>
          <w:rFonts w:ascii="Garamond" w:cs="Garamond" w:eastAsia="Garamond" w:hAnsi="Garamond"/>
          <w:color w:val="000000"/>
          <w:sz w:val="26"/>
          <w:szCs w:val="26"/>
          <w:rtl w:val="0"/>
        </w:rPr>
        <w:t xml:space="preserve">Lizardo, Omar and Sara Skiles. 2012. “Reconceptualizing and Theorizing ‘Omnivorousness:’ Genetic and Relational Mechanisms.” Sociological Theory. Vol. 30: 263-282.</w:t>
      </w:r>
    </w:p>
    <w:p w:rsidR="00000000" w:rsidDel="00000000" w:rsidP="00000000" w:rsidRDefault="00000000" w:rsidRPr="00000000" w14:paraId="000000CA">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Lopes, Paul. 2002. The Rise of a Jazz Art World. Cambridge University Press.</w:t>
      </w:r>
    </w:p>
    <w:p w:rsidR="00000000" w:rsidDel="00000000" w:rsidP="00000000" w:rsidRDefault="00000000" w:rsidRPr="00000000" w14:paraId="000000CB">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e95kt8k5h0ga" w:id="75"/>
      <w:bookmarkEnd w:id="75"/>
      <w:r w:rsidDel="00000000" w:rsidR="00000000" w:rsidRPr="00000000">
        <w:rPr>
          <w:rFonts w:ascii="Garamond" w:cs="Garamond" w:eastAsia="Garamond" w:hAnsi="Garamond"/>
          <w:color w:val="000000"/>
          <w:sz w:val="26"/>
          <w:szCs w:val="26"/>
          <w:rtl w:val="0"/>
        </w:rPr>
        <w:t xml:space="preserve">López-Sintas, Jordi and Tally Katz-Gerro. 2005. “From Exclusive to Inclusive Elitists and Further: Twenty Years of Omnivorousness and Cultural Diversity in Arts Participation in the USA.” Poetics. 33: 299-319. </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333333"/>
          <w:highlight w:val="white"/>
          <w:rtl w:val="0"/>
        </w:rPr>
        <w:t xml:space="preserve">Lynes, Russell, 1954. </w:t>
      </w:r>
      <w:r w:rsidDel="00000000" w:rsidR="00000000" w:rsidRPr="00000000">
        <w:rPr>
          <w:i w:val="1"/>
          <w:iCs w:val="1"/>
          <w:color w:val="333333"/>
          <w:highlight w:val="white"/>
          <w:rtl w:val="0"/>
        </w:rPr>
        <w:t xml:space="preserve">The Tastemakers</w:t>
      </w:r>
      <w:r w:rsidDel="00000000" w:rsidR="00000000" w:rsidRPr="00000000">
        <w:rPr>
          <w:color w:val="333333"/>
          <w:highlight w:val="white"/>
          <w:rtl w:val="0"/>
        </w:rPr>
        <w:t xml:space="preserve">. Harper, New York.</w:t>
      </w:r>
      <w:r w:rsidDel="00000000" w:rsidR="00000000" w:rsidRPr="00000000">
        <w:rPr>
          <w:rtl w:val="0"/>
        </w:rPr>
      </w:r>
    </w:p>
    <w:p w:rsidR="00000000" w:rsidDel="00000000" w:rsidP="00000000" w:rsidRDefault="00000000" w:rsidRPr="00000000" w14:paraId="000000CD">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Umbach, Maiken and Bernd Hüppauf, (eds). 2005. Vernacular Modernism: Heimat, Globalization, and the Built Environment. Stanford University Press.</w:t>
      </w:r>
    </w:p>
    <w:p w:rsidR="00000000" w:rsidDel="00000000" w:rsidP="00000000" w:rsidRDefault="00000000" w:rsidRPr="00000000" w14:paraId="000000CE">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kuztpe8q0m9o" w:id="76"/>
      <w:bookmarkEnd w:id="76"/>
      <w:r w:rsidDel="00000000" w:rsidR="00000000" w:rsidRPr="00000000">
        <w:rPr>
          <w:rFonts w:ascii="Garamond" w:cs="Garamond" w:eastAsia="Garamond" w:hAnsi="Garamond"/>
          <w:color w:val="000000"/>
          <w:sz w:val="26"/>
          <w:szCs w:val="26"/>
          <w:rtl w:val="0"/>
        </w:rPr>
        <w:t xml:space="preserve">Mannheim, Karl. 1952. “The Problems of Generations.” In Karl Mannheim, Essays in the Sociology of Knowledge, Pp. 276-322. London, England: Routledge and Kegan Paul.</w:t>
      </w:r>
    </w:p>
    <w:p w:rsidR="00000000" w:rsidDel="00000000" w:rsidP="00000000" w:rsidRDefault="00000000" w:rsidRPr="00000000" w14:paraId="000000CF">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kx9nb561xdp0" w:id="77"/>
      <w:bookmarkEnd w:id="77"/>
      <w:r w:rsidDel="00000000" w:rsidR="00000000" w:rsidRPr="00000000">
        <w:rPr>
          <w:rFonts w:ascii="Garamond" w:cs="Garamond" w:eastAsia="Garamond" w:hAnsi="Garamond"/>
          <w:color w:val="000000"/>
          <w:sz w:val="26"/>
          <w:szCs w:val="26"/>
          <w:rtl w:val="0"/>
        </w:rPr>
        <w:t xml:space="preserve">Matthews, Jane De Hart. 1975. “Arts and the People: The New Deal Quest for a Cultural Democracy.” The Journal of American History. Vol. 62 (2): 316-339. </w:t>
      </w:r>
    </w:p>
    <w:p w:rsidR="00000000" w:rsidDel="00000000" w:rsidP="00000000" w:rsidRDefault="00000000" w:rsidRPr="00000000" w14:paraId="000000D0">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k9neiu1irg1i" w:id="78"/>
      <w:bookmarkEnd w:id="78"/>
      <w:r w:rsidDel="00000000" w:rsidR="00000000" w:rsidRPr="00000000">
        <w:rPr>
          <w:rFonts w:ascii="Garamond" w:cs="Garamond" w:eastAsia="Garamond" w:hAnsi="Garamond"/>
          <w:color w:val="000000"/>
          <w:sz w:val="26"/>
          <w:szCs w:val="26"/>
          <w:rtl w:val="0"/>
        </w:rPr>
        <w:t xml:space="preserve">McDonald, William F. 1969. Federal Relief Administration and the Arts. Ohio State University Press.</w:t>
      </w:r>
    </w:p>
    <w:p w:rsidR="00000000" w:rsidDel="00000000" w:rsidP="00000000" w:rsidRDefault="00000000" w:rsidRPr="00000000" w14:paraId="000000D1">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yc444f52mc28" w:id="79"/>
      <w:bookmarkEnd w:id="79"/>
      <w:r w:rsidDel="00000000" w:rsidR="00000000" w:rsidRPr="00000000">
        <w:rPr>
          <w:rFonts w:ascii="Garamond" w:cs="Garamond" w:eastAsia="Garamond" w:hAnsi="Garamond"/>
          <w:color w:val="000000"/>
          <w:sz w:val="26"/>
          <w:szCs w:val="26"/>
          <w:rtl w:val="0"/>
        </w:rPr>
        <w:t xml:space="preserve">Mears, Ashley. 2011. Pricing Beauty: The Making of a Fashion Model. Berkeley: University of California Press.</w:t>
      </w:r>
    </w:p>
    <w:p w:rsidR="00000000" w:rsidDel="00000000" w:rsidP="00000000" w:rsidRDefault="00000000" w:rsidRPr="00000000" w14:paraId="000000D2">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Meyer, Karl E. 1979. The Art Museum: Power, Money, Ethics. New York: William Morrow.</w:t>
      </w:r>
    </w:p>
    <w:p w:rsidR="00000000" w:rsidDel="00000000" w:rsidP="00000000" w:rsidRDefault="00000000" w:rsidRPr="00000000" w14:paraId="000000D3">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mnstsafhqaol" w:id="80"/>
      <w:bookmarkEnd w:id="80"/>
      <w:r w:rsidDel="00000000" w:rsidR="00000000" w:rsidRPr="00000000">
        <w:rPr>
          <w:rFonts w:ascii="Garamond" w:cs="Garamond" w:eastAsia="Garamond" w:hAnsi="Garamond"/>
          <w:color w:val="000000"/>
          <w:sz w:val="26"/>
          <w:szCs w:val="26"/>
          <w:rtl w:val="0"/>
        </w:rPr>
        <w:t xml:space="preserve">N.A. 1936. “Art: Government Inspiration.” Time Magazine. March 2. </w:t>
      </w:r>
    </w:p>
    <w:p w:rsidR="00000000" w:rsidDel="00000000" w:rsidP="00000000" w:rsidRDefault="00000000" w:rsidRPr="00000000" w14:paraId="000000D4">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xv8b5n93qbp1" w:id="81"/>
      <w:bookmarkEnd w:id="81"/>
      <w:r w:rsidDel="00000000" w:rsidR="00000000" w:rsidRPr="00000000">
        <w:rPr>
          <w:rFonts w:ascii="Garamond" w:cs="Garamond" w:eastAsia="Garamond" w:hAnsi="Garamond"/>
          <w:color w:val="000000"/>
          <w:sz w:val="26"/>
          <w:szCs w:val="26"/>
          <w:rtl w:val="0"/>
        </w:rPr>
        <w:t xml:space="preserve">N.A. 1936. “Music: Relief Melodies.” Time Magazine. April 13. </w:t>
      </w:r>
    </w:p>
    <w:p w:rsidR="00000000" w:rsidDel="00000000" w:rsidP="00000000" w:rsidRDefault="00000000" w:rsidRPr="00000000" w14:paraId="000000D5">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poziaz3l16g1" w:id="82"/>
      <w:bookmarkEnd w:id="82"/>
      <w:r w:rsidDel="00000000" w:rsidR="00000000" w:rsidRPr="00000000">
        <w:rPr>
          <w:rFonts w:ascii="Garamond" w:cs="Garamond" w:eastAsia="Garamond" w:hAnsi="Garamond"/>
          <w:color w:val="000000"/>
          <w:sz w:val="26"/>
          <w:szCs w:val="26"/>
          <w:rtl w:val="0"/>
        </w:rPr>
        <w:t xml:space="preserve">N.A. 1963. </w:t>
      </w:r>
      <w:r w:rsidDel="00000000" w:rsidR="00000000" w:rsidRPr="00000000">
        <w:rPr>
          <w:rFonts w:ascii="Garamond" w:cs="Garamond" w:eastAsia="Garamond" w:hAnsi="Garamond"/>
          <w:color w:val="000000"/>
          <w:sz w:val="24"/>
          <w:szCs w:val="24"/>
          <w:rtl w:val="0"/>
        </w:rPr>
        <w:t xml:space="preserve">“Background Information on Museum of Primitive Art,”</w:t>
      </w:r>
      <w:r w:rsidDel="00000000" w:rsidR="00000000" w:rsidRPr="00000000">
        <w:rPr>
          <w:rFonts w:ascii="Garamond" w:cs="Garamond" w:eastAsia="Garamond" w:hAnsi="Garamond"/>
          <w:color w:val="000000"/>
          <w:sz w:val="26"/>
          <w:szCs w:val="26"/>
          <w:rtl w:val="0"/>
        </w:rPr>
        <w:t xml:space="preserve"> Spring 1963, </w:t>
      </w:r>
      <w:r w:rsidDel="00000000" w:rsidR="00000000" w:rsidRPr="00000000">
        <w:rPr>
          <w:rFonts w:ascii="Garamond" w:cs="Garamond" w:eastAsia="Garamond" w:hAnsi="Garamond"/>
          <w:color w:val="000000"/>
          <w:sz w:val="24"/>
          <w:szCs w:val="24"/>
          <w:rtl w:val="0"/>
        </w:rPr>
        <w:t xml:space="preserve">Official Business</w:t>
      </w:r>
      <w:r w:rsidDel="00000000" w:rsidR="00000000" w:rsidRPr="00000000">
        <w:rPr>
          <w:rFonts w:ascii="Garamond" w:cs="Garamond" w:eastAsia="Garamond" w:hAnsi="Garamond"/>
          <w:color w:val="000000"/>
          <w:sz w:val="26"/>
          <w:szCs w:val="26"/>
          <w:rtl w:val="0"/>
        </w:rPr>
        <w:t xml:space="preserve">, Visual Resource Archive, Department of the Arts of Africa, Oceania, and the Americas, The Metropolitan Museum of Art, New York.</w:t>
      </w:r>
    </w:p>
    <w:p w:rsidR="00000000" w:rsidDel="00000000" w:rsidP="00000000" w:rsidRDefault="00000000" w:rsidRPr="00000000" w14:paraId="000000D6">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py8mofieig9h" w:id="83"/>
      <w:bookmarkEnd w:id="83"/>
      <w:r w:rsidDel="00000000" w:rsidR="00000000" w:rsidRPr="00000000">
        <w:rPr>
          <w:rFonts w:ascii="Garamond" w:cs="Garamond" w:eastAsia="Garamond" w:hAnsi="Garamond"/>
          <w:color w:val="000000"/>
          <w:sz w:val="26"/>
          <w:szCs w:val="26"/>
          <w:rtl w:val="0"/>
        </w:rPr>
        <w:t xml:space="preserve">N.A. 2013. “Smithsonian Folklife Festival: Mission and History.” </w:t>
      </w:r>
      <w:hyperlink r:id="rId12">
        <w:r w:rsidDel="00000000" w:rsidR="00000000" w:rsidRPr="00000000">
          <w:rPr>
            <w:rFonts w:ascii="Garamond" w:cs="Garamond" w:eastAsia="Garamond" w:hAnsi="Garamond"/>
            <w:color w:val="1155cc"/>
            <w:sz w:val="26"/>
            <w:szCs w:val="26"/>
            <w:u w:val="single"/>
            <w:rtl w:val="0"/>
          </w:rPr>
          <w:t xml:space="preserve">http://www.festival.si.edu/about-us/mission-and-history/smithsonian</w:t>
        </w:r>
      </w:hyperlink>
      <w:r w:rsidDel="00000000" w:rsidR="00000000" w:rsidRPr="00000000">
        <w:rPr>
          <w:rFonts w:ascii="Garamond" w:cs="Garamond" w:eastAsia="Garamond" w:hAnsi="Garamond"/>
          <w:color w:val="000000"/>
          <w:sz w:val="26"/>
          <w:szCs w:val="26"/>
          <w:rtl w:val="0"/>
        </w:rPr>
        <w:t xml:space="preserve">. Accessed March 30, 2016.</w:t>
      </w:r>
    </w:p>
    <w:p w:rsidR="00000000" w:rsidDel="00000000" w:rsidP="00000000" w:rsidRDefault="00000000" w:rsidRPr="00000000" w14:paraId="000000D7">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vqywflf3snq3" w:id="84"/>
      <w:bookmarkEnd w:id="84"/>
      <w:r w:rsidDel="00000000" w:rsidR="00000000" w:rsidRPr="00000000">
        <w:rPr>
          <w:rFonts w:ascii="Garamond" w:cs="Garamond" w:eastAsia="Garamond" w:hAnsi="Garamond"/>
          <w:color w:val="000000"/>
          <w:sz w:val="26"/>
          <w:szCs w:val="26"/>
          <w:rtl w:val="0"/>
        </w:rPr>
        <w:t xml:space="preserve">The National Research Center of the Arts. Americans and the Arts. 1973. ICPSR35575-v1. Ann Arbor, MI: Inter-university Consortium for Political and Social Research [distributor], 2015-03-19. </w:t>
      </w:r>
      <w:hyperlink r:id="rId13">
        <w:r w:rsidDel="00000000" w:rsidR="00000000" w:rsidRPr="00000000">
          <w:rPr>
            <w:rFonts w:ascii="Garamond" w:cs="Garamond" w:eastAsia="Garamond" w:hAnsi="Garamond"/>
            <w:color w:val="1155cc"/>
            <w:sz w:val="26"/>
            <w:szCs w:val="26"/>
            <w:u w:val="single"/>
            <w:rtl w:val="0"/>
          </w:rPr>
          <w:t xml:space="preserve">http://doi.org/10.3886/ICPSR35575.v1</w:t>
        </w:r>
      </w:hyperlink>
      <w:r w:rsidDel="00000000" w:rsidR="00000000" w:rsidRPr="00000000">
        <w:rPr>
          <w:rtl w:val="0"/>
        </w:rPr>
      </w:r>
    </w:p>
    <w:p w:rsidR="00000000" w:rsidDel="00000000" w:rsidP="00000000" w:rsidRDefault="00000000" w:rsidRPr="00000000" w14:paraId="000000D8">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O’Connor, Francis. 1969. Federal Support for the Visual Arts: The New Deal and the Now. Greenwich, CT: New York Graphic Society.</w:t>
      </w:r>
    </w:p>
    <w:p w:rsidR="00000000" w:rsidDel="00000000" w:rsidP="00000000" w:rsidRDefault="00000000" w:rsidRPr="00000000" w14:paraId="000000D9">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d2vlvm1d2x7" w:id="85"/>
      <w:bookmarkEnd w:id="85"/>
      <w:r w:rsidDel="00000000" w:rsidR="00000000" w:rsidRPr="00000000">
        <w:rPr>
          <w:rFonts w:ascii="Garamond" w:cs="Garamond" w:eastAsia="Garamond" w:hAnsi="Garamond"/>
          <w:color w:val="000000"/>
          <w:sz w:val="26"/>
          <w:szCs w:val="26"/>
          <w:rtl w:val="0"/>
        </w:rPr>
        <w:t xml:space="preserve">Ocejo, Richard E. 2014. “Show the Animal: Constructing and Communicating New Elite Food Tastes at Upscale Butcher Shops.” Poetics. 47: 106-121.</w:t>
      </w:r>
    </w:p>
    <w:p w:rsidR="00000000" w:rsidDel="00000000" w:rsidP="00000000" w:rsidRDefault="00000000" w:rsidRPr="00000000" w14:paraId="000000DA">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hwi83gmab4p3" w:id="86"/>
      <w:bookmarkEnd w:id="86"/>
      <w:r w:rsidDel="00000000" w:rsidR="00000000" w:rsidRPr="00000000">
        <w:rPr>
          <w:rFonts w:ascii="Garamond" w:cs="Garamond" w:eastAsia="Garamond" w:hAnsi="Garamond"/>
          <w:color w:val="000000"/>
          <w:sz w:val="26"/>
          <w:szCs w:val="26"/>
          <w:rtl w:val="0"/>
        </w:rPr>
        <w:t xml:space="preserve">Park, Marlene and Gerald E. Markowitz. 1984. Democratic Vistas: Post Offices and Public Art in the New Deal. Philadelphia: Temple University Press.</w:t>
      </w:r>
    </w:p>
    <w:p w:rsidR="00000000" w:rsidDel="00000000" w:rsidP="00000000" w:rsidRDefault="00000000" w:rsidRPr="00000000" w14:paraId="000000DB">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9d7o0jgrdsgu" w:id="87"/>
      <w:bookmarkEnd w:id="87"/>
      <w:r w:rsidDel="00000000" w:rsidR="00000000" w:rsidRPr="00000000">
        <w:rPr>
          <w:rFonts w:ascii="Garamond" w:cs="Garamond" w:eastAsia="Garamond" w:hAnsi="Garamond"/>
          <w:color w:val="000000"/>
          <w:sz w:val="26"/>
          <w:szCs w:val="26"/>
          <w:rtl w:val="0"/>
        </w:rPr>
        <w:t xml:space="preserve">Peterson, Richard A. 2005. “Problems in Comparative Research: The Example of Omnnivorousness.” Poetics. 33:257-282.</w:t>
      </w:r>
    </w:p>
    <w:p w:rsidR="00000000" w:rsidDel="00000000" w:rsidP="00000000" w:rsidRDefault="00000000" w:rsidRPr="00000000" w14:paraId="000000DC">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amaj7zg8n0pj" w:id="88"/>
      <w:bookmarkEnd w:id="88"/>
      <w:r w:rsidDel="00000000" w:rsidR="00000000" w:rsidRPr="00000000">
        <w:rPr>
          <w:rFonts w:ascii="Garamond" w:cs="Garamond" w:eastAsia="Garamond" w:hAnsi="Garamond"/>
          <w:color w:val="000000"/>
          <w:sz w:val="26"/>
          <w:szCs w:val="26"/>
          <w:rtl w:val="0"/>
        </w:rPr>
        <w:t xml:space="preserve">Peterson, Richard A. and Albert Simkus. 1992. "How Musical Taste Groups Mark Occupational Status Groups." Pp. 152-68 in Cultivating Differences: Symbolic Boundaries and the Making of Inequality, edited by M. Lamont and M. Fournier. Chicago, IL: University of Chicago Press.</w:t>
      </w:r>
    </w:p>
    <w:p w:rsidR="00000000" w:rsidDel="00000000" w:rsidP="00000000" w:rsidRDefault="00000000" w:rsidRPr="00000000" w14:paraId="000000DD">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17pqamx1v5i3" w:id="89"/>
      <w:bookmarkEnd w:id="89"/>
      <w:r w:rsidDel="00000000" w:rsidR="00000000" w:rsidRPr="00000000">
        <w:rPr>
          <w:rFonts w:ascii="Garamond" w:cs="Garamond" w:eastAsia="Garamond" w:hAnsi="Garamond"/>
          <w:color w:val="000000"/>
          <w:sz w:val="26"/>
          <w:szCs w:val="26"/>
          <w:rtl w:val="0"/>
        </w:rPr>
        <w:t xml:space="preserve">Peterson, Richard A. and Roger M. Kern. 1996. “Changing Highbrow Taste: From Snob to Omnivore.” American Sociological Review. Vol. 61: 900-907.</w:t>
      </w:r>
    </w:p>
    <w:p w:rsidR="00000000" w:rsidDel="00000000" w:rsidP="00000000" w:rsidRDefault="00000000" w:rsidRPr="00000000" w14:paraId="000000DE">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Peterson, Richard A. and Gabriel Rossman. 2008. “Changing Arts Audiences: Capitalizing on Omnivorousness.” Pp. 307-342 in Steven Tepper and Bill Ivey (eds). Engaging Art: The Next Great Transformation of Americans’ Cultural Life. New York: Routledge. </w:t>
      </w:r>
    </w:p>
    <w:p w:rsidR="00000000" w:rsidDel="00000000" w:rsidP="00000000" w:rsidRDefault="00000000" w:rsidRPr="00000000" w14:paraId="000000DF">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nk9b5mi32fmd" w:id="90"/>
      <w:bookmarkEnd w:id="90"/>
      <w:r w:rsidDel="00000000" w:rsidR="00000000" w:rsidRPr="00000000">
        <w:rPr>
          <w:rFonts w:ascii="Garamond" w:cs="Garamond" w:eastAsia="Garamond" w:hAnsi="Garamond"/>
          <w:color w:val="000000"/>
          <w:sz w:val="26"/>
          <w:szCs w:val="26"/>
          <w:rtl w:val="0"/>
        </w:rPr>
        <w:t xml:space="preserve">Prieur, Annick, and Mike Savage. 2013. “Emerging forms of cultural capital.” European Societies 15: 246-267.</w:t>
      </w:r>
    </w:p>
    <w:p w:rsidR="00000000" w:rsidDel="00000000" w:rsidP="00000000" w:rsidRDefault="00000000" w:rsidRPr="00000000" w14:paraId="000000E0">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nytbgg483ao0" w:id="91"/>
      <w:bookmarkEnd w:id="91"/>
      <w:r w:rsidDel="00000000" w:rsidR="00000000" w:rsidRPr="00000000">
        <w:rPr>
          <w:rFonts w:ascii="Garamond" w:cs="Garamond" w:eastAsia="Garamond" w:hAnsi="Garamond"/>
          <w:color w:val="000000"/>
          <w:sz w:val="26"/>
          <w:szCs w:val="26"/>
          <w:rtl w:val="0"/>
        </w:rPr>
        <w:t xml:space="preserve">Rabe-Hesketh, Sophia and Anders Skrondal. 2008. Multilevel and longitudinal modeling using Stata. Stata Press.</w:t>
      </w:r>
    </w:p>
    <w:p w:rsidR="00000000" w:rsidDel="00000000" w:rsidP="00000000" w:rsidRDefault="00000000" w:rsidRPr="00000000" w14:paraId="000000E1">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ghfzkj1qfs0g" w:id="92"/>
      <w:bookmarkEnd w:id="92"/>
      <w:r w:rsidDel="00000000" w:rsidR="00000000" w:rsidRPr="00000000">
        <w:rPr>
          <w:rFonts w:ascii="Garamond" w:cs="Garamond" w:eastAsia="Garamond" w:hAnsi="Garamond"/>
          <w:color w:val="000000"/>
          <w:sz w:val="26"/>
          <w:szCs w:val="26"/>
          <w:rtl w:val="0"/>
        </w:rPr>
        <w:t xml:space="preserve">Reeves, Aaron. 2015. “Age-period-cohort and cultural engagement.” Pp. 116-131 in L. Hanquinet and M. Savage (Eds). Routledge International Handbook of the Sociology of Art and Culture. London: Routledge. </w:t>
      </w:r>
    </w:p>
    <w:p w:rsidR="00000000" w:rsidDel="00000000" w:rsidP="00000000" w:rsidRDefault="00000000" w:rsidRPr="00000000" w14:paraId="000000E2">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5jjvt49js0m9" w:id="47"/>
      <w:bookmarkEnd w:id="47"/>
      <w:r w:rsidDel="00000000" w:rsidR="00000000" w:rsidRPr="00000000">
        <w:rPr>
          <w:rFonts w:ascii="Garamond" w:cs="Garamond" w:eastAsia="Garamond" w:hAnsi="Garamond"/>
          <w:color w:val="000000"/>
          <w:sz w:val="26"/>
          <w:szCs w:val="26"/>
          <w:rtl w:val="0"/>
        </w:rPr>
        <w:t xml:space="preserve">Rossman, Gabriel. 2012 Climbing The Charts: What Radio Airplay Tells Us About The Diffusion of Innovation. Princeton University Press.</w:t>
      </w:r>
    </w:p>
    <w:p w:rsidR="00000000" w:rsidDel="00000000" w:rsidP="00000000" w:rsidRDefault="00000000" w:rsidRPr="00000000" w14:paraId="000000E3">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wxnmtraci6va" w:id="93"/>
      <w:bookmarkEnd w:id="93"/>
      <w:r w:rsidDel="00000000" w:rsidR="00000000" w:rsidRPr="00000000">
        <w:rPr>
          <w:rFonts w:ascii="Garamond" w:cs="Garamond" w:eastAsia="Garamond" w:hAnsi="Garamond"/>
          <w:color w:val="000000"/>
          <w:sz w:val="26"/>
          <w:szCs w:val="26"/>
          <w:rtl w:val="0"/>
        </w:rPr>
        <w:t xml:space="preserve">Rossman, Gabriel and Richard A. Peterson. 2015. “The Instability of Omnivorous Cultural Taste Over Time.” Poetics 52: 139-153.</w:t>
      </w:r>
    </w:p>
    <w:p w:rsidR="00000000" w:rsidDel="00000000" w:rsidP="00000000" w:rsidRDefault="00000000" w:rsidRPr="00000000" w14:paraId="000000E4">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bize2zkrdm1v" w:id="94"/>
      <w:bookmarkEnd w:id="94"/>
      <w:r w:rsidDel="00000000" w:rsidR="00000000" w:rsidRPr="00000000">
        <w:rPr>
          <w:rFonts w:ascii="Garamond" w:cs="Garamond" w:eastAsia="Garamond" w:hAnsi="Garamond"/>
          <w:color w:val="000000"/>
          <w:sz w:val="26"/>
          <w:szCs w:val="26"/>
          <w:rtl w:val="0"/>
        </w:rPr>
        <w:t xml:space="preserve">Ryder, Norman B. 1965. “The cohort as a Concept in the Study of Social Change.” American Sociological Review 30 (6): 843-861.</w:t>
      </w:r>
    </w:p>
    <w:p w:rsidR="00000000" w:rsidDel="00000000" w:rsidP="00000000" w:rsidRDefault="00000000" w:rsidRPr="00000000" w14:paraId="000000E5">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lmond96c3ke8" w:id="95"/>
      <w:bookmarkEnd w:id="95"/>
      <w:r w:rsidDel="00000000" w:rsidR="00000000" w:rsidRPr="00000000">
        <w:rPr>
          <w:rFonts w:ascii="Garamond" w:cs="Garamond" w:eastAsia="Garamond" w:hAnsi="Garamond"/>
          <w:color w:val="000000"/>
          <w:sz w:val="26"/>
          <w:szCs w:val="26"/>
          <w:rtl w:val="0"/>
        </w:rPr>
        <w:t xml:space="preserve">Saito, Hiro. 2011. “An Actor-Network Theory of Cosmopolitanism.” Sociological Theory 29(2): 124-149.</w:t>
      </w:r>
    </w:p>
    <w:p w:rsidR="00000000" w:rsidDel="00000000" w:rsidP="00000000" w:rsidRDefault="00000000" w:rsidRPr="00000000" w14:paraId="000000E6">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8kbv1m4zwrcf" w:id="96"/>
      <w:bookmarkEnd w:id="96"/>
      <w:r w:rsidDel="00000000" w:rsidR="00000000" w:rsidRPr="00000000">
        <w:rPr>
          <w:rFonts w:ascii="Garamond" w:cs="Garamond" w:eastAsia="Garamond" w:hAnsi="Garamond"/>
          <w:color w:val="000000"/>
          <w:sz w:val="26"/>
          <w:szCs w:val="26"/>
          <w:rtl w:val="0"/>
        </w:rPr>
        <w:t xml:space="preserve">Schuman, Howard, and Cheryl Rieger. 1992. “Historical analogies, generational effects, and attitudes toward war.” American Sociological Review 57: 315-326.</w:t>
      </w:r>
    </w:p>
    <w:p w:rsidR="00000000" w:rsidDel="00000000" w:rsidP="00000000" w:rsidRDefault="00000000" w:rsidRPr="00000000" w14:paraId="000000E7">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cuwdzsmrt5er" w:id="97"/>
      <w:bookmarkEnd w:id="97"/>
      <w:r w:rsidDel="00000000" w:rsidR="00000000" w:rsidRPr="00000000">
        <w:rPr>
          <w:rFonts w:ascii="Garamond" w:cs="Garamond" w:eastAsia="Garamond" w:hAnsi="Garamond"/>
          <w:color w:val="000000"/>
          <w:sz w:val="26"/>
          <w:szCs w:val="26"/>
          <w:rtl w:val="0"/>
        </w:rPr>
        <w:t xml:space="preserve">Schuman, Howard, and Amy D Corning. 2000. “Collective Knowledge of Public Events: The Soviet Era From The Great Purge to Glasnost.” American Journal of Sociology 105: 913-956.</w:t>
      </w:r>
    </w:p>
    <w:p w:rsidR="00000000" w:rsidDel="00000000" w:rsidP="00000000" w:rsidRDefault="00000000" w:rsidRPr="00000000" w14:paraId="000000E8">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a2hxvexbwcg2" w:id="98"/>
      <w:bookmarkEnd w:id="98"/>
      <w:r w:rsidDel="00000000" w:rsidR="00000000" w:rsidRPr="00000000">
        <w:rPr>
          <w:rFonts w:ascii="Garamond" w:cs="Garamond" w:eastAsia="Garamond" w:hAnsi="Garamond"/>
          <w:color w:val="000000"/>
          <w:sz w:val="26"/>
          <w:szCs w:val="26"/>
          <w:rtl w:val="0"/>
        </w:rPr>
        <w:t xml:space="preserve">Schneiberg, Marc, and Elisabeth S. Clemens. 2006. “The Typical Tools for the Job: Research Strategies in Institutional Analysis.” Sociological Theory 24: 195-227.</w:t>
      </w:r>
    </w:p>
    <w:p w:rsidR="00000000" w:rsidDel="00000000" w:rsidP="00000000" w:rsidRDefault="00000000" w:rsidRPr="00000000" w14:paraId="000000E9">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cj5vq3tqnumn" w:id="99"/>
      <w:bookmarkEnd w:id="99"/>
      <w:r w:rsidDel="00000000" w:rsidR="00000000" w:rsidRPr="00000000">
        <w:rPr>
          <w:rFonts w:ascii="Garamond" w:cs="Garamond" w:eastAsia="Garamond" w:hAnsi="Garamond"/>
          <w:color w:val="000000"/>
          <w:sz w:val="26"/>
          <w:szCs w:val="26"/>
          <w:rtl w:val="0"/>
        </w:rPr>
        <w:t xml:space="preserve">Shils, Edward, 1958. “Mass society and its culture.” Daedalus: Journal of the American Academy of Arts and Sciences 89, 2.</w:t>
      </w:r>
    </w:p>
    <w:p w:rsidR="00000000" w:rsidDel="00000000" w:rsidP="00000000" w:rsidRDefault="00000000" w:rsidRPr="00000000" w14:paraId="000000EA">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6ere1injkm5x" w:id="100"/>
      <w:bookmarkEnd w:id="100"/>
      <w:r w:rsidDel="00000000" w:rsidR="00000000" w:rsidRPr="00000000">
        <w:rPr>
          <w:rFonts w:ascii="Garamond" w:cs="Garamond" w:eastAsia="Garamond" w:hAnsi="Garamond"/>
          <w:color w:val="000000"/>
          <w:sz w:val="26"/>
          <w:szCs w:val="26"/>
          <w:rtl w:val="0"/>
        </w:rPr>
        <w:t xml:space="preserve">Spillman, Lyn. 2014. “Mixed Methods and the Logic of Qualitative Inference.” Qualitative Sociology 37(2): 189-205.</w:t>
      </w:r>
    </w:p>
    <w:p w:rsidR="00000000" w:rsidDel="00000000" w:rsidP="00000000" w:rsidRDefault="00000000" w:rsidRPr="00000000" w14:paraId="000000EB">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vegdibt66ya5" w:id="101"/>
      <w:bookmarkEnd w:id="101"/>
      <w:r w:rsidDel="00000000" w:rsidR="00000000" w:rsidRPr="00000000">
        <w:rPr>
          <w:rFonts w:ascii="Garamond" w:cs="Garamond" w:eastAsia="Garamond" w:hAnsi="Garamond"/>
          <w:color w:val="000000"/>
          <w:sz w:val="26"/>
          <w:szCs w:val="26"/>
          <w:rtl w:val="0"/>
        </w:rPr>
        <w:t xml:space="preserve">van Eijck, Koen. 2001. “Social Differentiation in Musical Taste Patterns.” Social Forces 79(3): 1163-1185.</w:t>
      </w:r>
    </w:p>
    <w:p w:rsidR="00000000" w:rsidDel="00000000" w:rsidP="00000000" w:rsidRDefault="00000000" w:rsidRPr="00000000" w14:paraId="000000EC">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jksp7uceo4gx" w:id="102"/>
      <w:bookmarkEnd w:id="102"/>
      <w:r w:rsidDel="00000000" w:rsidR="00000000" w:rsidRPr="00000000">
        <w:rPr>
          <w:rFonts w:ascii="Garamond" w:cs="Garamond" w:eastAsia="Garamond" w:hAnsi="Garamond"/>
          <w:color w:val="000000"/>
          <w:sz w:val="26"/>
          <w:szCs w:val="26"/>
          <w:rtl w:val="0"/>
        </w:rPr>
        <w:t xml:space="preserve">Weber, William. 1977. “Mass culture and the reshaping of European musical taste, 1770-1870.” International Review of The Aesthetics and Sociology of Music 8: 5-22.</w:t>
      </w:r>
    </w:p>
    <w:p w:rsidR="00000000" w:rsidDel="00000000" w:rsidP="00000000" w:rsidRDefault="00000000" w:rsidRPr="00000000" w14:paraId="000000ED">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74zcxn2z5g3o" w:id="103"/>
      <w:bookmarkEnd w:id="103"/>
      <w:r w:rsidDel="00000000" w:rsidR="00000000" w:rsidRPr="00000000">
        <w:rPr>
          <w:rFonts w:ascii="Garamond" w:cs="Garamond" w:eastAsia="Garamond" w:hAnsi="Garamond"/>
          <w:color w:val="000000"/>
          <w:sz w:val="26"/>
          <w:szCs w:val="26"/>
          <w:rtl w:val="0"/>
        </w:rPr>
        <w:t xml:space="preserve">Wright, David, Semi Purhonen, and Riie Heikkilä. 2013. “Comparing ‘Cosmopolitanism’: Taste, Nation and Global Culture in Finland and the UK.” Comparative Sociology 12(3): </w:t>
      </w:r>
      <w:r w:rsidDel="00000000" w:rsidR="00000000" w:rsidRPr="00000000">
        <w:rPr>
          <w:rFonts w:ascii="Garamond" w:cs="Garamond" w:eastAsia="Garamond" w:hAnsi="Garamond"/>
          <w:color w:val="000000"/>
          <w:sz w:val="26"/>
          <w:szCs w:val="26"/>
          <w:rtl w:val="0"/>
        </w:rPr>
        <w:t xml:space="preserve">330–60</w:t>
      </w:r>
      <w:r w:rsidDel="00000000" w:rsidR="00000000" w:rsidRPr="00000000">
        <w:rPr>
          <w:rFonts w:ascii="Garamond" w:cs="Garamond" w:eastAsia="Garamond" w:hAnsi="Garamond"/>
          <w:color w:val="000000"/>
          <w:sz w:val="26"/>
          <w:szCs w:val="26"/>
          <w:rtl w:val="0"/>
        </w:rPr>
        <w:t xml:space="preserve">.</w:t>
      </w:r>
    </w:p>
    <w:p w:rsidR="00000000" w:rsidDel="00000000" w:rsidP="00000000" w:rsidRDefault="00000000" w:rsidRPr="00000000" w14:paraId="000000EE">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hip4hgz77wl8" w:id="104"/>
      <w:bookmarkEnd w:id="104"/>
      <w:r w:rsidDel="00000000" w:rsidR="00000000" w:rsidRPr="00000000">
        <w:rPr>
          <w:rFonts w:ascii="Garamond" w:cs="Garamond" w:eastAsia="Garamond" w:hAnsi="Garamond"/>
          <w:color w:val="000000"/>
          <w:sz w:val="26"/>
          <w:szCs w:val="26"/>
          <w:rtl w:val="0"/>
        </w:rPr>
        <w:t xml:space="preserve">Wright, David. 2011. “Making Tastes for Everything: Omnivorousness and Cultural Abundance.” Journal for Cultural Research 15: 355-371.</w:t>
      </w:r>
    </w:p>
    <w:p w:rsidR="00000000" w:rsidDel="00000000" w:rsidP="00000000" w:rsidRDefault="00000000" w:rsidRPr="00000000" w14:paraId="000000EF">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qy8edy9uuowm" w:id="105"/>
      <w:bookmarkEnd w:id="105"/>
      <w:r w:rsidDel="00000000" w:rsidR="00000000" w:rsidRPr="00000000">
        <w:rPr>
          <w:rFonts w:ascii="Garamond" w:cs="Garamond" w:eastAsia="Garamond" w:hAnsi="Garamond"/>
          <w:color w:val="000000"/>
          <w:sz w:val="26"/>
          <w:szCs w:val="26"/>
          <w:rtl w:val="0"/>
        </w:rPr>
        <w:t xml:space="preserve">Yang, Yang and Kenneth C Land. 2006. “A Mixed Models Approach to the Age‐period‐cohort Analysis of Repeated Cross‐section Surveys, With an Application to Data on Trends in Verbal Test Scores.” Sociological Methodology 36: 75-97.</w:t>
      </w:r>
    </w:p>
    <w:p w:rsidR="00000000" w:rsidDel="00000000" w:rsidP="00000000" w:rsidRDefault="00000000" w:rsidRPr="00000000" w14:paraId="000000F0">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v15nhjd6063j" w:id="106"/>
      <w:bookmarkEnd w:id="106"/>
      <w:r w:rsidDel="00000000" w:rsidR="00000000" w:rsidRPr="00000000">
        <w:rPr>
          <w:rFonts w:ascii="Garamond" w:cs="Garamond" w:eastAsia="Garamond" w:hAnsi="Garamond"/>
          <w:color w:val="000000"/>
          <w:sz w:val="26"/>
          <w:szCs w:val="26"/>
          <w:rtl w:val="0"/>
        </w:rPr>
        <w:t xml:space="preserve">Yang, Yang, and Kenneth C Land. 2008. “Age–Period–Cohort Analysis of Repeated Cross-Section Surveys: Fixed or Random Effects?.” Sociological methods &amp; research 36:  297-326.</w:t>
      </w:r>
    </w:p>
    <w:p w:rsidR="00000000" w:rsidDel="00000000" w:rsidP="00000000" w:rsidRDefault="00000000" w:rsidRPr="00000000" w14:paraId="000000F1">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to9zfswsxhli" w:id="107"/>
      <w:bookmarkEnd w:id="107"/>
      <w:r w:rsidDel="00000000" w:rsidR="00000000" w:rsidRPr="00000000">
        <w:rPr>
          <w:rFonts w:ascii="Garamond" w:cs="Garamond" w:eastAsia="Garamond" w:hAnsi="Garamond"/>
          <w:color w:val="000000"/>
          <w:sz w:val="26"/>
          <w:szCs w:val="26"/>
          <w:rtl w:val="0"/>
        </w:rPr>
        <w:t xml:space="preserve">Zolberg, Vera. 1981. “Conflicting Visions in American Art Museums.” Theory and Society. Vol. 10 (1): 103-125.</w:t>
      </w:r>
    </w:p>
    <w:p w:rsidR="00000000" w:rsidDel="00000000" w:rsidP="00000000" w:rsidRDefault="00000000" w:rsidRPr="00000000" w14:paraId="000000F2">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i4pkse17a72a" w:id="108"/>
      <w:bookmarkEnd w:id="108"/>
      <w:r w:rsidDel="00000000" w:rsidR="00000000" w:rsidRPr="00000000">
        <w:rPr>
          <w:rFonts w:ascii="Garamond" w:cs="Garamond" w:eastAsia="Garamond" w:hAnsi="Garamond"/>
          <w:color w:val="000000"/>
          <w:sz w:val="26"/>
          <w:szCs w:val="26"/>
          <w:rtl w:val="0"/>
        </w:rPr>
        <w:t xml:space="preserve">Zolberg, Vera L. 1984. “American Art Museums: Sanctuary or Free-For-All?” Social Forces 63 (2): 377-392.</w:t>
      </w:r>
    </w:p>
    <w:p w:rsidR="00000000" w:rsidDel="00000000" w:rsidP="00000000" w:rsidRDefault="00000000" w:rsidRPr="00000000" w14:paraId="000000F3">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jc w:val="both"/>
        <w:rPr>
          <w:rFonts w:ascii="Garamond" w:cs="Garamond" w:eastAsia="Garamond" w:hAnsi="Garamond"/>
          <w:color w:val="000000"/>
          <w:sz w:val="26"/>
          <w:szCs w:val="26"/>
        </w:rPr>
      </w:pPr>
      <w:bookmarkStart w:colFirst="0" w:colLast="0" w:name="_ixe4fu3rutwd" w:id="109"/>
      <w:bookmarkEnd w:id="109"/>
      <w:r w:rsidDel="00000000" w:rsidR="00000000" w:rsidRPr="00000000">
        <w:rPr>
          <w:rFonts w:ascii="Garamond" w:cs="Garamond" w:eastAsia="Garamond" w:hAnsi="Garamond"/>
          <w:color w:val="000000"/>
          <w:sz w:val="26"/>
          <w:szCs w:val="26"/>
          <w:rtl w:val="0"/>
        </w:rPr>
        <w:t xml:space="preserve">Zolberg, Vera. 1986. “Tensions of Mission in American Art Museums.” Pp. 184-198 in Paul DiMaggio (ed.), Nonprofit Enterprise in the Arts: Studies in Mission and Constraint. New York: Oxford University Press.</w:t>
      </w:r>
    </w:p>
    <w:p w:rsidR="00000000" w:rsidDel="00000000" w:rsidP="00000000" w:rsidRDefault="00000000" w:rsidRPr="00000000" w14:paraId="000000F4">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jc w:val="both"/>
        <w:rPr>
          <w:rFonts w:ascii="Garamond" w:cs="Garamond" w:eastAsia="Garamond" w:hAnsi="Garamond"/>
          <w:b w:val="1"/>
          <w:bCs w:val="1"/>
          <w:color w:val="000000"/>
          <w:sz w:val="26"/>
          <w:szCs w:val="26"/>
        </w:rPr>
      </w:pPr>
      <w:bookmarkStart w:colFirst="0" w:colLast="0" w:name="_8k2aqc5h38ux" w:id="110"/>
      <w:bookmarkEnd w:id="110"/>
      <w:r w:rsidDel="00000000" w:rsidR="00000000" w:rsidRPr="00000000">
        <w:rPr>
          <w:rtl w:val="0"/>
        </w:rPr>
      </w:r>
    </w:p>
    <w:p w:rsidR="00000000" w:rsidDel="00000000" w:rsidP="00000000" w:rsidRDefault="00000000" w:rsidRPr="00000000" w14:paraId="000000F5">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jc w:val="both"/>
        <w:rPr>
          <w:rFonts w:ascii="Garamond" w:cs="Garamond" w:eastAsia="Garamond" w:hAnsi="Garamond"/>
          <w:b w:val="1"/>
          <w:bCs w:val="1"/>
          <w:color w:val="000000"/>
          <w:sz w:val="26"/>
          <w:szCs w:val="26"/>
        </w:rPr>
      </w:pPr>
      <w:bookmarkStart w:colFirst="0" w:colLast="0" w:name="_av4cds1mrvnx" w:id="111"/>
      <w:bookmarkEnd w:id="111"/>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jc w:val="both"/>
        <w:rPr>
          <w:rFonts w:ascii="Garamond" w:cs="Garamond" w:eastAsia="Garamond" w:hAnsi="Garamond"/>
          <w:b w:val="1"/>
          <w:bCs w:val="1"/>
          <w:color w:val="000000"/>
          <w:sz w:val="26"/>
          <w:szCs w:val="26"/>
        </w:rPr>
      </w:pPr>
      <w:bookmarkStart w:colFirst="0" w:colLast="0" w:name="_c680sncii7y" w:id="112"/>
      <w:bookmarkEnd w:id="112"/>
      <w:r w:rsidDel="00000000" w:rsidR="00000000" w:rsidRPr="00000000">
        <w:rPr>
          <w:rFonts w:ascii="Garamond" w:cs="Garamond" w:eastAsia="Garamond" w:hAnsi="Garamond"/>
          <w:b w:val="1"/>
          <w:bCs w:val="1"/>
          <w:color w:val="000000"/>
          <w:sz w:val="26"/>
          <w:szCs w:val="26"/>
          <w:rtl w:val="0"/>
        </w:rPr>
        <w:t xml:space="preserve">Table 1. Percentage of respondents who report engaging in each SPPA core activity by year. Number of respondents in each below the corresponding cell. Last column of the table shows the overall percentage and sample size for the cumulative data file for that activity.  </w:t>
      </w:r>
    </w:p>
    <w:tbl>
      <w:tblPr>
        <w:tblStyle w:val="Table1"/>
        <w:tblW w:w="940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00"/>
        <w:gridCol w:w="1000"/>
        <w:gridCol w:w="1000"/>
        <w:gridCol w:w="1000"/>
        <w:gridCol w:w="1000"/>
        <w:gridCol w:w="1000"/>
        <w:gridCol w:w="1000"/>
        <w:gridCol w:w="1000"/>
        <w:tblGridChange w:id="0">
          <w:tblGrid>
            <w:gridCol w:w="2400"/>
            <w:gridCol w:w="1000"/>
            <w:gridCol w:w="1000"/>
            <w:gridCol w:w="1000"/>
            <w:gridCol w:w="1000"/>
            <w:gridCol w:w="1000"/>
            <w:gridCol w:w="1000"/>
            <w:gridCol w:w="1000"/>
          </w:tblGrid>
        </w:tblGridChange>
      </w:tblGrid>
      <w:tr>
        <w:trPr>
          <w:cantSplit w:val="0"/>
          <w:tblHeader w:val="0"/>
        </w:trPr>
        <w:tc>
          <w:tcPr>
            <w:shd w:fill="666666" w:val="clear"/>
            <w:tcMar>
              <w:top w:w="0.0" w:type="dxa"/>
              <w:left w:w="108.0" w:type="dxa"/>
              <w:bottom w:w="0.0" w:type="dxa"/>
              <w:right w:w="108.0" w:type="dxa"/>
            </w:tcMar>
            <w:vAlign w:val="top"/>
          </w:tcPr>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rtl w:val="0"/>
              </w:rPr>
            </w:r>
          </w:p>
        </w:tc>
        <w:tc>
          <w:tcPr>
            <w:shd w:fill="666666" w:val="clear"/>
            <w:tcMar>
              <w:top w:w="0.0" w:type="dxa"/>
              <w:left w:w="108.0" w:type="dxa"/>
              <w:bottom w:w="0.0" w:type="dxa"/>
              <w:right w:w="108.0" w:type="dxa"/>
            </w:tcMar>
            <w:vAlign w:val="top"/>
          </w:tcPr>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1982</w:t>
            </w:r>
          </w:p>
        </w:tc>
        <w:tc>
          <w:tcPr>
            <w:shd w:fill="666666" w:val="clear"/>
            <w:tcMar>
              <w:top w:w="0.0" w:type="dxa"/>
              <w:left w:w="108.0" w:type="dxa"/>
              <w:bottom w:w="0.0" w:type="dxa"/>
              <w:right w:w="108.0" w:type="dxa"/>
            </w:tcMar>
            <w:vAlign w:val="top"/>
          </w:tcPr>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1985</w:t>
            </w:r>
          </w:p>
        </w:tc>
        <w:tc>
          <w:tcPr>
            <w:shd w:fill="666666" w:val="clear"/>
            <w:tcMar>
              <w:top w:w="0.0" w:type="dxa"/>
              <w:left w:w="108.0" w:type="dxa"/>
              <w:bottom w:w="0.0" w:type="dxa"/>
              <w:right w:w="108.0" w:type="dxa"/>
            </w:tcMar>
            <w:vAlign w:val="top"/>
          </w:tcPr>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1992</w:t>
            </w:r>
          </w:p>
        </w:tc>
        <w:tc>
          <w:tcPr>
            <w:shd w:fill="666666" w:val="clear"/>
            <w:tcMar>
              <w:top w:w="0.0" w:type="dxa"/>
              <w:left w:w="108.0" w:type="dxa"/>
              <w:bottom w:w="0.0" w:type="dxa"/>
              <w:right w:w="108.0" w:type="dxa"/>
            </w:tcMar>
            <w:vAlign w:val="top"/>
          </w:tcPr>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2002</w:t>
            </w:r>
          </w:p>
        </w:tc>
        <w:tc>
          <w:tcPr>
            <w:shd w:fill="666666" w:val="clear"/>
            <w:tcMar>
              <w:top w:w="0.0" w:type="dxa"/>
              <w:left w:w="108.0" w:type="dxa"/>
              <w:bottom w:w="0.0" w:type="dxa"/>
              <w:right w:w="108.0" w:type="dxa"/>
            </w:tcMar>
            <w:vAlign w:val="top"/>
          </w:tcPr>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2008</w:t>
            </w:r>
          </w:p>
        </w:tc>
        <w:tc>
          <w:tcPr>
            <w:shd w:fill="666666" w:val="clear"/>
            <w:tcMar>
              <w:top w:w="0.0" w:type="dxa"/>
              <w:left w:w="108.0" w:type="dxa"/>
              <w:bottom w:w="0.0" w:type="dxa"/>
              <w:right w:w="108.0" w:type="dxa"/>
            </w:tcMar>
            <w:vAlign w:val="top"/>
          </w:tcPr>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2012</w:t>
            </w:r>
          </w:p>
        </w:tc>
        <w:tc>
          <w:tcPr>
            <w:shd w:fill="666666" w:val="clear"/>
            <w:tcMar>
              <w:top w:w="0.0" w:type="dxa"/>
              <w:left w:w="108.0" w:type="dxa"/>
              <w:bottom w:w="0.0" w:type="dxa"/>
              <w:right w:w="108.0" w:type="dxa"/>
            </w:tcMar>
            <w:vAlign w:val="top"/>
          </w:tcPr>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Total</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 / 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Jazz</w:t>
            </w:r>
          </w:p>
        </w:tc>
        <w:tc>
          <w:tcPr>
            <w:shd w:fill="auto" w:val="clear"/>
            <w:tcMar>
              <w:top w:w="0.0" w:type="dxa"/>
              <w:left w:w="108.0" w:type="dxa"/>
              <w:bottom w:w="0.0" w:type="dxa"/>
              <w:right w:w="108.0" w:type="dxa"/>
            </w:tcMar>
            <w:vAlign w:val="top"/>
          </w:tcPr>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9.4</w:t>
            </w:r>
          </w:p>
        </w:tc>
        <w:tc>
          <w:tcPr>
            <w:shd w:fill="auto" w:val="clear"/>
            <w:tcMar>
              <w:top w:w="0.0" w:type="dxa"/>
              <w:left w:w="108.0" w:type="dxa"/>
              <w:bottom w:w="0.0" w:type="dxa"/>
              <w:right w:w="108.0" w:type="dxa"/>
            </w:tcMar>
            <w:vAlign w:val="top"/>
          </w:tcPr>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9.5</w:t>
            </w:r>
          </w:p>
        </w:tc>
        <w:tc>
          <w:tcPr>
            <w:shd w:fill="auto" w:val="clear"/>
            <w:tcMar>
              <w:top w:w="0.0" w:type="dxa"/>
              <w:left w:w="108.0" w:type="dxa"/>
              <w:bottom w:w="0.0" w:type="dxa"/>
              <w:right w:w="108.0" w:type="dxa"/>
            </w:tcMar>
            <w:vAlign w:val="top"/>
          </w:tcPr>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10.3</w:t>
            </w:r>
          </w:p>
        </w:tc>
        <w:tc>
          <w:tcPr>
            <w:shd w:fill="auto" w:val="clear"/>
            <w:tcMar>
              <w:top w:w="0.0" w:type="dxa"/>
              <w:left w:w="108.0" w:type="dxa"/>
              <w:bottom w:w="0.0" w:type="dxa"/>
              <w:right w:w="108.0" w:type="dxa"/>
            </w:tcMar>
            <w:vAlign w:val="top"/>
          </w:tcPr>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10.4</w:t>
            </w:r>
          </w:p>
        </w:tc>
        <w:tc>
          <w:tcPr>
            <w:shd w:fill="auto" w:val="clear"/>
            <w:tcMar>
              <w:top w:w="0.0" w:type="dxa"/>
              <w:left w:w="108.0" w:type="dxa"/>
              <w:bottom w:w="0.0" w:type="dxa"/>
              <w:right w:w="108.0" w:type="dxa"/>
            </w:tcMar>
            <w:vAlign w:val="top"/>
          </w:tcPr>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8.4</w:t>
            </w:r>
          </w:p>
        </w:tc>
        <w:tc>
          <w:tcPr>
            <w:shd w:fill="auto" w:val="clear"/>
            <w:tcMar>
              <w:top w:w="0.0" w:type="dxa"/>
              <w:left w:w="108.0" w:type="dxa"/>
              <w:bottom w:w="0.0" w:type="dxa"/>
              <w:right w:w="108.0" w:type="dxa"/>
            </w:tcMar>
            <w:vAlign w:val="top"/>
          </w:tcPr>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8.6</w:t>
            </w:r>
          </w:p>
        </w:tc>
        <w:tc>
          <w:tcPr>
            <w:shd w:fill="auto" w:val="clear"/>
            <w:tcMar>
              <w:top w:w="0.0" w:type="dxa"/>
              <w:left w:w="108.0" w:type="dxa"/>
              <w:bottom w:w="0.0" w:type="dxa"/>
              <w:right w:w="108.0" w:type="dxa"/>
            </w:tcMar>
            <w:vAlign w:val="top"/>
          </w:tcPr>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17223</w:t>
            </w:r>
          </w:p>
        </w:tc>
        <w:tc>
          <w:tcPr>
            <w:shd w:fill="auto" w:val="clear"/>
            <w:tcMar>
              <w:top w:w="0.0" w:type="dxa"/>
              <w:left w:w="108.0" w:type="dxa"/>
              <w:bottom w:w="0.0" w:type="dxa"/>
              <w:right w:w="108.0" w:type="dxa"/>
            </w:tcMar>
            <w:vAlign w:val="top"/>
          </w:tcPr>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13654</w:t>
            </w:r>
          </w:p>
        </w:tc>
        <w:tc>
          <w:tcPr>
            <w:shd w:fill="auto" w:val="clear"/>
            <w:tcMar>
              <w:top w:w="0.0" w:type="dxa"/>
              <w:left w:w="108.0" w:type="dxa"/>
              <w:bottom w:w="0.0" w:type="dxa"/>
              <w:right w:w="108.0" w:type="dxa"/>
            </w:tcMar>
            <w:vAlign w:val="top"/>
          </w:tcPr>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12728</w:t>
            </w:r>
          </w:p>
        </w:tc>
        <w:tc>
          <w:tcPr>
            <w:shd w:fill="auto" w:val="clear"/>
            <w:tcMar>
              <w:top w:w="0.0" w:type="dxa"/>
              <w:left w:w="108.0" w:type="dxa"/>
              <w:bottom w:w="0.0" w:type="dxa"/>
              <w:right w:w="108.0" w:type="dxa"/>
            </w:tcMar>
            <w:vAlign w:val="top"/>
          </w:tcPr>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17075</w:t>
            </w:r>
          </w:p>
        </w:tc>
        <w:tc>
          <w:tcPr>
            <w:shd w:fill="auto" w:val="clear"/>
            <w:tcMar>
              <w:top w:w="0.0" w:type="dxa"/>
              <w:left w:w="108.0" w:type="dxa"/>
              <w:bottom w:w="0.0" w:type="dxa"/>
              <w:right w:w="108.0" w:type="dxa"/>
            </w:tcMar>
            <w:vAlign w:val="top"/>
          </w:tcPr>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18390</w:t>
            </w:r>
          </w:p>
        </w:tc>
        <w:tc>
          <w:tcPr>
            <w:shd w:fill="auto" w:val="clear"/>
            <w:tcMar>
              <w:top w:w="0.0" w:type="dxa"/>
              <w:left w:w="108.0" w:type="dxa"/>
              <w:bottom w:w="0.0" w:type="dxa"/>
              <w:right w:w="108.0" w:type="dxa"/>
            </w:tcMar>
            <w:vAlign w:val="top"/>
          </w:tcPr>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17987</w:t>
            </w:r>
          </w:p>
        </w:tc>
        <w:tc>
          <w:tcPr>
            <w:shd w:fill="auto" w:val="clear"/>
            <w:tcMar>
              <w:top w:w="0.0" w:type="dxa"/>
              <w:left w:w="108.0" w:type="dxa"/>
              <w:bottom w:w="0.0" w:type="dxa"/>
              <w:right w:w="108.0" w:type="dxa"/>
            </w:tcMar>
            <w:vAlign w:val="top"/>
          </w:tcPr>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97057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Classical</w:t>
            </w:r>
          </w:p>
        </w:tc>
        <w:tc>
          <w:tcPr>
            <w:shd w:fill="auto" w:val="clear"/>
            <w:tcMar>
              <w:top w:w="0.0" w:type="dxa"/>
              <w:left w:w="108.0" w:type="dxa"/>
              <w:bottom w:w="0.0" w:type="dxa"/>
              <w:right w:w="108.0" w:type="dxa"/>
            </w:tcMar>
            <w:vAlign w:val="top"/>
          </w:tcPr>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13.2</w:t>
            </w:r>
          </w:p>
        </w:tc>
        <w:tc>
          <w:tcPr>
            <w:shd w:fill="auto" w:val="clear"/>
            <w:tcMar>
              <w:top w:w="0.0" w:type="dxa"/>
              <w:left w:w="108.0" w:type="dxa"/>
              <w:bottom w:w="0.0" w:type="dxa"/>
              <w:right w:w="108.0" w:type="dxa"/>
            </w:tcMar>
            <w:vAlign w:val="top"/>
          </w:tcPr>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13.3</w:t>
            </w:r>
          </w:p>
        </w:tc>
        <w:tc>
          <w:tcPr>
            <w:shd w:fill="auto" w:val="clear"/>
            <w:tcMar>
              <w:top w:w="0.0" w:type="dxa"/>
              <w:left w:w="108.0" w:type="dxa"/>
              <w:bottom w:w="0.0" w:type="dxa"/>
              <w:right w:w="108.0" w:type="dxa"/>
            </w:tcMar>
            <w:vAlign w:val="top"/>
          </w:tcPr>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12.6</w:t>
            </w:r>
          </w:p>
        </w:tc>
        <w:tc>
          <w:tcPr>
            <w:shd w:fill="auto" w:val="clear"/>
            <w:tcMar>
              <w:top w:w="0.0" w:type="dxa"/>
              <w:left w:w="108.0" w:type="dxa"/>
              <w:bottom w:w="0.0" w:type="dxa"/>
              <w:right w:w="108.0" w:type="dxa"/>
            </w:tcMar>
            <w:vAlign w:val="top"/>
          </w:tcPr>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11.8</w:t>
            </w:r>
          </w:p>
        </w:tc>
        <w:tc>
          <w:tcPr>
            <w:shd w:fill="auto" w:val="clear"/>
            <w:tcMar>
              <w:top w:w="0.0" w:type="dxa"/>
              <w:left w:w="108.0" w:type="dxa"/>
              <w:bottom w:w="0.0" w:type="dxa"/>
              <w:right w:w="108.0" w:type="dxa"/>
            </w:tcMar>
            <w:vAlign w:val="top"/>
          </w:tcPr>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10.1</w:t>
            </w:r>
          </w:p>
        </w:tc>
        <w:tc>
          <w:tcPr>
            <w:shd w:fill="auto" w:val="clear"/>
            <w:tcMar>
              <w:top w:w="0.0" w:type="dxa"/>
              <w:left w:w="108.0" w:type="dxa"/>
              <w:bottom w:w="0.0" w:type="dxa"/>
              <w:right w:w="108.0" w:type="dxa"/>
            </w:tcMar>
            <w:vAlign w:val="top"/>
          </w:tcPr>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10.0</w:t>
            </w:r>
          </w:p>
        </w:tc>
        <w:tc>
          <w:tcPr>
            <w:shd w:fill="auto" w:val="clear"/>
            <w:tcMar>
              <w:top w:w="0.0" w:type="dxa"/>
              <w:left w:w="108.0" w:type="dxa"/>
              <w:bottom w:w="0.0" w:type="dxa"/>
              <w:right w:w="108.0" w:type="dxa"/>
            </w:tcMar>
            <w:vAlign w:val="top"/>
          </w:tcPr>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11.7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17245</w:t>
            </w:r>
          </w:p>
        </w:tc>
        <w:tc>
          <w:tcPr>
            <w:shd w:fill="auto" w:val="clear"/>
            <w:tcMar>
              <w:top w:w="0.0" w:type="dxa"/>
              <w:left w:w="108.0" w:type="dxa"/>
              <w:bottom w:w="0.0" w:type="dxa"/>
              <w:right w:w="108.0" w:type="dxa"/>
            </w:tcMar>
            <w:vAlign w:val="top"/>
          </w:tcPr>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13669</w:t>
            </w:r>
          </w:p>
        </w:tc>
        <w:tc>
          <w:tcPr>
            <w:shd w:fill="auto" w:val="clear"/>
            <w:tcMar>
              <w:top w:w="0.0" w:type="dxa"/>
              <w:left w:w="108.0" w:type="dxa"/>
              <w:bottom w:w="0.0" w:type="dxa"/>
              <w:right w:w="108.0" w:type="dxa"/>
            </w:tcMar>
            <w:vAlign w:val="top"/>
          </w:tcPr>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12724</w:t>
            </w:r>
          </w:p>
        </w:tc>
        <w:tc>
          <w:tcPr>
            <w:shd w:fill="auto" w:val="clear"/>
            <w:tcMar>
              <w:top w:w="0.0" w:type="dxa"/>
              <w:left w:w="108.0" w:type="dxa"/>
              <w:bottom w:w="0.0" w:type="dxa"/>
              <w:right w:w="108.0" w:type="dxa"/>
            </w:tcMar>
            <w:vAlign w:val="top"/>
          </w:tcPr>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17074</w:t>
            </w:r>
          </w:p>
        </w:tc>
        <w:tc>
          <w:tcPr>
            <w:shd w:fill="auto" w:val="clear"/>
            <w:tcMar>
              <w:top w:w="0.0" w:type="dxa"/>
              <w:left w:w="108.0" w:type="dxa"/>
              <w:bottom w:w="0.0" w:type="dxa"/>
              <w:right w:w="108.0" w:type="dxa"/>
            </w:tcMar>
            <w:vAlign w:val="top"/>
          </w:tcPr>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18343</w:t>
            </w:r>
          </w:p>
        </w:tc>
        <w:tc>
          <w:tcPr>
            <w:shd w:fill="auto" w:val="clear"/>
            <w:tcMar>
              <w:top w:w="0.0" w:type="dxa"/>
              <w:left w:w="108.0" w:type="dxa"/>
              <w:bottom w:w="0.0" w:type="dxa"/>
              <w:right w:w="108.0" w:type="dxa"/>
            </w:tcMar>
            <w:vAlign w:val="top"/>
          </w:tcPr>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17917</w:t>
            </w:r>
          </w:p>
        </w:tc>
        <w:tc>
          <w:tcPr>
            <w:shd w:fill="auto" w:val="clear"/>
            <w:tcMar>
              <w:top w:w="0.0" w:type="dxa"/>
              <w:left w:w="108.0" w:type="dxa"/>
              <w:bottom w:w="0.0" w:type="dxa"/>
              <w:right w:w="108.0" w:type="dxa"/>
            </w:tcMar>
            <w:vAlign w:val="top"/>
          </w:tcPr>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96972</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Opera</w:t>
            </w:r>
          </w:p>
        </w:tc>
        <w:tc>
          <w:tcPr>
            <w:shd w:fill="auto" w:val="clear"/>
            <w:tcMar>
              <w:top w:w="0.0" w:type="dxa"/>
              <w:left w:w="108.0" w:type="dxa"/>
              <w:bottom w:w="0.0" w:type="dxa"/>
              <w:right w:w="108.0" w:type="dxa"/>
            </w:tcMar>
            <w:vAlign w:val="top"/>
          </w:tcPr>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3.1</w:t>
            </w:r>
          </w:p>
        </w:tc>
        <w:tc>
          <w:tcPr>
            <w:shd w:fill="auto" w:val="clear"/>
            <w:tcMar>
              <w:top w:w="0.0" w:type="dxa"/>
              <w:left w:w="108.0" w:type="dxa"/>
              <w:bottom w:w="0.0" w:type="dxa"/>
              <w:right w:w="108.0" w:type="dxa"/>
            </w:tcMar>
            <w:vAlign w:val="top"/>
          </w:tcPr>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2.8</w:t>
            </w:r>
          </w:p>
        </w:tc>
        <w:tc>
          <w:tcPr>
            <w:shd w:fill="auto" w:val="clear"/>
            <w:tcMar>
              <w:top w:w="0.0" w:type="dxa"/>
              <w:left w:w="108.0" w:type="dxa"/>
              <w:bottom w:w="0.0" w:type="dxa"/>
              <w:right w:w="108.0" w:type="dxa"/>
            </w:tcMar>
            <w:vAlign w:val="top"/>
          </w:tcPr>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3.4</w:t>
            </w:r>
          </w:p>
        </w:tc>
        <w:tc>
          <w:tcPr>
            <w:shd w:fill="auto" w:val="clear"/>
            <w:tcMar>
              <w:top w:w="0.0" w:type="dxa"/>
              <w:left w:w="108.0" w:type="dxa"/>
              <w:bottom w:w="0.0" w:type="dxa"/>
              <w:right w:w="108.0" w:type="dxa"/>
            </w:tcMar>
            <w:vAlign w:val="top"/>
          </w:tcPr>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3.0</w:t>
            </w:r>
          </w:p>
        </w:tc>
        <w:tc>
          <w:tcPr>
            <w:shd w:fill="auto" w:val="clear"/>
            <w:tcMar>
              <w:top w:w="0.0" w:type="dxa"/>
              <w:left w:w="108.0" w:type="dxa"/>
              <w:bottom w:w="0.0" w:type="dxa"/>
              <w:right w:w="108.0" w:type="dxa"/>
            </w:tcMar>
            <w:vAlign w:val="top"/>
          </w:tcPr>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2.3</w:t>
            </w:r>
          </w:p>
        </w:tc>
        <w:tc>
          <w:tcPr>
            <w:shd w:fill="auto" w:val="clear"/>
            <w:tcMar>
              <w:top w:w="0.0" w:type="dxa"/>
              <w:left w:w="108.0" w:type="dxa"/>
              <w:bottom w:w="0.0" w:type="dxa"/>
              <w:right w:w="108.0" w:type="dxa"/>
            </w:tcMar>
            <w:vAlign w:val="top"/>
          </w:tcPr>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2.3</w:t>
            </w:r>
          </w:p>
        </w:tc>
        <w:tc>
          <w:tcPr>
            <w:shd w:fill="auto" w:val="clear"/>
            <w:tcMar>
              <w:top w:w="0.0" w:type="dxa"/>
              <w:left w:w="108.0" w:type="dxa"/>
              <w:bottom w:w="0.0" w:type="dxa"/>
              <w:right w:w="108.0" w:type="dxa"/>
            </w:tcMar>
            <w:vAlign w:val="top"/>
          </w:tcPr>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2.8</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17234</w:t>
            </w:r>
          </w:p>
        </w:tc>
        <w:tc>
          <w:tcPr>
            <w:shd w:fill="auto" w:val="clear"/>
            <w:tcMar>
              <w:top w:w="0.0" w:type="dxa"/>
              <w:left w:w="108.0" w:type="dxa"/>
              <w:bottom w:w="0.0" w:type="dxa"/>
              <w:right w:w="108.0" w:type="dxa"/>
            </w:tcMar>
            <w:vAlign w:val="top"/>
          </w:tcPr>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13654</w:t>
            </w:r>
          </w:p>
        </w:tc>
        <w:tc>
          <w:tcPr>
            <w:shd w:fill="auto" w:val="clear"/>
            <w:tcMar>
              <w:top w:w="0.0" w:type="dxa"/>
              <w:left w:w="108.0" w:type="dxa"/>
              <w:bottom w:w="0.0" w:type="dxa"/>
              <w:right w:w="108.0" w:type="dxa"/>
            </w:tcMar>
            <w:vAlign w:val="top"/>
          </w:tcPr>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12724</w:t>
            </w:r>
          </w:p>
        </w:tc>
        <w:tc>
          <w:tcPr>
            <w:shd w:fill="auto" w:val="clear"/>
            <w:tcMar>
              <w:top w:w="0.0" w:type="dxa"/>
              <w:left w:w="108.0" w:type="dxa"/>
              <w:bottom w:w="0.0" w:type="dxa"/>
              <w:right w:w="108.0" w:type="dxa"/>
            </w:tcMar>
            <w:vAlign w:val="top"/>
          </w:tcPr>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17082</w:t>
            </w:r>
          </w:p>
        </w:tc>
        <w:tc>
          <w:tcPr>
            <w:shd w:fill="auto" w:val="clear"/>
            <w:tcMar>
              <w:top w:w="0.0" w:type="dxa"/>
              <w:left w:w="108.0" w:type="dxa"/>
              <w:bottom w:w="0.0" w:type="dxa"/>
              <w:right w:w="108.0" w:type="dxa"/>
            </w:tcMar>
            <w:vAlign w:val="top"/>
          </w:tcPr>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18341</w:t>
            </w:r>
          </w:p>
        </w:tc>
        <w:tc>
          <w:tcPr>
            <w:shd w:fill="auto" w:val="clear"/>
            <w:tcMar>
              <w:top w:w="0.0" w:type="dxa"/>
              <w:left w:w="108.0" w:type="dxa"/>
              <w:bottom w:w="0.0" w:type="dxa"/>
              <w:right w:w="108.0" w:type="dxa"/>
            </w:tcMar>
            <w:vAlign w:val="top"/>
          </w:tcPr>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17907</w:t>
            </w:r>
          </w:p>
        </w:tc>
        <w:tc>
          <w:tcPr>
            <w:shd w:fill="auto" w:val="clear"/>
            <w:tcMar>
              <w:top w:w="0.0" w:type="dxa"/>
              <w:left w:w="108.0" w:type="dxa"/>
              <w:bottom w:w="0.0" w:type="dxa"/>
              <w:right w:w="108.0" w:type="dxa"/>
            </w:tcMar>
            <w:vAlign w:val="top"/>
          </w:tcPr>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96942</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Musicals</w:t>
            </w:r>
          </w:p>
        </w:tc>
        <w:tc>
          <w:tcPr>
            <w:shd w:fill="auto" w:val="clear"/>
            <w:tcMar>
              <w:top w:w="0.0" w:type="dxa"/>
              <w:left w:w="108.0" w:type="dxa"/>
              <w:bottom w:w="0.0" w:type="dxa"/>
              <w:right w:w="108.0" w:type="dxa"/>
            </w:tcMar>
            <w:vAlign w:val="top"/>
          </w:tcPr>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18.8</w:t>
            </w:r>
          </w:p>
        </w:tc>
        <w:tc>
          <w:tcPr>
            <w:shd w:fill="auto" w:val="clear"/>
            <w:tcMar>
              <w:top w:w="0.0" w:type="dxa"/>
              <w:left w:w="108.0" w:type="dxa"/>
              <w:bottom w:w="0.0" w:type="dxa"/>
              <w:right w:w="108.0" w:type="dxa"/>
            </w:tcMar>
            <w:vAlign w:val="top"/>
          </w:tcPr>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17.5</w:t>
            </w:r>
          </w:p>
        </w:tc>
        <w:tc>
          <w:tcPr>
            <w:shd w:fill="auto" w:val="clear"/>
            <w:tcMar>
              <w:top w:w="0.0" w:type="dxa"/>
              <w:left w:w="108.0" w:type="dxa"/>
              <w:bottom w:w="0.0" w:type="dxa"/>
              <w:right w:w="108.0" w:type="dxa"/>
            </w:tcMar>
            <w:vAlign w:val="top"/>
          </w:tcPr>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17.7</w:t>
            </w:r>
          </w:p>
        </w:tc>
        <w:tc>
          <w:tcPr>
            <w:shd w:fill="auto" w:val="clear"/>
            <w:tcMar>
              <w:top w:w="0.0" w:type="dxa"/>
              <w:left w:w="108.0" w:type="dxa"/>
              <w:bottom w:w="0.0" w:type="dxa"/>
              <w:right w:w="108.0" w:type="dxa"/>
            </w:tcMar>
            <w:vAlign w:val="top"/>
          </w:tcPr>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17.2</w:t>
            </w:r>
          </w:p>
        </w:tc>
        <w:tc>
          <w:tcPr>
            <w:shd w:fill="auto" w:val="clear"/>
            <w:tcMar>
              <w:top w:w="0.0" w:type="dxa"/>
              <w:left w:w="108.0" w:type="dxa"/>
              <w:bottom w:w="0.0" w:type="dxa"/>
              <w:right w:w="108.0" w:type="dxa"/>
            </w:tcMar>
            <w:vAlign w:val="top"/>
          </w:tcPr>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17.9</w:t>
            </w:r>
          </w:p>
        </w:tc>
        <w:tc>
          <w:tcPr>
            <w:shd w:fill="auto" w:val="clear"/>
            <w:tcMar>
              <w:top w:w="0.0" w:type="dxa"/>
              <w:left w:w="108.0" w:type="dxa"/>
              <w:bottom w:w="0.0" w:type="dxa"/>
              <w:right w:w="108.0" w:type="dxa"/>
            </w:tcMar>
            <w:vAlign w:val="top"/>
          </w:tcPr>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16.6</w:t>
            </w:r>
          </w:p>
        </w:tc>
        <w:tc>
          <w:tcPr>
            <w:shd w:fill="auto" w:val="clear"/>
            <w:tcMar>
              <w:top w:w="0.0" w:type="dxa"/>
              <w:left w:w="108.0" w:type="dxa"/>
              <w:bottom w:w="0.0" w:type="dxa"/>
              <w:right w:w="108.0" w:type="dxa"/>
            </w:tcMar>
            <w:vAlign w:val="top"/>
          </w:tcPr>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17243</w:t>
            </w:r>
          </w:p>
        </w:tc>
        <w:tc>
          <w:tcPr>
            <w:shd w:fill="auto" w:val="clear"/>
            <w:tcMar>
              <w:top w:w="0.0" w:type="dxa"/>
              <w:left w:w="108.0" w:type="dxa"/>
              <w:bottom w:w="0.0" w:type="dxa"/>
              <w:right w:w="108.0" w:type="dxa"/>
            </w:tcMar>
            <w:vAlign w:val="top"/>
          </w:tcPr>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13666</w:t>
            </w:r>
          </w:p>
        </w:tc>
        <w:tc>
          <w:tcPr>
            <w:shd w:fill="auto" w:val="clear"/>
            <w:tcMar>
              <w:top w:w="0.0" w:type="dxa"/>
              <w:left w:w="108.0" w:type="dxa"/>
              <w:bottom w:w="0.0" w:type="dxa"/>
              <w:right w:w="108.0" w:type="dxa"/>
            </w:tcMar>
            <w:vAlign w:val="top"/>
          </w:tcPr>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12720</w:t>
            </w:r>
          </w:p>
        </w:tc>
        <w:tc>
          <w:tcPr>
            <w:shd w:fill="auto" w:val="clear"/>
            <w:tcMar>
              <w:top w:w="0.0" w:type="dxa"/>
              <w:left w:w="108.0" w:type="dxa"/>
              <w:bottom w:w="0.0" w:type="dxa"/>
              <w:right w:w="108.0" w:type="dxa"/>
            </w:tcMar>
            <w:vAlign w:val="top"/>
          </w:tcPr>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17075</w:t>
            </w:r>
          </w:p>
        </w:tc>
        <w:tc>
          <w:tcPr>
            <w:shd w:fill="auto" w:val="clear"/>
            <w:tcMar>
              <w:top w:w="0.0" w:type="dxa"/>
              <w:left w:w="108.0" w:type="dxa"/>
              <w:bottom w:w="0.0" w:type="dxa"/>
              <w:right w:w="108.0" w:type="dxa"/>
            </w:tcMar>
            <w:vAlign w:val="top"/>
          </w:tcPr>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18315</w:t>
            </w:r>
          </w:p>
        </w:tc>
        <w:tc>
          <w:tcPr>
            <w:shd w:fill="auto" w:val="clear"/>
            <w:tcMar>
              <w:top w:w="0.0" w:type="dxa"/>
              <w:left w:w="108.0" w:type="dxa"/>
              <w:bottom w:w="0.0" w:type="dxa"/>
              <w:right w:w="108.0" w:type="dxa"/>
            </w:tcMar>
            <w:vAlign w:val="top"/>
          </w:tcPr>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17880</w:t>
            </w:r>
          </w:p>
        </w:tc>
        <w:tc>
          <w:tcPr>
            <w:shd w:fill="auto" w:val="clear"/>
            <w:tcMar>
              <w:top w:w="0.0" w:type="dxa"/>
              <w:left w:w="108.0" w:type="dxa"/>
              <w:bottom w:w="0.0" w:type="dxa"/>
              <w:right w:w="108.0" w:type="dxa"/>
            </w:tcMar>
            <w:vAlign w:val="top"/>
          </w:tcPr>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96899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Ballet</w:t>
            </w:r>
          </w:p>
        </w:tc>
        <w:tc>
          <w:tcPr>
            <w:shd w:fill="auto" w:val="clear"/>
            <w:tcMar>
              <w:top w:w="0.0" w:type="dxa"/>
              <w:left w:w="108.0" w:type="dxa"/>
              <w:bottom w:w="0.0" w:type="dxa"/>
              <w:right w:w="108.0" w:type="dxa"/>
            </w:tcMar>
            <w:vAlign w:val="top"/>
          </w:tcPr>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4.4</w:t>
            </w:r>
          </w:p>
        </w:tc>
        <w:tc>
          <w:tcPr>
            <w:shd w:fill="auto" w:val="clear"/>
            <w:tcMar>
              <w:top w:w="0.0" w:type="dxa"/>
              <w:left w:w="108.0" w:type="dxa"/>
              <w:bottom w:w="0.0" w:type="dxa"/>
              <w:right w:w="108.0" w:type="dxa"/>
            </w:tcMar>
            <w:vAlign w:val="top"/>
          </w:tcPr>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4.5</w:t>
            </w:r>
          </w:p>
        </w:tc>
        <w:tc>
          <w:tcPr>
            <w:shd w:fill="auto" w:val="clear"/>
            <w:tcMar>
              <w:top w:w="0.0" w:type="dxa"/>
              <w:left w:w="108.0" w:type="dxa"/>
              <w:bottom w:w="0.0" w:type="dxa"/>
              <w:right w:w="108.0" w:type="dxa"/>
            </w:tcMar>
            <w:vAlign w:val="top"/>
          </w:tcPr>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4.7</w:t>
            </w:r>
          </w:p>
        </w:tc>
        <w:tc>
          <w:tcPr>
            <w:shd w:fill="auto" w:val="clear"/>
            <w:tcMar>
              <w:top w:w="0.0" w:type="dxa"/>
              <w:left w:w="108.0" w:type="dxa"/>
              <w:bottom w:w="0.0" w:type="dxa"/>
              <w:right w:w="108.0" w:type="dxa"/>
            </w:tcMar>
            <w:vAlign w:val="top"/>
          </w:tcPr>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3.8</w:t>
            </w:r>
          </w:p>
        </w:tc>
        <w:tc>
          <w:tcPr>
            <w:shd w:fill="auto" w:val="clear"/>
            <w:tcMar>
              <w:top w:w="0.0" w:type="dxa"/>
              <w:left w:w="108.0" w:type="dxa"/>
              <w:bottom w:w="0.0" w:type="dxa"/>
              <w:right w:w="108.0" w:type="dxa"/>
            </w:tcMar>
            <w:vAlign w:val="top"/>
          </w:tcPr>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3.1</w:t>
            </w:r>
          </w:p>
        </w:tc>
        <w:tc>
          <w:tcPr>
            <w:shd w:fill="auto" w:val="clear"/>
            <w:tcMar>
              <w:top w:w="0.0" w:type="dxa"/>
              <w:left w:w="108.0" w:type="dxa"/>
              <w:bottom w:w="0.0" w:type="dxa"/>
              <w:right w:w="108.0" w:type="dxa"/>
            </w:tcMar>
            <w:vAlign w:val="top"/>
          </w:tcPr>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3.1</w:t>
            </w:r>
          </w:p>
        </w:tc>
        <w:tc>
          <w:tcPr>
            <w:shd w:fill="auto" w:val="clear"/>
            <w:tcMar>
              <w:top w:w="0.0" w:type="dxa"/>
              <w:left w:w="108.0" w:type="dxa"/>
              <w:bottom w:w="0.0" w:type="dxa"/>
              <w:right w:w="108.0" w:type="dxa"/>
            </w:tcMar>
            <w:vAlign w:val="top"/>
          </w:tcPr>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17244</w:t>
            </w:r>
          </w:p>
        </w:tc>
        <w:tc>
          <w:tcPr>
            <w:shd w:fill="auto" w:val="clear"/>
            <w:tcMar>
              <w:top w:w="0.0" w:type="dxa"/>
              <w:left w:w="108.0" w:type="dxa"/>
              <w:bottom w:w="0.0" w:type="dxa"/>
              <w:right w:w="108.0" w:type="dxa"/>
            </w:tcMar>
            <w:vAlign w:val="top"/>
          </w:tcPr>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13672</w:t>
            </w:r>
          </w:p>
        </w:tc>
        <w:tc>
          <w:tcPr>
            <w:shd w:fill="auto" w:val="clear"/>
            <w:tcMar>
              <w:top w:w="0.0" w:type="dxa"/>
              <w:left w:w="108.0" w:type="dxa"/>
              <w:bottom w:w="0.0" w:type="dxa"/>
              <w:right w:w="108.0" w:type="dxa"/>
            </w:tcMar>
            <w:vAlign w:val="top"/>
          </w:tcPr>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12712</w:t>
            </w:r>
          </w:p>
        </w:tc>
        <w:tc>
          <w:tcPr>
            <w:shd w:fill="auto" w:val="clear"/>
            <w:tcMar>
              <w:top w:w="0.0" w:type="dxa"/>
              <w:left w:w="108.0" w:type="dxa"/>
              <w:bottom w:w="0.0" w:type="dxa"/>
              <w:right w:w="108.0" w:type="dxa"/>
            </w:tcMar>
            <w:vAlign w:val="top"/>
          </w:tcPr>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17081</w:t>
            </w:r>
          </w:p>
        </w:tc>
        <w:tc>
          <w:tcPr>
            <w:shd w:fill="auto" w:val="clear"/>
            <w:tcMar>
              <w:top w:w="0.0" w:type="dxa"/>
              <w:left w:w="108.0" w:type="dxa"/>
              <w:bottom w:w="0.0" w:type="dxa"/>
              <w:right w:w="108.0" w:type="dxa"/>
            </w:tcMar>
            <w:vAlign w:val="top"/>
          </w:tcPr>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18300</w:t>
            </w:r>
          </w:p>
        </w:tc>
        <w:tc>
          <w:tcPr>
            <w:shd w:fill="auto" w:val="clear"/>
            <w:tcMar>
              <w:top w:w="0.0" w:type="dxa"/>
              <w:left w:w="108.0" w:type="dxa"/>
              <w:bottom w:w="0.0" w:type="dxa"/>
              <w:right w:w="108.0" w:type="dxa"/>
            </w:tcMar>
            <w:vAlign w:val="top"/>
          </w:tcPr>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17866</w:t>
            </w:r>
          </w:p>
        </w:tc>
        <w:tc>
          <w:tcPr>
            <w:shd w:fill="auto" w:val="clear"/>
            <w:tcMar>
              <w:top w:w="0.0" w:type="dxa"/>
              <w:left w:w="108.0" w:type="dxa"/>
              <w:bottom w:w="0.0" w:type="dxa"/>
              <w:right w:w="108.0" w:type="dxa"/>
            </w:tcMar>
            <w:vAlign w:val="top"/>
          </w:tcPr>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96875</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Art Museum</w:t>
            </w:r>
          </w:p>
        </w:tc>
        <w:tc>
          <w:tcPr>
            <w:shd w:fill="auto" w:val="clear"/>
            <w:tcMar>
              <w:top w:w="0.0" w:type="dxa"/>
              <w:left w:w="108.0" w:type="dxa"/>
              <w:bottom w:w="0.0" w:type="dxa"/>
              <w:right w:w="108.0" w:type="dxa"/>
            </w:tcMar>
            <w:vAlign w:val="top"/>
          </w:tcPr>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22.1</w:t>
            </w:r>
          </w:p>
        </w:tc>
        <w:tc>
          <w:tcPr>
            <w:shd w:fill="auto" w:val="clear"/>
            <w:tcMar>
              <w:top w:w="0.0" w:type="dxa"/>
              <w:left w:w="108.0" w:type="dxa"/>
              <w:bottom w:w="0.0" w:type="dxa"/>
              <w:right w:w="108.0" w:type="dxa"/>
            </w:tcMar>
            <w:vAlign w:val="top"/>
          </w:tcPr>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22.7</w:t>
            </w:r>
          </w:p>
        </w:tc>
        <w:tc>
          <w:tcPr>
            <w:shd w:fill="auto" w:val="clear"/>
            <w:tcMar>
              <w:top w:w="0.0" w:type="dxa"/>
              <w:left w:w="108.0" w:type="dxa"/>
              <w:bottom w:w="0.0" w:type="dxa"/>
              <w:right w:w="108.0" w:type="dxa"/>
            </w:tcMar>
            <w:vAlign w:val="top"/>
          </w:tcPr>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26.4</w:t>
            </w:r>
          </w:p>
        </w:tc>
        <w:tc>
          <w:tcPr>
            <w:shd w:fill="auto" w:val="clear"/>
            <w:tcMar>
              <w:top w:w="0.0" w:type="dxa"/>
              <w:left w:w="108.0" w:type="dxa"/>
              <w:bottom w:w="0.0" w:type="dxa"/>
              <w:right w:w="108.0" w:type="dxa"/>
            </w:tcMar>
            <w:vAlign w:val="top"/>
          </w:tcPr>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27.0</w:t>
            </w:r>
          </w:p>
        </w:tc>
        <w:tc>
          <w:tcPr>
            <w:shd w:fill="auto" w:val="clear"/>
            <w:tcMar>
              <w:top w:w="0.0" w:type="dxa"/>
              <w:left w:w="108.0" w:type="dxa"/>
              <w:bottom w:w="0.0" w:type="dxa"/>
              <w:right w:w="108.0" w:type="dxa"/>
            </w:tcMar>
            <w:vAlign w:val="top"/>
          </w:tcPr>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23.9</w:t>
            </w:r>
          </w:p>
        </w:tc>
        <w:tc>
          <w:tcPr>
            <w:shd w:fill="auto" w:val="clear"/>
            <w:tcMar>
              <w:top w:w="0.0" w:type="dxa"/>
              <w:left w:w="108.0" w:type="dxa"/>
              <w:bottom w:w="0.0" w:type="dxa"/>
              <w:right w:w="108.0" w:type="dxa"/>
            </w:tcMar>
            <w:vAlign w:val="top"/>
          </w:tcPr>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22.9</w:t>
            </w:r>
          </w:p>
        </w:tc>
        <w:tc>
          <w:tcPr>
            <w:shd w:fill="auto" w:val="clear"/>
            <w:tcMar>
              <w:top w:w="0.0" w:type="dxa"/>
              <w:left w:w="108.0" w:type="dxa"/>
              <w:bottom w:w="0.0" w:type="dxa"/>
              <w:right w:w="108.0" w:type="dxa"/>
            </w:tcMar>
            <w:vAlign w:val="top"/>
          </w:tcPr>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24.1</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17240</w:t>
            </w:r>
          </w:p>
        </w:tc>
        <w:tc>
          <w:tcPr>
            <w:shd w:fill="auto" w:val="clear"/>
            <w:tcMar>
              <w:top w:w="0.0" w:type="dxa"/>
              <w:left w:w="108.0" w:type="dxa"/>
              <w:bottom w:w="0.0" w:type="dxa"/>
              <w:right w:w="108.0" w:type="dxa"/>
            </w:tcMar>
            <w:vAlign w:val="top"/>
          </w:tcPr>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13668</w:t>
            </w:r>
          </w:p>
        </w:tc>
        <w:tc>
          <w:tcPr>
            <w:shd w:fill="auto" w:val="clear"/>
            <w:tcMar>
              <w:top w:w="0.0" w:type="dxa"/>
              <w:left w:w="108.0" w:type="dxa"/>
              <w:bottom w:w="0.0" w:type="dxa"/>
              <w:right w:w="108.0" w:type="dxa"/>
            </w:tcMar>
            <w:vAlign w:val="top"/>
          </w:tcPr>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12716</w:t>
            </w:r>
          </w:p>
        </w:tc>
        <w:tc>
          <w:tcPr>
            <w:shd w:fill="auto" w:val="clear"/>
            <w:tcMar>
              <w:top w:w="0.0" w:type="dxa"/>
              <w:left w:w="108.0" w:type="dxa"/>
              <w:bottom w:w="0.0" w:type="dxa"/>
              <w:right w:w="108.0" w:type="dxa"/>
            </w:tcMar>
            <w:vAlign w:val="top"/>
          </w:tcPr>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17053</w:t>
            </w:r>
          </w:p>
        </w:tc>
        <w:tc>
          <w:tcPr>
            <w:shd w:fill="auto" w:val="clear"/>
            <w:tcMar>
              <w:top w:w="0.0" w:type="dxa"/>
              <w:left w:w="108.0" w:type="dxa"/>
              <w:bottom w:w="0.0" w:type="dxa"/>
              <w:right w:w="108.0" w:type="dxa"/>
            </w:tcMar>
            <w:vAlign w:val="top"/>
          </w:tcPr>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18248</w:t>
            </w:r>
          </w:p>
        </w:tc>
        <w:tc>
          <w:tcPr>
            <w:shd w:fill="auto" w:val="clear"/>
            <w:tcMar>
              <w:top w:w="0.0" w:type="dxa"/>
              <w:left w:w="108.0" w:type="dxa"/>
              <w:bottom w:w="0.0" w:type="dxa"/>
              <w:right w:w="108.0" w:type="dxa"/>
            </w:tcMar>
            <w:vAlign w:val="top"/>
          </w:tcPr>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17798</w:t>
            </w:r>
          </w:p>
        </w:tc>
        <w:tc>
          <w:tcPr>
            <w:shd w:fill="auto" w:val="clear"/>
            <w:tcMar>
              <w:top w:w="0.0" w:type="dxa"/>
              <w:left w:w="108.0" w:type="dxa"/>
              <w:bottom w:w="0.0" w:type="dxa"/>
              <w:right w:w="108.0" w:type="dxa"/>
            </w:tcMar>
            <w:vAlign w:val="top"/>
          </w:tcPr>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96723</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before="0" w:line="240" w:lineRule="auto"/>
              <w:ind w:firstLine="0"/>
              <w:rPr>
                <w:vertAlign w:val="superscript"/>
              </w:rPr>
            </w:pPr>
            <w:r w:rsidDel="00000000" w:rsidR="00000000" w:rsidRPr="00000000">
              <w:rPr>
                <w:rtl w:val="0"/>
              </w:rPr>
              <w:t xml:space="preserve">Art Festival</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39.3</w:t>
            </w:r>
          </w:p>
        </w:tc>
        <w:tc>
          <w:tcPr>
            <w:shd w:fill="auto" w:val="clear"/>
            <w:tcMar>
              <w:top w:w="0.0" w:type="dxa"/>
              <w:left w:w="108.0" w:type="dxa"/>
              <w:bottom w:w="0.0" w:type="dxa"/>
              <w:right w:w="108.0" w:type="dxa"/>
            </w:tcMar>
            <w:vAlign w:val="top"/>
          </w:tcPr>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40.7</w:t>
            </w:r>
          </w:p>
        </w:tc>
        <w:tc>
          <w:tcPr>
            <w:shd w:fill="auto" w:val="clear"/>
            <w:tcMar>
              <w:top w:w="0.0" w:type="dxa"/>
              <w:left w:w="108.0" w:type="dxa"/>
              <w:bottom w:w="0.0" w:type="dxa"/>
              <w:right w:w="108.0" w:type="dxa"/>
            </w:tcMar>
            <w:vAlign w:val="top"/>
          </w:tcPr>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40.9</w:t>
            </w:r>
          </w:p>
        </w:tc>
        <w:tc>
          <w:tcPr>
            <w:shd w:fill="auto" w:val="clear"/>
            <w:tcMar>
              <w:top w:w="0.0" w:type="dxa"/>
              <w:left w:w="108.0" w:type="dxa"/>
              <w:bottom w:w="0.0" w:type="dxa"/>
              <w:right w:w="108.0" w:type="dxa"/>
            </w:tcMar>
            <w:vAlign w:val="top"/>
          </w:tcPr>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34.8</w:t>
            </w:r>
          </w:p>
        </w:tc>
        <w:tc>
          <w:tcPr>
            <w:shd w:fill="auto" w:val="clear"/>
            <w:tcMar>
              <w:top w:w="0.0" w:type="dxa"/>
              <w:left w:w="108.0" w:type="dxa"/>
              <w:bottom w:w="0.0" w:type="dxa"/>
              <w:right w:w="108.0" w:type="dxa"/>
            </w:tcMar>
            <w:vAlign w:val="top"/>
          </w:tcPr>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26.7</w:t>
            </w:r>
          </w:p>
        </w:tc>
        <w:tc>
          <w:tcPr>
            <w:shd w:fill="auto" w:val="clear"/>
            <w:tcMar>
              <w:top w:w="0.0" w:type="dxa"/>
              <w:left w:w="108.0" w:type="dxa"/>
              <w:bottom w:w="0.0" w:type="dxa"/>
              <w:right w:w="108.0" w:type="dxa"/>
            </w:tcMar>
            <w:vAlign w:val="top"/>
          </w:tcPr>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25.0</w:t>
            </w:r>
          </w:p>
        </w:tc>
        <w:tc>
          <w:tcPr>
            <w:shd w:fill="auto" w:val="clear"/>
            <w:tcMar>
              <w:top w:w="0.0" w:type="dxa"/>
              <w:left w:w="108.0" w:type="dxa"/>
              <w:bottom w:w="0.0" w:type="dxa"/>
              <w:right w:w="108.0" w:type="dxa"/>
            </w:tcMar>
            <w:vAlign w:val="top"/>
          </w:tcPr>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31.9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before="0" w:line="240" w:lineRule="auto"/>
              <w:ind w:firstLine="0"/>
              <w:rPr>
                <w:vertAlign w:val="superscript"/>
              </w:rPr>
            </w:pPr>
            <w:r w:rsidDel="00000000" w:rsidR="00000000" w:rsidRPr="00000000">
              <w:rPr>
                <w:rtl w:val="0"/>
              </w:rPr>
              <w:t xml:space="preserve">4243</w:t>
            </w:r>
            <w:r w:rsidDel="00000000" w:rsidR="00000000" w:rsidRPr="00000000">
              <w:rPr>
                <w:vertAlign w:val="superscript"/>
                <w:rtl w:val="0"/>
              </w:rPr>
              <w:t xml:space="preserve">a, b</w:t>
            </w:r>
          </w:p>
        </w:tc>
        <w:tc>
          <w:tcPr>
            <w:shd w:fill="auto" w:val="clear"/>
            <w:tcMar>
              <w:top w:w="0.0" w:type="dxa"/>
              <w:left w:w="108.0" w:type="dxa"/>
              <w:bottom w:w="0.0" w:type="dxa"/>
              <w:right w:w="108.0" w:type="dxa"/>
            </w:tcMar>
            <w:vAlign w:val="top"/>
          </w:tcPr>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before="0" w:line="240" w:lineRule="auto"/>
              <w:ind w:firstLine="0"/>
              <w:rPr>
                <w:vertAlign w:val="superscript"/>
              </w:rPr>
            </w:pPr>
            <w:r w:rsidDel="00000000" w:rsidR="00000000" w:rsidRPr="00000000">
              <w:rPr>
                <w:rtl w:val="0"/>
              </w:rPr>
              <w:t xml:space="preserve">2349</w:t>
            </w:r>
            <w:r w:rsidDel="00000000" w:rsidR="00000000" w:rsidRPr="00000000">
              <w:rPr>
                <w:vertAlign w:val="superscript"/>
                <w:rtl w:val="0"/>
              </w:rPr>
              <w:t xml:space="preserve">a, b</w:t>
            </w:r>
          </w:p>
        </w:tc>
        <w:tc>
          <w:tcPr>
            <w:shd w:fill="auto" w:val="clear"/>
            <w:tcMar>
              <w:top w:w="0.0" w:type="dxa"/>
              <w:left w:w="108.0" w:type="dxa"/>
              <w:bottom w:w="0.0" w:type="dxa"/>
              <w:right w:w="108.0" w:type="dxa"/>
            </w:tcMar>
            <w:vAlign w:val="top"/>
          </w:tcPr>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before="0" w:line="240" w:lineRule="auto"/>
              <w:ind w:firstLine="0"/>
              <w:rPr>
                <w:vertAlign w:val="superscript"/>
              </w:rPr>
            </w:pPr>
            <w:r w:rsidDel="00000000" w:rsidR="00000000" w:rsidRPr="00000000">
              <w:rPr>
                <w:rtl w:val="0"/>
              </w:rPr>
              <w:t xml:space="preserve">12718</w:t>
            </w:r>
            <w:r w:rsidDel="00000000" w:rsidR="00000000" w:rsidRPr="00000000">
              <w:rPr>
                <w:vertAlign w:val="superscript"/>
                <w:rtl w:val="0"/>
              </w:rPr>
              <w:t xml:space="preserve">c</w:t>
            </w:r>
          </w:p>
        </w:tc>
        <w:tc>
          <w:tcPr>
            <w:shd w:fill="auto" w:val="clear"/>
            <w:tcMar>
              <w:top w:w="0.0" w:type="dxa"/>
              <w:left w:w="108.0" w:type="dxa"/>
              <w:bottom w:w="0.0" w:type="dxa"/>
              <w:right w:w="108.0" w:type="dxa"/>
            </w:tcMar>
            <w:vAlign w:val="top"/>
          </w:tcPr>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17050</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18212</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17779</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72351</w:t>
            </w:r>
            <w:r w:rsidDel="00000000" w:rsidR="00000000" w:rsidRPr="00000000">
              <w:rPr>
                <w:vertAlign w:val="superscript"/>
                <w:rtl w:val="0"/>
              </w:rPr>
              <w:t xml:space="preserve">c</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Hist. Monument</w:t>
            </w:r>
          </w:p>
        </w:tc>
        <w:tc>
          <w:tcPr>
            <w:shd w:fill="auto" w:val="clear"/>
            <w:tcMar>
              <w:top w:w="0.0" w:type="dxa"/>
              <w:left w:w="108.0" w:type="dxa"/>
              <w:bottom w:w="0.0" w:type="dxa"/>
              <w:right w:w="108.0" w:type="dxa"/>
            </w:tcMar>
            <w:vAlign w:val="top"/>
          </w:tcPr>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37.0</w:t>
            </w:r>
          </w:p>
        </w:tc>
        <w:tc>
          <w:tcPr>
            <w:shd w:fill="auto" w:val="clear"/>
            <w:tcMar>
              <w:top w:w="0.0" w:type="dxa"/>
              <w:left w:w="108.0" w:type="dxa"/>
              <w:bottom w:w="0.0" w:type="dxa"/>
              <w:right w:w="108.0" w:type="dxa"/>
            </w:tcMar>
            <w:vAlign w:val="top"/>
          </w:tcPr>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36.6</w:t>
            </w:r>
          </w:p>
        </w:tc>
        <w:tc>
          <w:tcPr>
            <w:shd w:fill="auto" w:val="clear"/>
            <w:tcMar>
              <w:top w:w="0.0" w:type="dxa"/>
              <w:left w:w="108.0" w:type="dxa"/>
              <w:bottom w:w="0.0" w:type="dxa"/>
              <w:right w:w="108.0" w:type="dxa"/>
            </w:tcMar>
            <w:vAlign w:val="top"/>
          </w:tcPr>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34.5</w:t>
            </w:r>
          </w:p>
        </w:tc>
        <w:tc>
          <w:tcPr>
            <w:shd w:fill="auto" w:val="clear"/>
            <w:tcMar>
              <w:top w:w="0.0" w:type="dxa"/>
              <w:left w:w="108.0" w:type="dxa"/>
              <w:bottom w:w="0.0" w:type="dxa"/>
              <w:right w:w="108.0" w:type="dxa"/>
            </w:tcMar>
            <w:vAlign w:val="top"/>
          </w:tcPr>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32.1</w:t>
            </w:r>
          </w:p>
        </w:tc>
        <w:tc>
          <w:tcPr>
            <w:shd w:fill="auto" w:val="clear"/>
            <w:tcMar>
              <w:top w:w="0.0" w:type="dxa"/>
              <w:left w:w="108.0" w:type="dxa"/>
              <w:bottom w:w="0.0" w:type="dxa"/>
              <w:right w:w="108.0" w:type="dxa"/>
            </w:tcMar>
            <w:vAlign w:val="top"/>
          </w:tcPr>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27.5</w:t>
            </w:r>
          </w:p>
        </w:tc>
        <w:tc>
          <w:tcPr>
            <w:shd w:fill="auto" w:val="clear"/>
            <w:tcMar>
              <w:top w:w="0.0" w:type="dxa"/>
              <w:left w:w="108.0" w:type="dxa"/>
              <w:bottom w:w="0.0" w:type="dxa"/>
              <w:right w:w="108.0" w:type="dxa"/>
            </w:tcMar>
            <w:vAlign w:val="top"/>
          </w:tcPr>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26.4</w:t>
            </w:r>
          </w:p>
        </w:tc>
        <w:tc>
          <w:tcPr>
            <w:shd w:fill="auto" w:val="clear"/>
            <w:tcMar>
              <w:top w:w="0.0" w:type="dxa"/>
              <w:left w:w="108.0" w:type="dxa"/>
              <w:bottom w:w="0.0" w:type="dxa"/>
              <w:right w:w="108.0" w:type="dxa"/>
            </w:tcMar>
            <w:vAlign w:val="top"/>
          </w:tcPr>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30.4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4242</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2351</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12718</w:t>
            </w:r>
          </w:p>
        </w:tc>
        <w:tc>
          <w:tcPr>
            <w:shd w:fill="auto" w:val="clear"/>
            <w:tcMar>
              <w:top w:w="0.0" w:type="dxa"/>
              <w:left w:w="108.0" w:type="dxa"/>
              <w:bottom w:w="0.0" w:type="dxa"/>
              <w:right w:w="108.0" w:type="dxa"/>
            </w:tcMar>
            <w:vAlign w:val="top"/>
          </w:tcPr>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17050</w:t>
            </w:r>
          </w:p>
        </w:tc>
        <w:tc>
          <w:tcPr>
            <w:shd w:fill="auto" w:val="clear"/>
            <w:tcMar>
              <w:top w:w="0.0" w:type="dxa"/>
              <w:left w:w="108.0" w:type="dxa"/>
              <w:bottom w:w="0.0" w:type="dxa"/>
              <w:right w:w="108.0" w:type="dxa"/>
            </w:tcMar>
            <w:vAlign w:val="top"/>
          </w:tcPr>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18212</w:t>
            </w:r>
          </w:p>
        </w:tc>
        <w:tc>
          <w:tcPr>
            <w:shd w:fill="auto" w:val="clear"/>
            <w:tcMar>
              <w:top w:w="0.0" w:type="dxa"/>
              <w:left w:w="108.0" w:type="dxa"/>
              <w:bottom w:w="0.0" w:type="dxa"/>
              <w:right w:w="108.0" w:type="dxa"/>
            </w:tcMar>
            <w:vAlign w:val="top"/>
          </w:tcPr>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17738</w:t>
            </w:r>
          </w:p>
        </w:tc>
        <w:tc>
          <w:tcPr>
            <w:shd w:fill="auto" w:val="clear"/>
            <w:tcMar>
              <w:top w:w="0.0" w:type="dxa"/>
              <w:left w:w="108.0" w:type="dxa"/>
              <w:bottom w:w="0.0" w:type="dxa"/>
              <w:right w:w="108.0" w:type="dxa"/>
            </w:tcMar>
            <w:vAlign w:val="top"/>
          </w:tcPr>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72311</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N</w:t>
            </w:r>
          </w:p>
        </w:tc>
        <w:tc>
          <w:tcPr>
            <w:shd w:fill="auto" w:val="clear"/>
            <w:tcMar>
              <w:top w:w="0.0" w:type="dxa"/>
              <w:left w:w="108.0" w:type="dxa"/>
              <w:bottom w:w="0.0" w:type="dxa"/>
              <w:right w:w="108.0" w:type="dxa"/>
            </w:tcMar>
            <w:vAlign w:val="top"/>
          </w:tcPr>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97179</w:t>
            </w:r>
          </w:p>
        </w:tc>
        <w:tc>
          <w:tcPr>
            <w:shd w:fill="auto" w:val="clear"/>
            <w:tcMar>
              <w:top w:w="0.0" w:type="dxa"/>
              <w:left w:w="108.0" w:type="dxa"/>
              <w:bottom w:w="0.0" w:type="dxa"/>
              <w:right w:w="108.0" w:type="dxa"/>
            </w:tcMar>
            <w:vAlign w:val="top"/>
          </w:tcPr>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r>
          </w:p>
        </w:tc>
      </w:tr>
    </w:tbl>
    <w:p w:rsidR="00000000" w:rsidDel="00000000" w:rsidP="00000000" w:rsidRDefault="00000000" w:rsidRPr="00000000" w14:paraId="0000018F">
      <w:pPr>
        <w:pStyle w:val="Heading4"/>
        <w:pageBreakBefore w:val="0"/>
        <w:pBdr>
          <w:top w:space="0" w:sz="0" w:val="nil"/>
          <w:left w:space="0" w:sz="0" w:val="nil"/>
          <w:bottom w:space="0" w:sz="0" w:val="nil"/>
          <w:right w:space="0" w:sz="0" w:val="nil"/>
          <w:between w:space="0" w:sz="0" w:val="nil"/>
        </w:pBdr>
        <w:shd w:fill="auto" w:val="clear"/>
        <w:spacing w:before="0" w:line="360" w:lineRule="auto"/>
        <w:rPr>
          <w:sz w:val="20"/>
          <w:szCs w:val="20"/>
        </w:rPr>
      </w:pPr>
      <w:bookmarkStart w:colFirst="0" w:colLast="0" w:name="_j0h7rca3fq8z" w:id="113"/>
      <w:bookmarkEnd w:id="113"/>
      <w:r w:rsidDel="00000000" w:rsidR="00000000" w:rsidRPr="00000000">
        <w:rPr>
          <w:sz w:val="20"/>
          <w:szCs w:val="20"/>
          <w:vertAlign w:val="superscript"/>
          <w:rtl w:val="0"/>
        </w:rPr>
        <w:t xml:space="preserve">a </w:t>
      </w:r>
      <w:r w:rsidDel="00000000" w:rsidR="00000000" w:rsidRPr="00000000">
        <w:rPr>
          <w:sz w:val="20"/>
          <w:szCs w:val="20"/>
          <w:rtl w:val="0"/>
        </w:rPr>
        <w:t xml:space="preserve">Not part of core questionnaire (only asked of a random subset of respondents).</w:t>
      </w:r>
    </w:p>
    <w:p w:rsidR="00000000" w:rsidDel="00000000" w:rsidP="00000000" w:rsidRDefault="00000000" w:rsidRPr="00000000" w14:paraId="00000190">
      <w:pPr>
        <w:pStyle w:val="Heading4"/>
        <w:pageBreakBefore w:val="0"/>
        <w:pBdr>
          <w:top w:space="0" w:sz="0" w:val="nil"/>
          <w:left w:space="0" w:sz="0" w:val="nil"/>
          <w:bottom w:space="0" w:sz="0" w:val="nil"/>
          <w:right w:space="0" w:sz="0" w:val="nil"/>
          <w:between w:space="0" w:sz="0" w:val="nil"/>
        </w:pBdr>
        <w:shd w:fill="auto" w:val="clear"/>
        <w:spacing w:before="0" w:line="360" w:lineRule="auto"/>
        <w:rPr>
          <w:sz w:val="20"/>
          <w:szCs w:val="20"/>
        </w:rPr>
      </w:pPr>
      <w:bookmarkStart w:colFirst="0" w:colLast="0" w:name="_9sc0eleve8ql" w:id="114"/>
      <w:bookmarkEnd w:id="114"/>
      <w:r w:rsidDel="00000000" w:rsidR="00000000" w:rsidRPr="00000000">
        <w:rPr>
          <w:sz w:val="20"/>
          <w:szCs w:val="20"/>
          <w:vertAlign w:val="superscript"/>
          <w:rtl w:val="0"/>
        </w:rPr>
        <w:t xml:space="preserve">b </w:t>
      </w:r>
      <w:r w:rsidDel="00000000" w:rsidR="00000000" w:rsidRPr="00000000">
        <w:rPr>
          <w:sz w:val="20"/>
          <w:szCs w:val="20"/>
          <w:rtl w:val="0"/>
        </w:rPr>
        <w:t xml:space="preserve">Original wording: During the last 12 months] did you visit a crafts fair or a visual arts festival?” </w:t>
      </w:r>
    </w:p>
    <w:p w:rsidR="00000000" w:rsidDel="00000000" w:rsidP="00000000" w:rsidRDefault="00000000" w:rsidRPr="00000000" w14:paraId="00000191">
      <w:pPr>
        <w:pStyle w:val="Heading4"/>
        <w:pageBreakBefore w:val="0"/>
        <w:pBdr>
          <w:top w:space="0" w:sz="0" w:val="nil"/>
          <w:left w:space="0" w:sz="0" w:val="nil"/>
          <w:bottom w:space="0" w:sz="0" w:val="nil"/>
          <w:right w:space="0" w:sz="0" w:val="nil"/>
          <w:between w:space="0" w:sz="0" w:val="nil"/>
        </w:pBdr>
        <w:shd w:fill="auto" w:val="clear"/>
        <w:spacing w:before="0" w:line="360" w:lineRule="auto"/>
        <w:rPr>
          <w:sz w:val="20"/>
          <w:szCs w:val="20"/>
        </w:rPr>
      </w:pPr>
      <w:bookmarkStart w:colFirst="0" w:colLast="0" w:name="_nqwimc6ipisp" w:id="115"/>
      <w:bookmarkEnd w:id="115"/>
      <w:r w:rsidDel="00000000" w:rsidR="00000000" w:rsidRPr="00000000">
        <w:rPr>
          <w:sz w:val="20"/>
          <w:szCs w:val="20"/>
          <w:vertAlign w:val="superscript"/>
          <w:rtl w:val="0"/>
        </w:rPr>
        <w:t xml:space="preserve">c </w:t>
      </w:r>
      <w:r w:rsidDel="00000000" w:rsidR="00000000" w:rsidRPr="00000000">
        <w:rPr>
          <w:sz w:val="20"/>
          <w:szCs w:val="20"/>
          <w:rtl w:val="0"/>
        </w:rPr>
        <w:t xml:space="preserve">Revised wording: “(During the last 12 months) did you visit an art fair or festival, or a craft fair or festival?”</w:t>
      </w:r>
    </w:p>
    <w:p w:rsidR="00000000" w:rsidDel="00000000" w:rsidP="00000000" w:rsidRDefault="00000000" w:rsidRPr="00000000" w14:paraId="00000192">
      <w:pPr>
        <w:pStyle w:val="Heading4"/>
        <w:pageBreakBefore w:val="0"/>
        <w:pBdr>
          <w:top w:space="0" w:sz="0" w:val="nil"/>
          <w:left w:space="0" w:sz="0" w:val="nil"/>
          <w:bottom w:space="0" w:sz="0" w:val="nil"/>
          <w:right w:space="0" w:sz="0" w:val="nil"/>
          <w:between w:space="0" w:sz="0" w:val="nil"/>
        </w:pBdr>
        <w:shd w:fill="auto" w:val="clear"/>
        <w:spacing w:before="0" w:line="360" w:lineRule="auto"/>
        <w:rPr>
          <w:sz w:val="20"/>
          <w:szCs w:val="20"/>
        </w:rPr>
      </w:pPr>
      <w:bookmarkStart w:colFirst="0" w:colLast="0" w:name="_1saguccozqqd" w:id="116"/>
      <w:bookmarkEnd w:id="116"/>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4"/>
        <w:pageBreakBefore w:val="0"/>
        <w:pBdr>
          <w:top w:space="0" w:sz="0" w:val="nil"/>
          <w:left w:space="0" w:sz="0" w:val="nil"/>
          <w:bottom w:space="0" w:sz="0" w:val="nil"/>
          <w:right w:space="0" w:sz="0" w:val="nil"/>
          <w:between w:space="0" w:sz="0" w:val="nil"/>
        </w:pBdr>
        <w:shd w:fill="auto" w:val="clear"/>
        <w:spacing w:before="0" w:line="360" w:lineRule="auto"/>
        <w:rPr/>
      </w:pPr>
      <w:bookmarkStart w:colFirst="0" w:colLast="0" w:name="_riqt5sixvz2f" w:id="117"/>
      <w:bookmarkEnd w:id="117"/>
      <w:r w:rsidDel="00000000" w:rsidR="00000000" w:rsidRPr="00000000">
        <w:rPr>
          <w:b w:val="1"/>
          <w:bCs w:val="1"/>
          <w:sz w:val="26"/>
          <w:szCs w:val="26"/>
          <w:rtl w:val="0"/>
        </w:rPr>
        <w:t xml:space="preserve">Table 2. </w:t>
      </w:r>
      <w:r w:rsidDel="00000000" w:rsidR="00000000" w:rsidRPr="00000000">
        <w:rPr>
          <w:rtl w:val="0"/>
        </w:rPr>
      </w:r>
    </w:p>
    <w:tbl>
      <w:tblPr>
        <w:tblStyle w:val="Table2"/>
        <w:tblW w:w="9216.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440"/>
        <w:gridCol w:w="1727.9999999999998"/>
        <w:gridCol w:w="1727.9999999999998"/>
        <w:gridCol w:w="1440"/>
        <w:gridCol w:w="1440"/>
        <w:gridCol w:w="1440"/>
        <w:tblGridChange w:id="0">
          <w:tblGrid>
            <w:gridCol w:w="1440"/>
            <w:gridCol w:w="1727.9999999999998"/>
            <w:gridCol w:w="1727.9999999999998"/>
            <w:gridCol w:w="1440"/>
            <w:gridCol w:w="1440"/>
            <w:gridCol w:w="1440"/>
          </w:tblGrid>
        </w:tblGridChange>
      </w:tblGrid>
      <w:tr>
        <w:trPr>
          <w:cantSplit w:val="0"/>
          <w:trHeight w:val="240" w:hRule="atLeast"/>
          <w:tblHeader w:val="0"/>
        </w:trPr>
        <w:tc>
          <w:tcPr>
            <w:gridSpan w:val="6"/>
            <w:shd w:fill="666666" w:val="clear"/>
            <w:tcMar>
              <w:top w:w="0.0" w:type="dxa"/>
              <w:left w:w="40.0" w:type="dxa"/>
              <w:bottom w:w="0.0" w:type="dxa"/>
              <w:right w:w="40.0" w:type="dxa"/>
            </w:tcMar>
            <w:vAlign w:val="bottom"/>
          </w:tcPr>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b w:val="1"/>
                <w:bCs w:val="1"/>
                <w:color w:val="ffffff"/>
              </w:rPr>
            </w:pPr>
            <w:r w:rsidDel="00000000" w:rsidR="00000000" w:rsidRPr="00000000">
              <w:rPr>
                <w:b w:val="1"/>
                <w:bCs w:val="1"/>
                <w:color w:val="ffffff"/>
                <w:rtl w:val="0"/>
              </w:rPr>
              <w:t xml:space="preserve">Age Effects</w:t>
            </w:r>
          </w:p>
        </w:tc>
      </w:tr>
      <w:tr>
        <w:trPr>
          <w:cantSplit w:val="0"/>
          <w:tblHeader w:val="0"/>
        </w:trPr>
        <w:tc>
          <w:tcPr>
            <w:shd w:fill="666666" w:val="clear"/>
            <w:tcMar>
              <w:top w:w="0.0" w:type="dxa"/>
              <w:left w:w="40.0" w:type="dxa"/>
              <w:bottom w:w="0.0" w:type="dxa"/>
              <w:right w:w="40.0" w:type="dxa"/>
            </w:tcMar>
            <w:vAlign w:val="bottom"/>
          </w:tcPr>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before="0" w:line="240" w:lineRule="auto"/>
              <w:ind w:firstLine="0"/>
              <w:rPr>
                <w:color w:val="ffffff"/>
              </w:rPr>
            </w:pPr>
            <w:r w:rsidDel="00000000" w:rsidR="00000000" w:rsidRPr="00000000">
              <w:rPr>
                <w:color w:val="ffffff"/>
                <w:rtl w:val="0"/>
              </w:rPr>
              <w:t xml:space="preserve">N</w:t>
            </w:r>
          </w:p>
        </w:tc>
        <w:tc>
          <w:tcPr>
            <w:shd w:fill="666666" w:val="clear"/>
            <w:tcMar>
              <w:top w:w="0.0" w:type="dxa"/>
              <w:left w:w="40.0" w:type="dxa"/>
              <w:bottom w:w="0.0" w:type="dxa"/>
              <w:right w:w="40.0" w:type="dxa"/>
            </w:tcMar>
            <w:vAlign w:val="bottom"/>
          </w:tcPr>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before="0" w:line="240" w:lineRule="auto"/>
              <w:ind w:firstLine="0"/>
              <w:rPr>
                <w:color w:val="ffffff"/>
              </w:rPr>
            </w:pPr>
            <w:r w:rsidDel="00000000" w:rsidR="00000000" w:rsidRPr="00000000">
              <w:rPr>
                <w:color w:val="ffffff"/>
                <w:rtl w:val="0"/>
              </w:rPr>
              <w:t xml:space="preserve">LL (Null)</w:t>
            </w:r>
          </w:p>
        </w:tc>
        <w:tc>
          <w:tcPr>
            <w:shd w:fill="666666" w:val="clear"/>
            <w:tcMar>
              <w:top w:w="0.0" w:type="dxa"/>
              <w:left w:w="40.0" w:type="dxa"/>
              <w:bottom w:w="0.0" w:type="dxa"/>
              <w:right w:w="40.0" w:type="dxa"/>
            </w:tcMar>
            <w:vAlign w:val="bottom"/>
          </w:tcPr>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before="0" w:line="240" w:lineRule="auto"/>
              <w:ind w:firstLine="0"/>
              <w:rPr>
                <w:color w:val="ffffff"/>
              </w:rPr>
            </w:pPr>
            <w:r w:rsidDel="00000000" w:rsidR="00000000" w:rsidRPr="00000000">
              <w:rPr>
                <w:color w:val="ffffff"/>
                <w:rtl w:val="0"/>
              </w:rPr>
              <w:t xml:space="preserve">LL (Model)</w:t>
            </w:r>
          </w:p>
        </w:tc>
        <w:tc>
          <w:tcPr>
            <w:shd w:fill="666666" w:val="clear"/>
            <w:tcMar>
              <w:top w:w="0.0" w:type="dxa"/>
              <w:left w:w="40.0" w:type="dxa"/>
              <w:bottom w:w="0.0" w:type="dxa"/>
              <w:right w:w="40.0" w:type="dxa"/>
            </w:tcMar>
            <w:vAlign w:val="bottom"/>
          </w:tcPr>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color w:val="ffffff"/>
              </w:rPr>
            </w:pPr>
            <w:r w:rsidDel="00000000" w:rsidR="00000000" w:rsidRPr="00000000">
              <w:rPr>
                <w:color w:val="ffffff"/>
                <w:rtl w:val="0"/>
              </w:rPr>
              <w:t xml:space="preserve">DF</w:t>
            </w:r>
          </w:p>
        </w:tc>
        <w:tc>
          <w:tcPr>
            <w:shd w:fill="666666" w:val="clear"/>
            <w:tcMar>
              <w:top w:w="0.0" w:type="dxa"/>
              <w:left w:w="40.0" w:type="dxa"/>
              <w:bottom w:w="0.0" w:type="dxa"/>
              <w:right w:w="40.0" w:type="dxa"/>
            </w:tcMar>
            <w:vAlign w:val="bottom"/>
          </w:tcPr>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before="0" w:line="240" w:lineRule="auto"/>
              <w:ind w:firstLine="0"/>
              <w:rPr>
                <w:color w:val="ffffff"/>
              </w:rPr>
            </w:pPr>
            <w:r w:rsidDel="00000000" w:rsidR="00000000" w:rsidRPr="00000000">
              <w:rPr>
                <w:color w:val="ffffff"/>
                <w:rtl w:val="0"/>
              </w:rPr>
              <w:t xml:space="preserve">AIC</w:t>
            </w:r>
          </w:p>
        </w:tc>
        <w:tc>
          <w:tcPr>
            <w:shd w:fill="666666" w:val="clear"/>
            <w:tcMar>
              <w:top w:w="0.0" w:type="dxa"/>
              <w:left w:w="40.0" w:type="dxa"/>
              <w:bottom w:w="0.0" w:type="dxa"/>
              <w:right w:w="40.0" w:type="dxa"/>
            </w:tcMar>
            <w:vAlign w:val="bottom"/>
          </w:tcPr>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before="0" w:line="240" w:lineRule="auto"/>
              <w:ind w:firstLine="0"/>
              <w:rPr>
                <w:color w:val="ffffff"/>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97027</w:t>
            </w:r>
          </w:p>
        </w:tc>
        <w:tc>
          <w:tcPr>
            <w:shd w:fill="auto" w:val="clear"/>
            <w:tcMar>
              <w:top w:w="0.0" w:type="dxa"/>
              <w:left w:w="40.0" w:type="dxa"/>
              <w:bottom w:w="0.0" w:type="dxa"/>
              <w:right w:w="40.0" w:type="dxa"/>
            </w:tcMar>
            <w:vAlign w:val="bottom"/>
          </w:tcPr>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-30203.16848</w:t>
            </w:r>
          </w:p>
        </w:tc>
        <w:tc>
          <w:tcPr>
            <w:shd w:fill="auto" w:val="clear"/>
            <w:tcMar>
              <w:top w:w="0.0" w:type="dxa"/>
              <w:left w:w="40.0" w:type="dxa"/>
              <w:bottom w:w="0.0" w:type="dxa"/>
              <w:right w:w="40.0" w:type="dxa"/>
            </w:tcMar>
            <w:vAlign w:val="bottom"/>
          </w:tcPr>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-29732.68584</w:t>
            </w:r>
          </w:p>
        </w:tc>
        <w:tc>
          <w:tcPr>
            <w:shd w:fill="auto" w:val="clear"/>
            <w:tcMar>
              <w:top w:w="0.0" w:type="dxa"/>
              <w:left w:w="40.0" w:type="dxa"/>
              <w:bottom w:w="0.0" w:type="dxa"/>
              <w:right w:w="40.0" w:type="dxa"/>
            </w:tcMar>
            <w:vAlign w:val="bottom"/>
          </w:tcPr>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15</w:t>
            </w:r>
          </w:p>
        </w:tc>
        <w:tc>
          <w:tcPr>
            <w:shd w:fill="auto" w:val="clear"/>
            <w:tcMar>
              <w:top w:w="0.0" w:type="dxa"/>
              <w:left w:w="40.0" w:type="dxa"/>
              <w:bottom w:w="0.0" w:type="dxa"/>
              <w:right w:w="40.0" w:type="dxa"/>
            </w:tcMar>
            <w:vAlign w:val="bottom"/>
          </w:tcPr>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59495.37168</w:t>
            </w:r>
          </w:p>
        </w:tc>
        <w:tc>
          <w:tcPr>
            <w:shd w:fill="auto" w:val="clear"/>
            <w:tcMar>
              <w:top w:w="0.0" w:type="dxa"/>
              <w:left w:w="40.0" w:type="dxa"/>
              <w:bottom w:w="0.0" w:type="dxa"/>
              <w:right w:w="40.0" w:type="dxa"/>
            </w:tcMar>
            <w:vAlign w:val="bottom"/>
          </w:tcPr>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jazz</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-34992.152</w:t>
            </w:r>
          </w:p>
        </w:tc>
        <w:tc>
          <w:tcPr>
            <w:shd w:fill="auto" w:val="clear"/>
            <w:tcMar>
              <w:top w:w="0.0" w:type="dxa"/>
              <w:left w:w="40.0" w:type="dxa"/>
              <w:bottom w:w="0.0" w:type="dxa"/>
              <w:right w:w="40.0" w:type="dxa"/>
            </w:tcMar>
            <w:vAlign w:val="bottom"/>
          </w:tcPr>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-34854.72026</w:t>
            </w:r>
          </w:p>
        </w:tc>
        <w:tc>
          <w:tcPr>
            <w:shd w:fill="auto" w:val="clear"/>
            <w:tcMar>
              <w:top w:w="0.0" w:type="dxa"/>
              <w:left w:w="40.0" w:type="dxa"/>
              <w:bottom w:w="0.0" w:type="dxa"/>
              <w:right w:w="40.0" w:type="dxa"/>
            </w:tcMar>
            <w:vAlign w:val="bottom"/>
          </w:tcPr>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16</w:t>
            </w:r>
          </w:p>
        </w:tc>
        <w:tc>
          <w:tcPr>
            <w:shd w:fill="auto" w:val="clear"/>
            <w:tcMar>
              <w:top w:w="0.0" w:type="dxa"/>
              <w:left w:w="40.0" w:type="dxa"/>
              <w:bottom w:w="0.0" w:type="dxa"/>
              <w:right w:w="40.0" w:type="dxa"/>
            </w:tcMar>
            <w:vAlign w:val="bottom"/>
          </w:tcPr>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69741.44052</w:t>
            </w:r>
          </w:p>
        </w:tc>
        <w:tc>
          <w:tcPr>
            <w:shd w:fill="auto" w:val="clear"/>
            <w:tcMar>
              <w:top w:w="0.0" w:type="dxa"/>
              <w:left w:w="40.0" w:type="dxa"/>
              <w:bottom w:w="0.0" w:type="dxa"/>
              <w:right w:w="40.0" w:type="dxa"/>
            </w:tcMar>
            <w:vAlign w:val="bottom"/>
          </w:tcPr>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classical</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-12322.41823</w:t>
            </w:r>
          </w:p>
        </w:tc>
        <w:tc>
          <w:tcPr>
            <w:shd w:fill="auto" w:val="clear"/>
            <w:tcMar>
              <w:top w:w="0.0" w:type="dxa"/>
              <w:left w:w="40.0" w:type="dxa"/>
              <w:bottom w:w="0.0" w:type="dxa"/>
              <w:right w:w="40.0" w:type="dxa"/>
            </w:tcMar>
            <w:vAlign w:val="bottom"/>
          </w:tcPr>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-12278.41295</w:t>
            </w:r>
          </w:p>
        </w:tc>
        <w:tc>
          <w:tcPr>
            <w:shd w:fill="auto" w:val="clear"/>
            <w:tcMar>
              <w:top w:w="0.0" w:type="dxa"/>
              <w:left w:w="40.0" w:type="dxa"/>
              <w:bottom w:w="0.0" w:type="dxa"/>
              <w:right w:w="40.0" w:type="dxa"/>
            </w:tcMar>
            <w:vAlign w:val="bottom"/>
          </w:tcPr>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15</w:t>
            </w:r>
          </w:p>
        </w:tc>
        <w:tc>
          <w:tcPr>
            <w:shd w:fill="auto" w:val="clear"/>
            <w:tcMar>
              <w:top w:w="0.0" w:type="dxa"/>
              <w:left w:w="40.0" w:type="dxa"/>
              <w:bottom w:w="0.0" w:type="dxa"/>
              <w:right w:w="40.0" w:type="dxa"/>
            </w:tcMar>
            <w:vAlign w:val="bottom"/>
          </w:tcPr>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24586.8259</w:t>
            </w:r>
          </w:p>
        </w:tc>
        <w:tc>
          <w:tcPr>
            <w:shd w:fill="auto" w:val="clear"/>
            <w:tcMar>
              <w:top w:w="0.0" w:type="dxa"/>
              <w:left w:w="40.0" w:type="dxa"/>
              <w:bottom w:w="0.0" w:type="dxa"/>
              <w:right w:w="40.0" w:type="dxa"/>
            </w:tcMar>
            <w:vAlign w:val="bottom"/>
          </w:tcPr>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opera</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-45081.47682</w:t>
            </w:r>
          </w:p>
        </w:tc>
        <w:tc>
          <w:tcPr>
            <w:shd w:fill="auto" w:val="clear"/>
            <w:tcMar>
              <w:top w:w="0.0" w:type="dxa"/>
              <w:left w:w="40.0" w:type="dxa"/>
              <w:bottom w:w="0.0" w:type="dxa"/>
              <w:right w:w="40.0" w:type="dxa"/>
            </w:tcMar>
            <w:vAlign w:val="bottom"/>
          </w:tcPr>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-44793.30944</w:t>
            </w:r>
          </w:p>
        </w:tc>
        <w:tc>
          <w:tcPr>
            <w:shd w:fill="auto" w:val="clear"/>
            <w:tcMar>
              <w:top w:w="0.0" w:type="dxa"/>
              <w:left w:w="40.0" w:type="dxa"/>
              <w:bottom w:w="0.0" w:type="dxa"/>
              <w:right w:w="40.0" w:type="dxa"/>
            </w:tcMar>
            <w:vAlign w:val="bottom"/>
          </w:tcPr>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15</w:t>
            </w:r>
          </w:p>
        </w:tc>
        <w:tc>
          <w:tcPr>
            <w:shd w:fill="auto" w:val="clear"/>
            <w:tcMar>
              <w:top w:w="0.0" w:type="dxa"/>
              <w:left w:w="40.0" w:type="dxa"/>
              <w:bottom w:w="0.0" w:type="dxa"/>
              <w:right w:w="40.0" w:type="dxa"/>
            </w:tcMar>
            <w:vAlign w:val="bottom"/>
          </w:tcPr>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89616.61887</w:t>
            </w:r>
          </w:p>
        </w:tc>
        <w:tc>
          <w:tcPr>
            <w:shd w:fill="auto" w:val="clear"/>
            <w:tcMar>
              <w:top w:w="0.0" w:type="dxa"/>
              <w:left w:w="40.0" w:type="dxa"/>
              <w:bottom w:w="0.0" w:type="dxa"/>
              <w:right w:w="40.0" w:type="dxa"/>
            </w:tcMar>
            <w:vAlign w:val="bottom"/>
          </w:tcPr>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musical</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-15817.60051</w:t>
            </w:r>
          </w:p>
        </w:tc>
        <w:tc>
          <w:tcPr>
            <w:shd w:fill="auto" w:val="clear"/>
            <w:tcMar>
              <w:top w:w="0.0" w:type="dxa"/>
              <w:left w:w="40.0" w:type="dxa"/>
              <w:bottom w:w="0.0" w:type="dxa"/>
              <w:right w:w="40.0" w:type="dxa"/>
            </w:tcMar>
            <w:vAlign w:val="bottom"/>
          </w:tcPr>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-15721.92135</w:t>
            </w:r>
          </w:p>
        </w:tc>
        <w:tc>
          <w:tcPr>
            <w:shd w:fill="auto" w:val="clear"/>
            <w:tcMar>
              <w:top w:w="0.0" w:type="dxa"/>
              <w:left w:w="40.0" w:type="dxa"/>
              <w:bottom w:w="0.0" w:type="dxa"/>
              <w:right w:w="40.0" w:type="dxa"/>
            </w:tcMar>
            <w:vAlign w:val="bottom"/>
          </w:tcPr>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15</w:t>
            </w:r>
          </w:p>
        </w:tc>
        <w:tc>
          <w:tcPr>
            <w:shd w:fill="auto" w:val="clear"/>
            <w:tcMar>
              <w:top w:w="0.0" w:type="dxa"/>
              <w:left w:w="40.0" w:type="dxa"/>
              <w:bottom w:w="0.0" w:type="dxa"/>
              <w:right w:w="40.0" w:type="dxa"/>
            </w:tcMar>
            <w:vAlign w:val="bottom"/>
          </w:tcPr>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31473.84271</w:t>
            </w:r>
          </w:p>
        </w:tc>
        <w:tc>
          <w:tcPr>
            <w:shd w:fill="auto" w:val="clear"/>
            <w:tcMar>
              <w:top w:w="0.0" w:type="dxa"/>
              <w:left w:w="40.0" w:type="dxa"/>
              <w:bottom w:w="0.0" w:type="dxa"/>
              <w:right w:w="40.0" w:type="dxa"/>
            </w:tcMar>
            <w:vAlign w:val="bottom"/>
          </w:tcPr>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ballet</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-53431.39911</w:t>
            </w:r>
          </w:p>
        </w:tc>
        <w:tc>
          <w:tcPr>
            <w:shd w:fill="auto" w:val="clear"/>
            <w:tcMar>
              <w:top w:w="0.0" w:type="dxa"/>
              <w:left w:w="40.0" w:type="dxa"/>
              <w:bottom w:w="0.0" w:type="dxa"/>
              <w:right w:w="40.0" w:type="dxa"/>
            </w:tcMar>
            <w:vAlign w:val="bottom"/>
          </w:tcPr>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-52949.19402</w:t>
            </w:r>
          </w:p>
        </w:tc>
        <w:tc>
          <w:tcPr>
            <w:shd w:fill="auto" w:val="clear"/>
            <w:tcMar>
              <w:top w:w="0.0" w:type="dxa"/>
              <w:left w:w="40.0" w:type="dxa"/>
              <w:bottom w:w="0.0" w:type="dxa"/>
              <w:right w:w="40.0" w:type="dxa"/>
            </w:tcMar>
            <w:vAlign w:val="bottom"/>
          </w:tcPr>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16</w:t>
            </w:r>
          </w:p>
        </w:tc>
        <w:tc>
          <w:tcPr>
            <w:shd w:fill="auto" w:val="clear"/>
            <w:tcMar>
              <w:top w:w="0.0" w:type="dxa"/>
              <w:left w:w="40.0" w:type="dxa"/>
              <w:bottom w:w="0.0" w:type="dxa"/>
              <w:right w:w="40.0" w:type="dxa"/>
            </w:tcMar>
            <w:vAlign w:val="bottom"/>
          </w:tcPr>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105930.388</w:t>
            </w:r>
          </w:p>
        </w:tc>
        <w:tc>
          <w:tcPr>
            <w:shd w:fill="auto" w:val="clear"/>
            <w:tcMar>
              <w:top w:w="0.0" w:type="dxa"/>
              <w:left w:w="40.0" w:type="dxa"/>
              <w:bottom w:w="0.0" w:type="dxa"/>
              <w:right w:w="40.0" w:type="dxa"/>
            </w:tcMar>
            <w:vAlign w:val="bottom"/>
          </w:tcPr>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artmuseum</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-45277.88053</w:t>
            </w:r>
          </w:p>
        </w:tc>
        <w:tc>
          <w:tcPr>
            <w:shd w:fill="auto" w:val="clear"/>
            <w:tcMar>
              <w:top w:w="0.0" w:type="dxa"/>
              <w:left w:w="40.0" w:type="dxa"/>
              <w:bottom w:w="0.0" w:type="dxa"/>
              <w:right w:w="40.0" w:type="dxa"/>
            </w:tcMar>
            <w:vAlign w:val="bottom"/>
          </w:tcPr>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-44697.44316</w:t>
            </w:r>
          </w:p>
        </w:tc>
        <w:tc>
          <w:tcPr>
            <w:shd w:fill="auto" w:val="clear"/>
            <w:tcMar>
              <w:top w:w="0.0" w:type="dxa"/>
              <w:left w:w="40.0" w:type="dxa"/>
              <w:bottom w:w="0.0" w:type="dxa"/>
              <w:right w:w="40.0" w:type="dxa"/>
            </w:tcMar>
            <w:vAlign w:val="bottom"/>
          </w:tcPr>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15</w:t>
            </w:r>
          </w:p>
        </w:tc>
        <w:tc>
          <w:tcPr>
            <w:shd w:fill="auto" w:val="clear"/>
            <w:tcMar>
              <w:top w:w="0.0" w:type="dxa"/>
              <w:left w:w="40.0" w:type="dxa"/>
              <w:bottom w:w="0.0" w:type="dxa"/>
              <w:right w:w="40.0" w:type="dxa"/>
            </w:tcMar>
            <w:vAlign w:val="bottom"/>
          </w:tcPr>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89424.88631</w:t>
            </w:r>
          </w:p>
        </w:tc>
        <w:tc>
          <w:tcPr>
            <w:shd w:fill="auto" w:val="clear"/>
            <w:tcMar>
              <w:top w:w="0.0" w:type="dxa"/>
              <w:left w:w="40.0" w:type="dxa"/>
              <w:bottom w:w="0.0" w:type="dxa"/>
              <w:right w:w="40.0" w:type="dxa"/>
            </w:tcMar>
            <w:vAlign w:val="bottom"/>
          </w:tcPr>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craft_fair</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-44412.32366</w:t>
            </w:r>
          </w:p>
        </w:tc>
        <w:tc>
          <w:tcPr>
            <w:shd w:fill="auto" w:val="clear"/>
            <w:tcMar>
              <w:top w:w="0.0" w:type="dxa"/>
              <w:left w:w="40.0" w:type="dxa"/>
              <w:bottom w:w="0.0" w:type="dxa"/>
              <w:right w:w="40.0" w:type="dxa"/>
            </w:tcMar>
            <w:vAlign w:val="bottom"/>
          </w:tcPr>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-43764.12136</w:t>
            </w:r>
          </w:p>
        </w:tc>
        <w:tc>
          <w:tcPr>
            <w:shd w:fill="auto" w:val="clear"/>
            <w:tcMar>
              <w:top w:w="0.0" w:type="dxa"/>
              <w:left w:w="40.0" w:type="dxa"/>
              <w:bottom w:w="0.0" w:type="dxa"/>
              <w:right w:w="40.0" w:type="dxa"/>
            </w:tcMar>
            <w:vAlign w:val="bottom"/>
          </w:tcPr>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15</w:t>
            </w:r>
          </w:p>
        </w:tc>
        <w:tc>
          <w:tcPr>
            <w:shd w:fill="auto" w:val="clear"/>
            <w:tcMar>
              <w:top w:w="0.0" w:type="dxa"/>
              <w:left w:w="40.0" w:type="dxa"/>
              <w:bottom w:w="0.0" w:type="dxa"/>
              <w:right w:w="40.0" w:type="dxa"/>
            </w:tcMar>
            <w:vAlign w:val="bottom"/>
          </w:tcPr>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87558.24273</w:t>
            </w:r>
          </w:p>
        </w:tc>
        <w:tc>
          <w:tcPr>
            <w:shd w:fill="auto" w:val="clear"/>
            <w:tcMar>
              <w:top w:w="0.0" w:type="dxa"/>
              <w:left w:w="40.0" w:type="dxa"/>
              <w:bottom w:w="0.0" w:type="dxa"/>
              <w:right w:w="40.0" w:type="dxa"/>
            </w:tcMar>
            <w:vAlign w:val="bottom"/>
          </w:tcPr>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park</w:t>
            </w:r>
          </w:p>
        </w:tc>
      </w:tr>
      <w:tr>
        <w:trPr>
          <w:cantSplit w:val="0"/>
          <w:tblHeader w:val="0"/>
        </w:trPr>
        <w:tc>
          <w:tcPr>
            <w:gridSpan w:val="6"/>
            <w:shd w:fill="666666" w:val="clear"/>
            <w:tcMar>
              <w:top w:w="0.0" w:type="dxa"/>
              <w:left w:w="40.0" w:type="dxa"/>
              <w:bottom w:w="0.0" w:type="dxa"/>
              <w:right w:w="40.0" w:type="dxa"/>
            </w:tcMar>
            <w:vAlign w:val="bottom"/>
          </w:tcPr>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b w:val="1"/>
                <w:bCs w:val="1"/>
                <w:color w:val="ffffff"/>
              </w:rPr>
            </w:pPr>
            <w:r w:rsidDel="00000000" w:rsidR="00000000" w:rsidRPr="00000000">
              <w:rPr>
                <w:b w:val="1"/>
                <w:bCs w:val="1"/>
                <w:color w:val="ffffff"/>
                <w:rtl w:val="0"/>
              </w:rPr>
              <w:t xml:space="preserve">Age + Period Effects</w:t>
            </w:r>
          </w:p>
        </w:tc>
      </w:tr>
      <w:tr>
        <w:trPr>
          <w:cantSplit w:val="0"/>
          <w:tblHeader w:val="0"/>
        </w:trPr>
        <w:tc>
          <w:tcPr>
            <w:shd w:fill="666666" w:val="clear"/>
            <w:tcMar>
              <w:top w:w="0.0" w:type="dxa"/>
              <w:left w:w="40.0" w:type="dxa"/>
              <w:bottom w:w="0.0" w:type="dxa"/>
              <w:right w:w="40.0" w:type="dxa"/>
            </w:tcMar>
            <w:vAlign w:val="bottom"/>
          </w:tcPr>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N</w:t>
            </w:r>
          </w:p>
        </w:tc>
        <w:tc>
          <w:tcPr>
            <w:shd w:fill="666666" w:val="clear"/>
            <w:tcMar>
              <w:top w:w="0.0" w:type="dxa"/>
              <w:left w:w="40.0" w:type="dxa"/>
              <w:bottom w:w="0.0" w:type="dxa"/>
              <w:right w:w="40.0" w:type="dxa"/>
            </w:tcMar>
            <w:vAlign w:val="bottom"/>
          </w:tcPr>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LL (Null)</w:t>
            </w:r>
          </w:p>
        </w:tc>
        <w:tc>
          <w:tcPr>
            <w:shd w:fill="666666" w:val="clear"/>
            <w:tcMar>
              <w:top w:w="0.0" w:type="dxa"/>
              <w:left w:w="40.0" w:type="dxa"/>
              <w:bottom w:w="0.0" w:type="dxa"/>
              <w:right w:w="40.0" w:type="dxa"/>
            </w:tcMar>
            <w:vAlign w:val="bottom"/>
          </w:tcPr>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LL (Model)</w:t>
            </w:r>
          </w:p>
        </w:tc>
        <w:tc>
          <w:tcPr>
            <w:shd w:fill="666666" w:val="clear"/>
            <w:tcMar>
              <w:top w:w="0.0" w:type="dxa"/>
              <w:left w:w="40.0" w:type="dxa"/>
              <w:bottom w:w="0.0" w:type="dxa"/>
              <w:right w:w="40.0" w:type="dxa"/>
            </w:tcMar>
            <w:vAlign w:val="bottom"/>
          </w:tcPr>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b w:val="1"/>
                <w:bCs w:val="1"/>
                <w:color w:val="ffffff"/>
              </w:rPr>
            </w:pPr>
            <w:r w:rsidDel="00000000" w:rsidR="00000000" w:rsidRPr="00000000">
              <w:rPr>
                <w:b w:val="1"/>
                <w:bCs w:val="1"/>
                <w:color w:val="ffffff"/>
                <w:rtl w:val="0"/>
              </w:rPr>
              <w:t xml:space="preserve">DF</w:t>
            </w:r>
          </w:p>
        </w:tc>
        <w:tc>
          <w:tcPr>
            <w:shd w:fill="666666" w:val="clear"/>
            <w:tcMar>
              <w:top w:w="0.0" w:type="dxa"/>
              <w:left w:w="40.0" w:type="dxa"/>
              <w:bottom w:w="0.0" w:type="dxa"/>
              <w:right w:w="40.0" w:type="dxa"/>
            </w:tcMar>
            <w:vAlign w:val="bottom"/>
          </w:tcPr>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AIC</w:t>
            </w:r>
          </w:p>
        </w:tc>
        <w:tc>
          <w:tcPr>
            <w:shd w:fill="666666" w:val="clear"/>
            <w:tcMar>
              <w:top w:w="0.0" w:type="dxa"/>
              <w:left w:w="40.0" w:type="dxa"/>
              <w:bottom w:w="0.0" w:type="dxa"/>
              <w:right w:w="40.0" w:type="dxa"/>
            </w:tcMar>
            <w:vAlign w:val="bottom"/>
          </w:tcPr>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97027</w:t>
            </w:r>
          </w:p>
        </w:tc>
        <w:tc>
          <w:tcPr>
            <w:shd w:fill="auto" w:val="clear"/>
            <w:tcMar>
              <w:top w:w="0.0" w:type="dxa"/>
              <w:left w:w="40.0" w:type="dxa"/>
              <w:bottom w:w="0.0" w:type="dxa"/>
              <w:right w:w="40.0" w:type="dxa"/>
            </w:tcMar>
            <w:vAlign w:val="bottom"/>
          </w:tcPr>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-30203.16848</w:t>
            </w:r>
          </w:p>
        </w:tc>
        <w:tc>
          <w:tcPr>
            <w:shd w:fill="auto" w:val="clear"/>
            <w:tcMar>
              <w:top w:w="0.0" w:type="dxa"/>
              <w:left w:w="40.0" w:type="dxa"/>
              <w:bottom w:w="0.0" w:type="dxa"/>
              <w:right w:w="40.0" w:type="dxa"/>
            </w:tcMar>
            <w:vAlign w:val="bottom"/>
          </w:tcPr>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-29704.98256</w:t>
            </w:r>
          </w:p>
        </w:tc>
        <w:tc>
          <w:tcPr>
            <w:shd w:fill="auto" w:val="clear"/>
            <w:tcMar>
              <w:top w:w="0.0" w:type="dxa"/>
              <w:left w:w="40.0" w:type="dxa"/>
              <w:bottom w:w="0.0" w:type="dxa"/>
              <w:right w:w="40.0" w:type="dxa"/>
            </w:tcMar>
            <w:vAlign w:val="bottom"/>
          </w:tcPr>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20</w:t>
            </w:r>
          </w:p>
        </w:tc>
        <w:tc>
          <w:tcPr>
            <w:shd w:fill="auto" w:val="clear"/>
            <w:tcMar>
              <w:top w:w="0.0" w:type="dxa"/>
              <w:left w:w="40.0" w:type="dxa"/>
              <w:bottom w:w="0.0" w:type="dxa"/>
              <w:right w:w="40.0" w:type="dxa"/>
            </w:tcMar>
            <w:vAlign w:val="bottom"/>
          </w:tcPr>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59449.96511</w:t>
            </w:r>
          </w:p>
        </w:tc>
        <w:tc>
          <w:tcPr>
            <w:shd w:fill="auto" w:val="clear"/>
            <w:tcMar>
              <w:top w:w="0.0" w:type="dxa"/>
              <w:left w:w="40.0" w:type="dxa"/>
              <w:bottom w:w="0.0" w:type="dxa"/>
              <w:right w:w="40.0" w:type="dxa"/>
            </w:tcMar>
            <w:vAlign w:val="bottom"/>
          </w:tcPr>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jazz</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-34992.152</w:t>
            </w:r>
          </w:p>
        </w:tc>
        <w:tc>
          <w:tcPr>
            <w:shd w:fill="auto" w:val="clear"/>
            <w:tcMar>
              <w:top w:w="0.0" w:type="dxa"/>
              <w:left w:w="40.0" w:type="dxa"/>
              <w:bottom w:w="0.0" w:type="dxa"/>
              <w:right w:w="40.0" w:type="dxa"/>
            </w:tcMar>
            <w:vAlign w:val="bottom"/>
          </w:tcPr>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-34738.55917</w:t>
            </w:r>
          </w:p>
        </w:tc>
        <w:tc>
          <w:tcPr>
            <w:shd w:fill="auto" w:val="clear"/>
            <w:tcMar>
              <w:top w:w="0.0" w:type="dxa"/>
              <w:left w:w="40.0" w:type="dxa"/>
              <w:bottom w:w="0.0" w:type="dxa"/>
              <w:right w:w="40.0" w:type="dxa"/>
            </w:tcMar>
            <w:vAlign w:val="bottom"/>
          </w:tcPr>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21</w:t>
            </w:r>
          </w:p>
        </w:tc>
        <w:tc>
          <w:tcPr>
            <w:shd w:fill="auto" w:val="clear"/>
            <w:tcMar>
              <w:top w:w="0.0" w:type="dxa"/>
              <w:left w:w="40.0" w:type="dxa"/>
              <w:bottom w:w="0.0" w:type="dxa"/>
              <w:right w:w="40.0" w:type="dxa"/>
            </w:tcMar>
            <w:vAlign w:val="bottom"/>
          </w:tcPr>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69519.11834</w:t>
            </w:r>
          </w:p>
        </w:tc>
        <w:tc>
          <w:tcPr>
            <w:shd w:fill="auto" w:val="clear"/>
            <w:tcMar>
              <w:top w:w="0.0" w:type="dxa"/>
              <w:left w:w="40.0" w:type="dxa"/>
              <w:bottom w:w="0.0" w:type="dxa"/>
              <w:right w:w="40.0" w:type="dxa"/>
            </w:tcMar>
            <w:vAlign w:val="bottom"/>
          </w:tcPr>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classical</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-12322.41823</w:t>
            </w:r>
          </w:p>
        </w:tc>
        <w:tc>
          <w:tcPr>
            <w:shd w:fill="auto" w:val="clear"/>
            <w:tcMar>
              <w:top w:w="0.0" w:type="dxa"/>
              <w:left w:w="40.0" w:type="dxa"/>
              <w:bottom w:w="0.0" w:type="dxa"/>
              <w:right w:w="40.0" w:type="dxa"/>
            </w:tcMar>
            <w:vAlign w:val="bottom"/>
          </w:tcPr>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-12245.91531</w:t>
            </w:r>
          </w:p>
        </w:tc>
        <w:tc>
          <w:tcPr>
            <w:shd w:fill="auto" w:val="clear"/>
            <w:tcMar>
              <w:top w:w="0.0" w:type="dxa"/>
              <w:left w:w="40.0" w:type="dxa"/>
              <w:bottom w:w="0.0" w:type="dxa"/>
              <w:right w:w="40.0" w:type="dxa"/>
            </w:tcMar>
            <w:vAlign w:val="bottom"/>
          </w:tcPr>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20</w:t>
            </w:r>
          </w:p>
        </w:tc>
        <w:tc>
          <w:tcPr>
            <w:shd w:fill="auto" w:val="clear"/>
            <w:tcMar>
              <w:top w:w="0.0" w:type="dxa"/>
              <w:left w:w="40.0" w:type="dxa"/>
              <w:bottom w:w="0.0" w:type="dxa"/>
              <w:right w:w="40.0" w:type="dxa"/>
            </w:tcMar>
            <w:vAlign w:val="bottom"/>
          </w:tcPr>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24531.83063</w:t>
            </w:r>
          </w:p>
        </w:tc>
        <w:tc>
          <w:tcPr>
            <w:shd w:fill="auto" w:val="clear"/>
            <w:tcMar>
              <w:top w:w="0.0" w:type="dxa"/>
              <w:left w:w="40.0" w:type="dxa"/>
              <w:bottom w:w="0.0" w:type="dxa"/>
              <w:right w:w="40.0" w:type="dxa"/>
            </w:tcMar>
            <w:vAlign w:val="bottom"/>
          </w:tcPr>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opera</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-45081.47682</w:t>
            </w:r>
          </w:p>
        </w:tc>
        <w:tc>
          <w:tcPr>
            <w:shd w:fill="auto" w:val="clear"/>
            <w:tcMar>
              <w:top w:w="0.0" w:type="dxa"/>
              <w:left w:w="40.0" w:type="dxa"/>
              <w:bottom w:w="0.0" w:type="dxa"/>
              <w:right w:w="40.0" w:type="dxa"/>
            </w:tcMar>
            <w:vAlign w:val="bottom"/>
          </w:tcPr>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-44774.70931</w:t>
            </w:r>
          </w:p>
        </w:tc>
        <w:tc>
          <w:tcPr>
            <w:shd w:fill="auto" w:val="clear"/>
            <w:tcMar>
              <w:top w:w="0.0" w:type="dxa"/>
              <w:left w:w="40.0" w:type="dxa"/>
              <w:bottom w:w="0.0" w:type="dxa"/>
              <w:right w:w="40.0" w:type="dxa"/>
            </w:tcMar>
            <w:vAlign w:val="bottom"/>
          </w:tcPr>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20</w:t>
            </w:r>
          </w:p>
        </w:tc>
        <w:tc>
          <w:tcPr>
            <w:shd w:fill="auto" w:val="clear"/>
            <w:tcMar>
              <w:top w:w="0.0" w:type="dxa"/>
              <w:left w:w="40.0" w:type="dxa"/>
              <w:bottom w:w="0.0" w:type="dxa"/>
              <w:right w:w="40.0" w:type="dxa"/>
            </w:tcMar>
            <w:vAlign w:val="bottom"/>
          </w:tcPr>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89589.41861</w:t>
            </w:r>
          </w:p>
        </w:tc>
        <w:tc>
          <w:tcPr>
            <w:shd w:fill="auto" w:val="clear"/>
            <w:tcMar>
              <w:top w:w="0.0" w:type="dxa"/>
              <w:left w:w="40.0" w:type="dxa"/>
              <w:bottom w:w="0.0" w:type="dxa"/>
              <w:right w:w="40.0" w:type="dxa"/>
            </w:tcMar>
            <w:vAlign w:val="bottom"/>
          </w:tcPr>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musical</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-15817.60051</w:t>
            </w:r>
          </w:p>
        </w:tc>
        <w:tc>
          <w:tcPr>
            <w:shd w:fill="auto" w:val="clear"/>
            <w:tcMar>
              <w:top w:w="0.0" w:type="dxa"/>
              <w:left w:w="40.0" w:type="dxa"/>
              <w:bottom w:w="0.0" w:type="dxa"/>
              <w:right w:w="40.0" w:type="dxa"/>
            </w:tcMar>
            <w:vAlign w:val="bottom"/>
          </w:tcPr>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-15676.87114</w:t>
            </w:r>
          </w:p>
        </w:tc>
        <w:tc>
          <w:tcPr>
            <w:shd w:fill="auto" w:val="clear"/>
            <w:tcMar>
              <w:top w:w="0.0" w:type="dxa"/>
              <w:left w:w="40.0" w:type="dxa"/>
              <w:bottom w:w="0.0" w:type="dxa"/>
              <w:right w:w="40.0" w:type="dxa"/>
            </w:tcMar>
            <w:vAlign w:val="bottom"/>
          </w:tcPr>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20</w:t>
            </w:r>
          </w:p>
        </w:tc>
        <w:tc>
          <w:tcPr>
            <w:shd w:fill="auto" w:val="clear"/>
            <w:tcMar>
              <w:top w:w="0.0" w:type="dxa"/>
              <w:left w:w="40.0" w:type="dxa"/>
              <w:bottom w:w="0.0" w:type="dxa"/>
              <w:right w:w="40.0" w:type="dxa"/>
            </w:tcMar>
            <w:vAlign w:val="bottom"/>
          </w:tcPr>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31393.74228</w:t>
            </w:r>
          </w:p>
        </w:tc>
        <w:tc>
          <w:tcPr>
            <w:shd w:fill="auto" w:val="clear"/>
            <w:tcMar>
              <w:top w:w="0.0" w:type="dxa"/>
              <w:left w:w="40.0" w:type="dxa"/>
              <w:bottom w:w="0.0" w:type="dxa"/>
              <w:right w:w="40.0" w:type="dxa"/>
            </w:tcMar>
            <w:vAlign w:val="bottom"/>
          </w:tcPr>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ballet</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-53431.39911</w:t>
            </w:r>
          </w:p>
        </w:tc>
        <w:tc>
          <w:tcPr>
            <w:shd w:fill="auto" w:val="clear"/>
            <w:tcMar>
              <w:top w:w="0.0" w:type="dxa"/>
              <w:left w:w="40.0" w:type="dxa"/>
              <w:bottom w:w="0.0" w:type="dxa"/>
              <w:right w:w="40.0" w:type="dxa"/>
            </w:tcMar>
            <w:vAlign w:val="bottom"/>
          </w:tcPr>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-52859.73988</w:t>
            </w:r>
          </w:p>
        </w:tc>
        <w:tc>
          <w:tcPr>
            <w:shd w:fill="auto" w:val="clear"/>
            <w:tcMar>
              <w:top w:w="0.0" w:type="dxa"/>
              <w:left w:w="40.0" w:type="dxa"/>
              <w:bottom w:w="0.0" w:type="dxa"/>
              <w:right w:w="40.0" w:type="dxa"/>
            </w:tcMar>
            <w:vAlign w:val="bottom"/>
          </w:tcPr>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21</w:t>
            </w:r>
          </w:p>
        </w:tc>
        <w:tc>
          <w:tcPr>
            <w:shd w:fill="auto" w:val="clear"/>
            <w:tcMar>
              <w:top w:w="0.0" w:type="dxa"/>
              <w:left w:w="40.0" w:type="dxa"/>
              <w:bottom w:w="0.0" w:type="dxa"/>
              <w:right w:w="40.0" w:type="dxa"/>
            </w:tcMar>
            <w:vAlign w:val="bottom"/>
          </w:tcPr>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105761.4798</w:t>
            </w:r>
          </w:p>
        </w:tc>
        <w:tc>
          <w:tcPr>
            <w:shd w:fill="auto" w:val="clear"/>
            <w:tcMar>
              <w:top w:w="0.0" w:type="dxa"/>
              <w:left w:w="40.0" w:type="dxa"/>
              <w:bottom w:w="0.0" w:type="dxa"/>
              <w:right w:w="40.0" w:type="dxa"/>
            </w:tcMar>
            <w:vAlign w:val="bottom"/>
          </w:tcPr>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artmuseum</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-45277.88053</w:t>
            </w:r>
          </w:p>
        </w:tc>
        <w:tc>
          <w:tcPr>
            <w:shd w:fill="auto" w:val="clear"/>
            <w:tcMar>
              <w:top w:w="0.0" w:type="dxa"/>
              <w:left w:w="40.0" w:type="dxa"/>
              <w:bottom w:w="0.0" w:type="dxa"/>
              <w:right w:w="40.0" w:type="dxa"/>
            </w:tcMar>
            <w:vAlign w:val="bottom"/>
          </w:tcPr>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-44023.81538</w:t>
            </w:r>
          </w:p>
        </w:tc>
        <w:tc>
          <w:tcPr>
            <w:shd w:fill="auto" w:val="clear"/>
            <w:tcMar>
              <w:top w:w="0.0" w:type="dxa"/>
              <w:left w:w="40.0" w:type="dxa"/>
              <w:bottom w:w="0.0" w:type="dxa"/>
              <w:right w:w="40.0" w:type="dxa"/>
            </w:tcMar>
            <w:vAlign w:val="bottom"/>
          </w:tcPr>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20</w:t>
            </w:r>
          </w:p>
        </w:tc>
        <w:tc>
          <w:tcPr>
            <w:shd w:fill="auto" w:val="clear"/>
            <w:tcMar>
              <w:top w:w="0.0" w:type="dxa"/>
              <w:left w:w="40.0" w:type="dxa"/>
              <w:bottom w:w="0.0" w:type="dxa"/>
              <w:right w:w="40.0" w:type="dxa"/>
            </w:tcMar>
            <w:vAlign w:val="bottom"/>
          </w:tcPr>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88087.63075</w:t>
            </w:r>
          </w:p>
        </w:tc>
        <w:tc>
          <w:tcPr>
            <w:shd w:fill="auto" w:val="clear"/>
            <w:tcMar>
              <w:top w:w="0.0" w:type="dxa"/>
              <w:left w:w="40.0" w:type="dxa"/>
              <w:bottom w:w="0.0" w:type="dxa"/>
              <w:right w:w="40.0" w:type="dxa"/>
            </w:tcMar>
            <w:vAlign w:val="bottom"/>
          </w:tcPr>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craft_fair</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-44412.32366</w:t>
            </w:r>
          </w:p>
        </w:tc>
        <w:tc>
          <w:tcPr>
            <w:shd w:fill="auto" w:val="clear"/>
            <w:tcMar>
              <w:top w:w="0.0" w:type="dxa"/>
              <w:left w:w="40.0" w:type="dxa"/>
              <w:bottom w:w="0.0" w:type="dxa"/>
              <w:right w:w="40.0" w:type="dxa"/>
            </w:tcMar>
            <w:vAlign w:val="bottom"/>
          </w:tcPr>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-43545.45425</w:t>
            </w:r>
          </w:p>
        </w:tc>
        <w:tc>
          <w:tcPr>
            <w:shd w:fill="auto" w:val="clear"/>
            <w:tcMar>
              <w:top w:w="0.0" w:type="dxa"/>
              <w:left w:w="40.0" w:type="dxa"/>
              <w:bottom w:w="0.0" w:type="dxa"/>
              <w:right w:w="40.0" w:type="dxa"/>
            </w:tcMar>
            <w:vAlign w:val="bottom"/>
          </w:tcPr>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20</w:t>
            </w:r>
          </w:p>
        </w:tc>
        <w:tc>
          <w:tcPr>
            <w:shd w:fill="auto" w:val="clear"/>
            <w:tcMar>
              <w:top w:w="0.0" w:type="dxa"/>
              <w:left w:w="40.0" w:type="dxa"/>
              <w:bottom w:w="0.0" w:type="dxa"/>
              <w:right w:w="40.0" w:type="dxa"/>
            </w:tcMar>
            <w:vAlign w:val="bottom"/>
          </w:tcPr>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87130.9085</w:t>
            </w:r>
          </w:p>
        </w:tc>
        <w:tc>
          <w:tcPr>
            <w:shd w:fill="auto" w:val="clear"/>
            <w:tcMar>
              <w:top w:w="0.0" w:type="dxa"/>
              <w:left w:w="40.0" w:type="dxa"/>
              <w:bottom w:w="0.0" w:type="dxa"/>
              <w:right w:w="40.0" w:type="dxa"/>
            </w:tcMar>
            <w:vAlign w:val="bottom"/>
          </w:tcPr>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park</w:t>
            </w:r>
          </w:p>
        </w:tc>
      </w:tr>
      <w:tr>
        <w:trPr>
          <w:cantSplit w:val="0"/>
          <w:tblHeader w:val="0"/>
        </w:trPr>
        <w:tc>
          <w:tcPr>
            <w:gridSpan w:val="6"/>
            <w:shd w:fill="666666" w:val="clear"/>
            <w:tcMar>
              <w:top w:w="0.0" w:type="dxa"/>
              <w:left w:w="40.0" w:type="dxa"/>
              <w:bottom w:w="0.0" w:type="dxa"/>
              <w:right w:w="40.0" w:type="dxa"/>
            </w:tcMar>
            <w:vAlign w:val="bottom"/>
          </w:tcPr>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b w:val="1"/>
                <w:bCs w:val="1"/>
                <w:color w:val="ffffff"/>
              </w:rPr>
            </w:pPr>
            <w:r w:rsidDel="00000000" w:rsidR="00000000" w:rsidRPr="00000000">
              <w:rPr>
                <w:b w:val="1"/>
                <w:bCs w:val="1"/>
                <w:color w:val="ffffff"/>
                <w:rtl w:val="0"/>
              </w:rPr>
              <w:t xml:space="preserve">Age + Cohort Effects</w:t>
            </w:r>
          </w:p>
        </w:tc>
      </w:tr>
      <w:tr>
        <w:trPr>
          <w:cantSplit w:val="0"/>
          <w:tblHeader w:val="0"/>
        </w:trPr>
        <w:tc>
          <w:tcPr>
            <w:shd w:fill="666666" w:val="clear"/>
            <w:tcMar>
              <w:top w:w="0.0" w:type="dxa"/>
              <w:left w:w="40.0" w:type="dxa"/>
              <w:bottom w:w="0.0" w:type="dxa"/>
              <w:right w:w="40.0" w:type="dxa"/>
            </w:tcMar>
            <w:vAlign w:val="bottom"/>
          </w:tcPr>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N</w:t>
            </w:r>
          </w:p>
        </w:tc>
        <w:tc>
          <w:tcPr>
            <w:shd w:fill="666666" w:val="clear"/>
            <w:tcMar>
              <w:top w:w="0.0" w:type="dxa"/>
              <w:left w:w="40.0" w:type="dxa"/>
              <w:bottom w:w="0.0" w:type="dxa"/>
              <w:right w:w="40.0" w:type="dxa"/>
            </w:tcMar>
            <w:vAlign w:val="bottom"/>
          </w:tcPr>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LL (Null)</w:t>
            </w:r>
          </w:p>
        </w:tc>
        <w:tc>
          <w:tcPr>
            <w:shd w:fill="666666" w:val="clear"/>
            <w:tcMar>
              <w:top w:w="0.0" w:type="dxa"/>
              <w:left w:w="40.0" w:type="dxa"/>
              <w:bottom w:w="0.0" w:type="dxa"/>
              <w:right w:w="40.0" w:type="dxa"/>
            </w:tcMar>
            <w:vAlign w:val="bottom"/>
          </w:tcPr>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LL (Model)</w:t>
            </w:r>
          </w:p>
        </w:tc>
        <w:tc>
          <w:tcPr>
            <w:shd w:fill="666666" w:val="clear"/>
            <w:tcMar>
              <w:top w:w="0.0" w:type="dxa"/>
              <w:left w:w="40.0" w:type="dxa"/>
              <w:bottom w:w="0.0" w:type="dxa"/>
              <w:right w:w="40.0" w:type="dxa"/>
            </w:tcMar>
            <w:vAlign w:val="bottom"/>
          </w:tcPr>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b w:val="1"/>
                <w:bCs w:val="1"/>
                <w:color w:val="ffffff"/>
              </w:rPr>
            </w:pPr>
            <w:r w:rsidDel="00000000" w:rsidR="00000000" w:rsidRPr="00000000">
              <w:rPr>
                <w:b w:val="1"/>
                <w:bCs w:val="1"/>
                <w:color w:val="ffffff"/>
                <w:rtl w:val="0"/>
              </w:rPr>
              <w:t xml:space="preserve">DF</w:t>
            </w:r>
          </w:p>
        </w:tc>
        <w:tc>
          <w:tcPr>
            <w:shd w:fill="666666" w:val="clear"/>
            <w:tcMar>
              <w:top w:w="0.0" w:type="dxa"/>
              <w:left w:w="40.0" w:type="dxa"/>
              <w:bottom w:w="0.0" w:type="dxa"/>
              <w:right w:w="40.0" w:type="dxa"/>
            </w:tcMar>
            <w:vAlign w:val="bottom"/>
          </w:tcPr>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AIC</w:t>
            </w:r>
          </w:p>
        </w:tc>
        <w:tc>
          <w:tcPr>
            <w:shd w:fill="666666" w:val="clear"/>
            <w:tcMar>
              <w:top w:w="0.0" w:type="dxa"/>
              <w:left w:w="40.0" w:type="dxa"/>
              <w:bottom w:w="0.0" w:type="dxa"/>
              <w:right w:w="40.0" w:type="dxa"/>
            </w:tcMar>
            <w:vAlign w:val="bottom"/>
          </w:tcPr>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96953</w:t>
            </w:r>
          </w:p>
        </w:tc>
        <w:tc>
          <w:tcPr>
            <w:shd w:fill="auto" w:val="clear"/>
            <w:tcMar>
              <w:top w:w="0.0" w:type="dxa"/>
              <w:left w:w="40.0" w:type="dxa"/>
              <w:bottom w:w="0.0" w:type="dxa"/>
              <w:right w:w="40.0" w:type="dxa"/>
            </w:tcMar>
            <w:vAlign w:val="bottom"/>
          </w:tcPr>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-30195.87534</w:t>
            </w:r>
          </w:p>
        </w:tc>
        <w:tc>
          <w:tcPr>
            <w:shd w:fill="auto" w:val="clear"/>
            <w:tcMar>
              <w:top w:w="0.0" w:type="dxa"/>
              <w:left w:w="40.0" w:type="dxa"/>
              <w:bottom w:w="0.0" w:type="dxa"/>
              <w:right w:w="40.0" w:type="dxa"/>
            </w:tcMar>
            <w:vAlign w:val="bottom"/>
          </w:tcPr>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-29405.71988</w:t>
            </w:r>
          </w:p>
        </w:tc>
        <w:tc>
          <w:tcPr>
            <w:shd w:fill="auto" w:val="clear"/>
            <w:tcMar>
              <w:top w:w="0.0" w:type="dxa"/>
              <w:left w:w="40.0" w:type="dxa"/>
              <w:bottom w:w="0.0" w:type="dxa"/>
              <w:right w:w="40.0" w:type="dxa"/>
            </w:tcMar>
            <w:vAlign w:val="bottom"/>
          </w:tcPr>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34</w:t>
            </w:r>
          </w:p>
        </w:tc>
        <w:tc>
          <w:tcPr>
            <w:shd w:fill="auto" w:val="clear"/>
            <w:tcMar>
              <w:top w:w="0.0" w:type="dxa"/>
              <w:left w:w="40.0" w:type="dxa"/>
              <w:bottom w:w="0.0" w:type="dxa"/>
              <w:right w:w="40.0" w:type="dxa"/>
            </w:tcMar>
            <w:vAlign w:val="bottom"/>
          </w:tcPr>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58879.43976</w:t>
            </w:r>
          </w:p>
        </w:tc>
        <w:tc>
          <w:tcPr>
            <w:shd w:fill="auto" w:val="clear"/>
            <w:tcMar>
              <w:top w:w="0.0" w:type="dxa"/>
              <w:left w:w="40.0" w:type="dxa"/>
              <w:bottom w:w="0.0" w:type="dxa"/>
              <w:right w:w="40.0" w:type="dxa"/>
            </w:tcMar>
            <w:vAlign w:val="bottom"/>
          </w:tcPr>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jazz</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-34992.152</w:t>
            </w:r>
          </w:p>
        </w:tc>
        <w:tc>
          <w:tcPr>
            <w:shd w:fill="auto" w:val="clear"/>
            <w:tcMar>
              <w:top w:w="0.0" w:type="dxa"/>
              <w:left w:w="40.0" w:type="dxa"/>
              <w:bottom w:w="0.0" w:type="dxa"/>
              <w:right w:w="40.0" w:type="dxa"/>
            </w:tcMar>
            <w:vAlign w:val="bottom"/>
          </w:tcPr>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-34591.25336</w:t>
            </w:r>
          </w:p>
        </w:tc>
        <w:tc>
          <w:tcPr>
            <w:shd w:fill="auto" w:val="clear"/>
            <w:tcMar>
              <w:top w:w="0.0" w:type="dxa"/>
              <w:left w:w="40.0" w:type="dxa"/>
              <w:bottom w:w="0.0" w:type="dxa"/>
              <w:right w:w="40.0" w:type="dxa"/>
            </w:tcMar>
            <w:vAlign w:val="bottom"/>
          </w:tcPr>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36</w:t>
            </w:r>
          </w:p>
        </w:tc>
        <w:tc>
          <w:tcPr>
            <w:shd w:fill="auto" w:val="clear"/>
            <w:tcMar>
              <w:top w:w="0.0" w:type="dxa"/>
              <w:left w:w="40.0" w:type="dxa"/>
              <w:bottom w:w="0.0" w:type="dxa"/>
              <w:right w:w="40.0" w:type="dxa"/>
            </w:tcMar>
            <w:vAlign w:val="bottom"/>
          </w:tcPr>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69254.50672</w:t>
            </w:r>
          </w:p>
        </w:tc>
        <w:tc>
          <w:tcPr>
            <w:shd w:fill="auto" w:val="clear"/>
            <w:tcMar>
              <w:top w:w="0.0" w:type="dxa"/>
              <w:left w:w="40.0" w:type="dxa"/>
              <w:bottom w:w="0.0" w:type="dxa"/>
              <w:right w:w="40.0" w:type="dxa"/>
            </w:tcMar>
            <w:vAlign w:val="bottom"/>
          </w:tcPr>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classical</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-12322.41823</w:t>
            </w:r>
          </w:p>
        </w:tc>
        <w:tc>
          <w:tcPr>
            <w:shd w:fill="auto" w:val="clear"/>
            <w:tcMar>
              <w:top w:w="0.0" w:type="dxa"/>
              <w:left w:w="40.0" w:type="dxa"/>
              <w:bottom w:w="0.0" w:type="dxa"/>
              <w:right w:w="40.0" w:type="dxa"/>
            </w:tcMar>
            <w:vAlign w:val="bottom"/>
          </w:tcPr>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-12233.6038</w:t>
            </w:r>
          </w:p>
        </w:tc>
        <w:tc>
          <w:tcPr>
            <w:shd w:fill="auto" w:val="clear"/>
            <w:tcMar>
              <w:top w:w="0.0" w:type="dxa"/>
              <w:left w:w="40.0" w:type="dxa"/>
              <w:bottom w:w="0.0" w:type="dxa"/>
              <w:right w:w="40.0" w:type="dxa"/>
            </w:tcMar>
            <w:vAlign w:val="bottom"/>
          </w:tcPr>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35</w:t>
            </w:r>
          </w:p>
        </w:tc>
        <w:tc>
          <w:tcPr>
            <w:shd w:fill="auto" w:val="clear"/>
            <w:tcMar>
              <w:top w:w="0.0" w:type="dxa"/>
              <w:left w:w="40.0" w:type="dxa"/>
              <w:bottom w:w="0.0" w:type="dxa"/>
              <w:right w:w="40.0" w:type="dxa"/>
            </w:tcMar>
            <w:vAlign w:val="bottom"/>
          </w:tcPr>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24537.20761</w:t>
            </w:r>
          </w:p>
        </w:tc>
        <w:tc>
          <w:tcPr>
            <w:shd w:fill="auto" w:val="clear"/>
            <w:tcMar>
              <w:top w:w="0.0" w:type="dxa"/>
              <w:left w:w="40.0" w:type="dxa"/>
              <w:bottom w:w="0.0" w:type="dxa"/>
              <w:right w:w="40.0" w:type="dxa"/>
            </w:tcMar>
            <w:vAlign w:val="bottom"/>
          </w:tcPr>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opera</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-45081.47682</w:t>
            </w:r>
          </w:p>
        </w:tc>
        <w:tc>
          <w:tcPr>
            <w:shd w:fill="auto" w:val="clear"/>
            <w:tcMar>
              <w:top w:w="0.0" w:type="dxa"/>
              <w:left w:w="40.0" w:type="dxa"/>
              <w:bottom w:w="0.0" w:type="dxa"/>
              <w:right w:w="40.0" w:type="dxa"/>
            </w:tcMar>
            <w:vAlign w:val="bottom"/>
          </w:tcPr>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-44715.95893</w:t>
            </w:r>
          </w:p>
        </w:tc>
        <w:tc>
          <w:tcPr>
            <w:shd w:fill="auto" w:val="clear"/>
            <w:tcMar>
              <w:top w:w="0.0" w:type="dxa"/>
              <w:left w:w="40.0" w:type="dxa"/>
              <w:bottom w:w="0.0" w:type="dxa"/>
              <w:right w:w="40.0" w:type="dxa"/>
            </w:tcMar>
            <w:vAlign w:val="bottom"/>
          </w:tcPr>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35</w:t>
            </w:r>
          </w:p>
        </w:tc>
        <w:tc>
          <w:tcPr>
            <w:shd w:fill="auto" w:val="clear"/>
            <w:tcMar>
              <w:top w:w="0.0" w:type="dxa"/>
              <w:left w:w="40.0" w:type="dxa"/>
              <w:bottom w:w="0.0" w:type="dxa"/>
              <w:right w:w="40.0" w:type="dxa"/>
            </w:tcMar>
            <w:vAlign w:val="bottom"/>
          </w:tcPr>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89501.91786</w:t>
            </w:r>
          </w:p>
        </w:tc>
        <w:tc>
          <w:tcPr>
            <w:shd w:fill="auto" w:val="clear"/>
            <w:tcMar>
              <w:top w:w="0.0" w:type="dxa"/>
              <w:left w:w="40.0" w:type="dxa"/>
              <w:bottom w:w="0.0" w:type="dxa"/>
              <w:right w:w="40.0" w:type="dxa"/>
            </w:tcMar>
            <w:vAlign w:val="bottom"/>
          </w:tcPr>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musical</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-15817.60051</w:t>
            </w:r>
          </w:p>
        </w:tc>
        <w:tc>
          <w:tcPr>
            <w:shd w:fill="auto" w:val="clear"/>
            <w:tcMar>
              <w:top w:w="0.0" w:type="dxa"/>
              <w:left w:w="40.0" w:type="dxa"/>
              <w:bottom w:w="0.0" w:type="dxa"/>
              <w:right w:w="40.0" w:type="dxa"/>
            </w:tcMar>
            <w:vAlign w:val="bottom"/>
          </w:tcPr>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-15660.02245</w:t>
            </w:r>
          </w:p>
        </w:tc>
        <w:tc>
          <w:tcPr>
            <w:shd w:fill="auto" w:val="clear"/>
            <w:tcMar>
              <w:top w:w="0.0" w:type="dxa"/>
              <w:left w:w="40.0" w:type="dxa"/>
              <w:bottom w:w="0.0" w:type="dxa"/>
              <w:right w:w="40.0" w:type="dxa"/>
            </w:tcMar>
            <w:vAlign w:val="bottom"/>
          </w:tcPr>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34</w:t>
            </w:r>
          </w:p>
        </w:tc>
        <w:tc>
          <w:tcPr>
            <w:shd w:fill="auto" w:val="clear"/>
            <w:tcMar>
              <w:top w:w="0.0" w:type="dxa"/>
              <w:left w:w="40.0" w:type="dxa"/>
              <w:bottom w:w="0.0" w:type="dxa"/>
              <w:right w:w="40.0" w:type="dxa"/>
            </w:tcMar>
            <w:vAlign w:val="bottom"/>
          </w:tcPr>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31388.04491</w:t>
            </w:r>
          </w:p>
        </w:tc>
        <w:tc>
          <w:tcPr>
            <w:shd w:fill="auto" w:val="clear"/>
            <w:tcMar>
              <w:top w:w="0.0" w:type="dxa"/>
              <w:left w:w="40.0" w:type="dxa"/>
              <w:bottom w:w="0.0" w:type="dxa"/>
              <w:right w:w="40.0" w:type="dxa"/>
            </w:tcMar>
            <w:vAlign w:val="bottom"/>
          </w:tcPr>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ballet</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-53431.39911</w:t>
            </w:r>
          </w:p>
        </w:tc>
        <w:tc>
          <w:tcPr>
            <w:shd w:fill="auto" w:val="clear"/>
            <w:tcMar>
              <w:top w:w="0.0" w:type="dxa"/>
              <w:left w:w="40.0" w:type="dxa"/>
              <w:bottom w:w="0.0" w:type="dxa"/>
              <w:right w:w="40.0" w:type="dxa"/>
            </w:tcMar>
            <w:vAlign w:val="bottom"/>
          </w:tcPr>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-52796.43574</w:t>
            </w:r>
          </w:p>
        </w:tc>
        <w:tc>
          <w:tcPr>
            <w:shd w:fill="auto" w:val="clear"/>
            <w:tcMar>
              <w:top w:w="0.0" w:type="dxa"/>
              <w:left w:w="40.0" w:type="dxa"/>
              <w:bottom w:w="0.0" w:type="dxa"/>
              <w:right w:w="40.0" w:type="dxa"/>
            </w:tcMar>
            <w:vAlign w:val="bottom"/>
          </w:tcPr>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36</w:t>
            </w:r>
          </w:p>
        </w:tc>
        <w:tc>
          <w:tcPr>
            <w:shd w:fill="auto" w:val="clear"/>
            <w:tcMar>
              <w:top w:w="0.0" w:type="dxa"/>
              <w:left w:w="40.0" w:type="dxa"/>
              <w:bottom w:w="0.0" w:type="dxa"/>
              <w:right w:w="40.0" w:type="dxa"/>
            </w:tcMar>
            <w:vAlign w:val="bottom"/>
          </w:tcPr>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105664.8715</w:t>
            </w:r>
          </w:p>
        </w:tc>
        <w:tc>
          <w:tcPr>
            <w:shd w:fill="auto" w:val="clear"/>
            <w:tcMar>
              <w:top w:w="0.0" w:type="dxa"/>
              <w:left w:w="40.0" w:type="dxa"/>
              <w:bottom w:w="0.0" w:type="dxa"/>
              <w:right w:w="40.0" w:type="dxa"/>
            </w:tcMar>
            <w:vAlign w:val="bottom"/>
          </w:tcPr>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artmuseum</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-45277.88053</w:t>
            </w:r>
          </w:p>
        </w:tc>
        <w:tc>
          <w:tcPr>
            <w:shd w:fill="auto" w:val="clear"/>
            <w:tcMar>
              <w:top w:w="0.0" w:type="dxa"/>
              <w:left w:w="40.0" w:type="dxa"/>
              <w:bottom w:w="0.0" w:type="dxa"/>
              <w:right w:w="40.0" w:type="dxa"/>
            </w:tcMar>
            <w:vAlign w:val="bottom"/>
          </w:tcPr>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-43986.08967</w:t>
            </w:r>
          </w:p>
        </w:tc>
        <w:tc>
          <w:tcPr>
            <w:shd w:fill="auto" w:val="clear"/>
            <w:tcMar>
              <w:top w:w="0.0" w:type="dxa"/>
              <w:left w:w="40.0" w:type="dxa"/>
              <w:bottom w:w="0.0" w:type="dxa"/>
              <w:right w:w="40.0" w:type="dxa"/>
            </w:tcMar>
            <w:vAlign w:val="bottom"/>
          </w:tcPr>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35</w:t>
            </w:r>
          </w:p>
        </w:tc>
        <w:tc>
          <w:tcPr>
            <w:shd w:fill="auto" w:val="clear"/>
            <w:tcMar>
              <w:top w:w="0.0" w:type="dxa"/>
              <w:left w:w="40.0" w:type="dxa"/>
              <w:bottom w:w="0.0" w:type="dxa"/>
              <w:right w:w="40.0" w:type="dxa"/>
            </w:tcMar>
            <w:vAlign w:val="bottom"/>
          </w:tcPr>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88042.17934</w:t>
            </w:r>
          </w:p>
        </w:tc>
        <w:tc>
          <w:tcPr>
            <w:shd w:fill="auto" w:val="clear"/>
            <w:tcMar>
              <w:top w:w="0.0" w:type="dxa"/>
              <w:left w:w="40.0" w:type="dxa"/>
              <w:bottom w:w="0.0" w:type="dxa"/>
              <w:right w:w="40.0" w:type="dxa"/>
            </w:tcMar>
            <w:vAlign w:val="bottom"/>
          </w:tcPr>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craft_fair</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-44412.32366</w:t>
            </w:r>
          </w:p>
        </w:tc>
        <w:tc>
          <w:tcPr>
            <w:shd w:fill="auto" w:val="clear"/>
            <w:tcMar>
              <w:top w:w="0.0" w:type="dxa"/>
              <w:left w:w="40.0" w:type="dxa"/>
              <w:bottom w:w="0.0" w:type="dxa"/>
              <w:right w:w="40.0" w:type="dxa"/>
            </w:tcMar>
            <w:vAlign w:val="bottom"/>
          </w:tcPr>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-43474.3563</w:t>
            </w:r>
          </w:p>
        </w:tc>
        <w:tc>
          <w:tcPr>
            <w:shd w:fill="auto" w:val="clear"/>
            <w:tcMar>
              <w:top w:w="0.0" w:type="dxa"/>
              <w:left w:w="40.0" w:type="dxa"/>
              <w:bottom w:w="0.0" w:type="dxa"/>
              <w:right w:w="40.0" w:type="dxa"/>
            </w:tcMar>
            <w:vAlign w:val="bottom"/>
          </w:tcPr>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35</w:t>
            </w:r>
          </w:p>
        </w:tc>
        <w:tc>
          <w:tcPr>
            <w:shd w:fill="auto" w:val="clear"/>
            <w:tcMar>
              <w:top w:w="0.0" w:type="dxa"/>
              <w:left w:w="40.0" w:type="dxa"/>
              <w:bottom w:w="0.0" w:type="dxa"/>
              <w:right w:w="40.0" w:type="dxa"/>
            </w:tcMar>
            <w:vAlign w:val="bottom"/>
          </w:tcPr>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87018.7126</w:t>
            </w:r>
          </w:p>
        </w:tc>
        <w:tc>
          <w:tcPr>
            <w:shd w:fill="auto" w:val="clear"/>
            <w:tcMar>
              <w:top w:w="0.0" w:type="dxa"/>
              <w:left w:w="40.0" w:type="dxa"/>
              <w:bottom w:w="0.0" w:type="dxa"/>
              <w:right w:w="40.0" w:type="dxa"/>
            </w:tcMar>
            <w:vAlign w:val="bottom"/>
          </w:tcPr>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park</w:t>
            </w:r>
          </w:p>
        </w:tc>
      </w:tr>
      <w:tr>
        <w:trPr>
          <w:cantSplit w:val="0"/>
          <w:tblHeader w:val="0"/>
        </w:trPr>
        <w:tc>
          <w:tcPr>
            <w:gridSpan w:val="6"/>
            <w:shd w:fill="666666" w:val="clear"/>
            <w:tcMar>
              <w:top w:w="0.0" w:type="dxa"/>
              <w:left w:w="40.0" w:type="dxa"/>
              <w:bottom w:w="0.0" w:type="dxa"/>
              <w:right w:w="40.0" w:type="dxa"/>
            </w:tcMar>
            <w:vAlign w:val="bottom"/>
          </w:tcPr>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b w:val="1"/>
                <w:bCs w:val="1"/>
                <w:color w:val="ffffff"/>
              </w:rPr>
            </w:pPr>
            <w:r w:rsidDel="00000000" w:rsidR="00000000" w:rsidRPr="00000000">
              <w:rPr>
                <w:b w:val="1"/>
                <w:bCs w:val="1"/>
                <w:color w:val="ffffff"/>
                <w:rtl w:val="0"/>
              </w:rPr>
              <w:t xml:space="preserve">Age + Period + Cohort Effects</w:t>
            </w:r>
          </w:p>
        </w:tc>
      </w:tr>
      <w:tr>
        <w:trPr>
          <w:cantSplit w:val="0"/>
          <w:trHeight w:val="120" w:hRule="atLeast"/>
          <w:tblHeader w:val="0"/>
        </w:trPr>
        <w:tc>
          <w:tcPr>
            <w:shd w:fill="666666" w:val="clear"/>
            <w:tcMar>
              <w:top w:w="0.0" w:type="dxa"/>
              <w:left w:w="40.0" w:type="dxa"/>
              <w:bottom w:w="0.0" w:type="dxa"/>
              <w:right w:w="40.0" w:type="dxa"/>
            </w:tcMar>
            <w:vAlign w:val="bottom"/>
          </w:tcPr>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N</w:t>
            </w:r>
          </w:p>
        </w:tc>
        <w:tc>
          <w:tcPr>
            <w:shd w:fill="666666" w:val="clear"/>
            <w:tcMar>
              <w:top w:w="0.0" w:type="dxa"/>
              <w:left w:w="40.0" w:type="dxa"/>
              <w:bottom w:w="0.0" w:type="dxa"/>
              <w:right w:w="40.0" w:type="dxa"/>
            </w:tcMar>
            <w:vAlign w:val="bottom"/>
          </w:tcPr>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LL (Null)</w:t>
            </w:r>
          </w:p>
        </w:tc>
        <w:tc>
          <w:tcPr>
            <w:shd w:fill="666666" w:val="clear"/>
            <w:tcMar>
              <w:top w:w="0.0" w:type="dxa"/>
              <w:left w:w="40.0" w:type="dxa"/>
              <w:bottom w:w="0.0" w:type="dxa"/>
              <w:right w:w="40.0" w:type="dxa"/>
            </w:tcMar>
            <w:vAlign w:val="bottom"/>
          </w:tcPr>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LL (Model)</w:t>
            </w:r>
          </w:p>
        </w:tc>
        <w:tc>
          <w:tcPr>
            <w:shd w:fill="666666" w:val="clear"/>
            <w:tcMar>
              <w:top w:w="0.0" w:type="dxa"/>
              <w:left w:w="40.0" w:type="dxa"/>
              <w:bottom w:w="0.0" w:type="dxa"/>
              <w:right w:w="40.0" w:type="dxa"/>
            </w:tcMar>
            <w:vAlign w:val="bottom"/>
          </w:tcPr>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b w:val="1"/>
                <w:bCs w:val="1"/>
                <w:color w:val="ffffff"/>
              </w:rPr>
            </w:pPr>
            <w:r w:rsidDel="00000000" w:rsidR="00000000" w:rsidRPr="00000000">
              <w:rPr>
                <w:b w:val="1"/>
                <w:bCs w:val="1"/>
                <w:color w:val="ffffff"/>
                <w:rtl w:val="0"/>
              </w:rPr>
              <w:t xml:space="preserve">DF</w:t>
            </w:r>
          </w:p>
        </w:tc>
        <w:tc>
          <w:tcPr>
            <w:shd w:fill="666666" w:val="clear"/>
            <w:tcMar>
              <w:top w:w="0.0" w:type="dxa"/>
              <w:left w:w="40.0" w:type="dxa"/>
              <w:bottom w:w="0.0" w:type="dxa"/>
              <w:right w:w="40.0" w:type="dxa"/>
            </w:tcMar>
            <w:vAlign w:val="bottom"/>
          </w:tcPr>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b w:val="1"/>
                <w:bCs w:val="1"/>
                <w:color w:val="ffffff"/>
                <w:rtl w:val="0"/>
              </w:rPr>
              <w:t xml:space="preserve">AIC</w:t>
            </w:r>
          </w:p>
        </w:tc>
        <w:tc>
          <w:tcPr>
            <w:shd w:fill="666666" w:val="clear"/>
            <w:tcMar>
              <w:top w:w="0.0" w:type="dxa"/>
              <w:left w:w="40.0" w:type="dxa"/>
              <w:bottom w:w="0.0" w:type="dxa"/>
              <w:right w:w="40.0" w:type="dxa"/>
            </w:tcMar>
            <w:vAlign w:val="bottom"/>
          </w:tcPr>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before="0" w:line="240" w:lineRule="auto"/>
              <w:ind w:firstLine="0"/>
              <w:rPr>
                <w:b w:val="1"/>
                <w:bCs w:val="1"/>
                <w:color w:val="ffffff"/>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96953</w:t>
            </w:r>
          </w:p>
        </w:tc>
        <w:tc>
          <w:tcPr>
            <w:shd w:fill="auto" w:val="clear"/>
            <w:tcMar>
              <w:top w:w="0.0" w:type="dxa"/>
              <w:left w:w="40.0" w:type="dxa"/>
              <w:bottom w:w="0.0" w:type="dxa"/>
              <w:right w:w="40.0" w:type="dxa"/>
            </w:tcMar>
            <w:vAlign w:val="bottom"/>
          </w:tcPr>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-30195.87534</w:t>
            </w:r>
          </w:p>
        </w:tc>
        <w:tc>
          <w:tcPr>
            <w:shd w:fill="auto" w:val="clear"/>
            <w:tcMar>
              <w:top w:w="0.0" w:type="dxa"/>
              <w:left w:w="40.0" w:type="dxa"/>
              <w:bottom w:w="0.0" w:type="dxa"/>
              <w:right w:w="40.0" w:type="dxa"/>
            </w:tcMar>
            <w:vAlign w:val="bottom"/>
          </w:tcPr>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-29384.71125</w:t>
            </w:r>
          </w:p>
        </w:tc>
        <w:tc>
          <w:tcPr>
            <w:shd w:fill="auto" w:val="clear"/>
            <w:tcMar>
              <w:top w:w="0.0" w:type="dxa"/>
              <w:left w:w="40.0" w:type="dxa"/>
              <w:bottom w:w="0.0" w:type="dxa"/>
              <w:right w:w="40.0" w:type="dxa"/>
            </w:tcMar>
            <w:vAlign w:val="bottom"/>
          </w:tcPr>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39</w:t>
            </w:r>
          </w:p>
        </w:tc>
        <w:tc>
          <w:tcPr>
            <w:shd w:fill="auto" w:val="clear"/>
            <w:tcMar>
              <w:top w:w="0.0" w:type="dxa"/>
              <w:left w:w="40.0" w:type="dxa"/>
              <w:bottom w:w="0.0" w:type="dxa"/>
              <w:right w:w="40.0" w:type="dxa"/>
            </w:tcMar>
            <w:vAlign w:val="bottom"/>
          </w:tcPr>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58847.4225</w:t>
            </w:r>
          </w:p>
        </w:tc>
        <w:tc>
          <w:tcPr>
            <w:shd w:fill="auto" w:val="clear"/>
            <w:tcMar>
              <w:top w:w="0.0" w:type="dxa"/>
              <w:left w:w="40.0" w:type="dxa"/>
              <w:bottom w:w="0.0" w:type="dxa"/>
              <w:right w:w="40.0" w:type="dxa"/>
            </w:tcMar>
            <w:vAlign w:val="bottom"/>
          </w:tcPr>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jazz</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-34992.152</w:t>
            </w:r>
          </w:p>
        </w:tc>
        <w:tc>
          <w:tcPr>
            <w:shd w:fill="auto" w:val="clear"/>
            <w:tcMar>
              <w:top w:w="0.0" w:type="dxa"/>
              <w:left w:w="40.0" w:type="dxa"/>
              <w:bottom w:w="0.0" w:type="dxa"/>
              <w:right w:w="40.0" w:type="dxa"/>
            </w:tcMar>
            <w:vAlign w:val="bottom"/>
          </w:tcPr>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-34584.94417</w:t>
            </w:r>
          </w:p>
        </w:tc>
        <w:tc>
          <w:tcPr>
            <w:shd w:fill="auto" w:val="clear"/>
            <w:tcMar>
              <w:top w:w="0.0" w:type="dxa"/>
              <w:left w:w="40.0" w:type="dxa"/>
              <w:bottom w:w="0.0" w:type="dxa"/>
              <w:right w:w="40.0" w:type="dxa"/>
            </w:tcMar>
            <w:vAlign w:val="bottom"/>
          </w:tcPr>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41</w:t>
            </w:r>
          </w:p>
        </w:tc>
        <w:tc>
          <w:tcPr>
            <w:shd w:fill="auto" w:val="clear"/>
            <w:tcMar>
              <w:top w:w="0.0" w:type="dxa"/>
              <w:left w:w="40.0" w:type="dxa"/>
              <w:bottom w:w="0.0" w:type="dxa"/>
              <w:right w:w="40.0" w:type="dxa"/>
            </w:tcMar>
            <w:vAlign w:val="bottom"/>
          </w:tcPr>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69251.88835</w:t>
            </w:r>
          </w:p>
        </w:tc>
        <w:tc>
          <w:tcPr>
            <w:shd w:fill="auto" w:val="clear"/>
            <w:tcMar>
              <w:top w:w="0.0" w:type="dxa"/>
              <w:left w:w="40.0" w:type="dxa"/>
              <w:bottom w:w="0.0" w:type="dxa"/>
              <w:right w:w="40.0" w:type="dxa"/>
            </w:tcMar>
            <w:vAlign w:val="bottom"/>
          </w:tcPr>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classical</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-12322.41823</w:t>
            </w:r>
          </w:p>
        </w:tc>
        <w:tc>
          <w:tcPr>
            <w:shd w:fill="auto" w:val="clear"/>
            <w:tcMar>
              <w:top w:w="0.0" w:type="dxa"/>
              <w:left w:w="40.0" w:type="dxa"/>
              <w:bottom w:w="0.0" w:type="dxa"/>
              <w:right w:w="40.0" w:type="dxa"/>
            </w:tcMar>
            <w:vAlign w:val="bottom"/>
          </w:tcPr>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-12220.70051</w:t>
            </w:r>
          </w:p>
        </w:tc>
        <w:tc>
          <w:tcPr>
            <w:shd w:fill="auto" w:val="clear"/>
            <w:tcMar>
              <w:top w:w="0.0" w:type="dxa"/>
              <w:left w:w="40.0" w:type="dxa"/>
              <w:bottom w:w="0.0" w:type="dxa"/>
              <w:right w:w="40.0" w:type="dxa"/>
            </w:tcMar>
            <w:vAlign w:val="bottom"/>
          </w:tcPr>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40</w:t>
            </w:r>
          </w:p>
        </w:tc>
        <w:tc>
          <w:tcPr>
            <w:shd w:fill="auto" w:val="clear"/>
            <w:tcMar>
              <w:top w:w="0.0" w:type="dxa"/>
              <w:left w:w="40.0" w:type="dxa"/>
              <w:bottom w:w="0.0" w:type="dxa"/>
              <w:right w:w="40.0" w:type="dxa"/>
            </w:tcMar>
            <w:vAlign w:val="bottom"/>
          </w:tcPr>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24521.40102</w:t>
            </w:r>
          </w:p>
        </w:tc>
        <w:tc>
          <w:tcPr>
            <w:shd w:fill="auto" w:val="clear"/>
            <w:tcMar>
              <w:top w:w="0.0" w:type="dxa"/>
              <w:left w:w="40.0" w:type="dxa"/>
              <w:bottom w:w="0.0" w:type="dxa"/>
              <w:right w:w="40.0" w:type="dxa"/>
            </w:tcMar>
            <w:vAlign w:val="bottom"/>
          </w:tcPr>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opera</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-45081.47682</w:t>
            </w:r>
          </w:p>
        </w:tc>
        <w:tc>
          <w:tcPr>
            <w:shd w:fill="auto" w:val="clear"/>
            <w:tcMar>
              <w:top w:w="0.0" w:type="dxa"/>
              <w:left w:w="40.0" w:type="dxa"/>
              <w:bottom w:w="0.0" w:type="dxa"/>
              <w:right w:w="40.0" w:type="dxa"/>
            </w:tcMar>
            <w:vAlign w:val="bottom"/>
          </w:tcPr>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-44706.62301</w:t>
            </w:r>
          </w:p>
        </w:tc>
        <w:tc>
          <w:tcPr>
            <w:shd w:fill="auto" w:val="clear"/>
            <w:tcMar>
              <w:top w:w="0.0" w:type="dxa"/>
              <w:left w:w="40.0" w:type="dxa"/>
              <w:bottom w:w="0.0" w:type="dxa"/>
              <w:right w:w="40.0" w:type="dxa"/>
            </w:tcMar>
            <w:vAlign w:val="bottom"/>
          </w:tcPr>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40</w:t>
            </w:r>
          </w:p>
        </w:tc>
        <w:tc>
          <w:tcPr>
            <w:shd w:fill="auto" w:val="clear"/>
            <w:tcMar>
              <w:top w:w="0.0" w:type="dxa"/>
              <w:left w:w="40.0" w:type="dxa"/>
              <w:bottom w:w="0.0" w:type="dxa"/>
              <w:right w:w="40.0" w:type="dxa"/>
            </w:tcMar>
            <w:vAlign w:val="bottom"/>
          </w:tcPr>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89493.24602</w:t>
            </w:r>
          </w:p>
        </w:tc>
        <w:tc>
          <w:tcPr>
            <w:shd w:fill="auto" w:val="clear"/>
            <w:tcMar>
              <w:top w:w="0.0" w:type="dxa"/>
              <w:left w:w="40.0" w:type="dxa"/>
              <w:bottom w:w="0.0" w:type="dxa"/>
              <w:right w:w="40.0" w:type="dxa"/>
            </w:tcMar>
            <w:vAlign w:val="bottom"/>
          </w:tcPr>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musical</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-15817.60051</w:t>
            </w:r>
          </w:p>
        </w:tc>
        <w:tc>
          <w:tcPr>
            <w:shd w:fill="auto" w:val="clear"/>
            <w:tcMar>
              <w:top w:w="0.0" w:type="dxa"/>
              <w:left w:w="40.0" w:type="dxa"/>
              <w:bottom w:w="0.0" w:type="dxa"/>
              <w:right w:w="40.0" w:type="dxa"/>
            </w:tcMar>
            <w:vAlign w:val="bottom"/>
          </w:tcPr>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-15651.84851</w:t>
            </w:r>
          </w:p>
        </w:tc>
        <w:tc>
          <w:tcPr>
            <w:shd w:fill="auto" w:val="clear"/>
            <w:tcMar>
              <w:top w:w="0.0" w:type="dxa"/>
              <w:left w:w="40.0" w:type="dxa"/>
              <w:bottom w:w="0.0" w:type="dxa"/>
              <w:right w:w="40.0" w:type="dxa"/>
            </w:tcMar>
            <w:vAlign w:val="bottom"/>
          </w:tcPr>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39</w:t>
            </w:r>
          </w:p>
        </w:tc>
        <w:tc>
          <w:tcPr>
            <w:shd w:fill="auto" w:val="clear"/>
            <w:tcMar>
              <w:top w:w="0.0" w:type="dxa"/>
              <w:left w:w="40.0" w:type="dxa"/>
              <w:bottom w:w="0.0" w:type="dxa"/>
              <w:right w:w="40.0" w:type="dxa"/>
            </w:tcMar>
            <w:vAlign w:val="bottom"/>
          </w:tcPr>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31381.69703</w:t>
            </w:r>
          </w:p>
        </w:tc>
        <w:tc>
          <w:tcPr>
            <w:shd w:fill="auto" w:val="clear"/>
            <w:tcMar>
              <w:top w:w="0.0" w:type="dxa"/>
              <w:left w:w="40.0" w:type="dxa"/>
              <w:bottom w:w="0.0" w:type="dxa"/>
              <w:right w:w="40.0" w:type="dxa"/>
            </w:tcMar>
            <w:vAlign w:val="bottom"/>
          </w:tcPr>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ballet</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-53431.39911</w:t>
            </w:r>
          </w:p>
        </w:tc>
        <w:tc>
          <w:tcPr>
            <w:shd w:fill="auto" w:val="clear"/>
            <w:tcMar>
              <w:top w:w="0.0" w:type="dxa"/>
              <w:left w:w="40.0" w:type="dxa"/>
              <w:bottom w:w="0.0" w:type="dxa"/>
              <w:right w:w="40.0" w:type="dxa"/>
            </w:tcMar>
            <w:vAlign w:val="bottom"/>
          </w:tcPr>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-52731.46822</w:t>
            </w:r>
          </w:p>
        </w:tc>
        <w:tc>
          <w:tcPr>
            <w:shd w:fill="auto" w:val="clear"/>
            <w:tcMar>
              <w:top w:w="0.0" w:type="dxa"/>
              <w:left w:w="40.0" w:type="dxa"/>
              <w:bottom w:w="0.0" w:type="dxa"/>
              <w:right w:w="40.0" w:type="dxa"/>
            </w:tcMar>
            <w:vAlign w:val="bottom"/>
          </w:tcPr>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41</w:t>
            </w:r>
          </w:p>
        </w:tc>
        <w:tc>
          <w:tcPr>
            <w:shd w:fill="auto" w:val="clear"/>
            <w:tcMar>
              <w:top w:w="0.0" w:type="dxa"/>
              <w:left w:w="40.0" w:type="dxa"/>
              <w:bottom w:w="0.0" w:type="dxa"/>
              <w:right w:w="40.0" w:type="dxa"/>
            </w:tcMar>
            <w:vAlign w:val="bottom"/>
          </w:tcPr>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105544.9364</w:t>
            </w:r>
          </w:p>
        </w:tc>
        <w:tc>
          <w:tcPr>
            <w:shd w:fill="auto" w:val="clear"/>
            <w:tcMar>
              <w:top w:w="0.0" w:type="dxa"/>
              <w:left w:w="40.0" w:type="dxa"/>
              <w:bottom w:w="0.0" w:type="dxa"/>
              <w:right w:w="40.0" w:type="dxa"/>
            </w:tcMar>
            <w:vAlign w:val="bottom"/>
          </w:tcPr>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artmuseum</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-45277.88053</w:t>
            </w:r>
          </w:p>
        </w:tc>
        <w:tc>
          <w:tcPr>
            <w:shd w:fill="auto" w:val="clear"/>
            <w:tcMar>
              <w:top w:w="0.0" w:type="dxa"/>
              <w:left w:w="40.0" w:type="dxa"/>
              <w:bottom w:w="0.0" w:type="dxa"/>
              <w:right w:w="40.0" w:type="dxa"/>
            </w:tcMar>
            <w:vAlign w:val="bottom"/>
          </w:tcPr>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-43893.02404</w:t>
            </w:r>
          </w:p>
        </w:tc>
        <w:tc>
          <w:tcPr>
            <w:shd w:fill="auto" w:val="clear"/>
            <w:tcMar>
              <w:top w:w="0.0" w:type="dxa"/>
              <w:left w:w="40.0" w:type="dxa"/>
              <w:bottom w:w="0.0" w:type="dxa"/>
              <w:right w:w="40.0" w:type="dxa"/>
            </w:tcMar>
            <w:vAlign w:val="bottom"/>
          </w:tcPr>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40</w:t>
            </w:r>
          </w:p>
        </w:tc>
        <w:tc>
          <w:tcPr>
            <w:shd w:fill="auto" w:val="clear"/>
            <w:tcMar>
              <w:top w:w="0.0" w:type="dxa"/>
              <w:left w:w="40.0" w:type="dxa"/>
              <w:bottom w:w="0.0" w:type="dxa"/>
              <w:right w:w="40.0" w:type="dxa"/>
            </w:tcMar>
            <w:vAlign w:val="bottom"/>
          </w:tcPr>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87866.04808</w:t>
            </w:r>
          </w:p>
        </w:tc>
        <w:tc>
          <w:tcPr>
            <w:shd w:fill="auto" w:val="clear"/>
            <w:tcMar>
              <w:top w:w="0.0" w:type="dxa"/>
              <w:left w:w="40.0" w:type="dxa"/>
              <w:bottom w:w="0.0" w:type="dxa"/>
              <w:right w:w="40.0" w:type="dxa"/>
            </w:tcMar>
            <w:vAlign w:val="bottom"/>
          </w:tcPr>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craft_fair</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-44412.32366</w:t>
            </w:r>
          </w:p>
        </w:tc>
        <w:tc>
          <w:tcPr>
            <w:shd w:fill="auto" w:val="clear"/>
            <w:tcMar>
              <w:top w:w="0.0" w:type="dxa"/>
              <w:left w:w="40.0" w:type="dxa"/>
              <w:bottom w:w="0.0" w:type="dxa"/>
              <w:right w:w="40.0" w:type="dxa"/>
            </w:tcMar>
            <w:vAlign w:val="bottom"/>
          </w:tcPr>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-43458.21707</w:t>
            </w:r>
          </w:p>
        </w:tc>
        <w:tc>
          <w:tcPr>
            <w:shd w:fill="auto" w:val="clear"/>
            <w:tcMar>
              <w:top w:w="0.0" w:type="dxa"/>
              <w:left w:w="40.0" w:type="dxa"/>
              <w:bottom w:w="0.0" w:type="dxa"/>
              <w:right w:w="40.0" w:type="dxa"/>
            </w:tcMar>
            <w:vAlign w:val="bottom"/>
          </w:tcPr>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pPr>
            <w:r w:rsidDel="00000000" w:rsidR="00000000" w:rsidRPr="00000000">
              <w:rPr>
                <w:rtl w:val="0"/>
              </w:rPr>
              <w:t xml:space="preserve">40</w:t>
            </w:r>
          </w:p>
        </w:tc>
        <w:tc>
          <w:tcPr>
            <w:shd w:fill="auto" w:val="clear"/>
            <w:tcMar>
              <w:top w:w="0.0" w:type="dxa"/>
              <w:left w:w="40.0" w:type="dxa"/>
              <w:bottom w:w="0.0" w:type="dxa"/>
              <w:right w:w="40.0" w:type="dxa"/>
            </w:tcMar>
            <w:vAlign w:val="bottom"/>
          </w:tcPr>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86996.43413</w:t>
            </w:r>
          </w:p>
        </w:tc>
        <w:tc>
          <w:tcPr>
            <w:shd w:fill="auto" w:val="clear"/>
            <w:tcMar>
              <w:top w:w="0.0" w:type="dxa"/>
              <w:left w:w="40.0" w:type="dxa"/>
              <w:bottom w:w="0.0" w:type="dxa"/>
              <w:right w:w="40.0" w:type="dxa"/>
            </w:tcMar>
            <w:vAlign w:val="bottom"/>
          </w:tcPr>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park</w:t>
            </w:r>
          </w:p>
        </w:tc>
      </w:tr>
    </w:tbl>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285">
      <w:pPr>
        <w:pStyle w:val="Heading4"/>
        <w:pageBreakBefore w:val="0"/>
        <w:pBdr>
          <w:top w:space="0" w:sz="0" w:val="nil"/>
          <w:left w:space="0" w:sz="0" w:val="nil"/>
          <w:bottom w:space="0" w:sz="0" w:val="nil"/>
          <w:right w:space="0" w:sz="0" w:val="nil"/>
          <w:between w:space="0" w:sz="0" w:val="nil"/>
        </w:pBdr>
        <w:shd w:fill="auto" w:val="clear"/>
        <w:spacing w:before="0" w:line="360" w:lineRule="auto"/>
        <w:rPr>
          <w:b w:val="1"/>
          <w:bCs w:val="1"/>
          <w:sz w:val="26"/>
          <w:szCs w:val="26"/>
        </w:rPr>
      </w:pPr>
      <w:bookmarkStart w:colFirst="0" w:colLast="0" w:name="_obr4e36wtx6d" w:id="118"/>
      <w:bookmarkEnd w:id="118"/>
      <w:r w:rsidDel="00000000" w:rsidR="00000000" w:rsidRPr="00000000">
        <w:rPr>
          <w:rtl w:val="0"/>
        </w:rPr>
      </w:r>
    </w:p>
    <w:p w:rsidR="00000000" w:rsidDel="00000000" w:rsidP="00000000" w:rsidRDefault="00000000" w:rsidRPr="00000000" w14:paraId="00000286">
      <w:pPr>
        <w:pStyle w:val="Heading4"/>
        <w:pageBreakBefore w:val="0"/>
        <w:pBdr>
          <w:top w:space="0" w:sz="0" w:val="nil"/>
          <w:left w:space="0" w:sz="0" w:val="nil"/>
          <w:bottom w:space="0" w:sz="0" w:val="nil"/>
          <w:right w:space="0" w:sz="0" w:val="nil"/>
          <w:between w:space="0" w:sz="0" w:val="nil"/>
        </w:pBdr>
        <w:shd w:fill="auto" w:val="clear"/>
        <w:spacing w:before="0" w:line="360" w:lineRule="auto"/>
        <w:rPr>
          <w:b w:val="1"/>
          <w:bCs w:val="1"/>
          <w:sz w:val="26"/>
          <w:szCs w:val="26"/>
        </w:rPr>
      </w:pPr>
      <w:bookmarkStart w:colFirst="0" w:colLast="0" w:name="_lg9xxeo4zg9d" w:id="119"/>
      <w:bookmarkEnd w:id="119"/>
      <w:r w:rsidDel="00000000" w:rsidR="00000000" w:rsidRPr="00000000">
        <w:rPr>
          <w:rtl w:val="0"/>
        </w:rPr>
      </w:r>
    </w:p>
    <w:p w:rsidR="00000000" w:rsidDel="00000000" w:rsidP="00000000" w:rsidRDefault="00000000" w:rsidRPr="00000000" w14:paraId="00000287">
      <w:pPr>
        <w:pStyle w:val="Heading4"/>
        <w:pageBreakBefore w:val="0"/>
        <w:pBdr>
          <w:top w:space="0" w:sz="0" w:val="nil"/>
          <w:left w:space="0" w:sz="0" w:val="nil"/>
          <w:bottom w:space="0" w:sz="0" w:val="nil"/>
          <w:right w:space="0" w:sz="0" w:val="nil"/>
          <w:between w:space="0" w:sz="0" w:val="nil"/>
        </w:pBdr>
        <w:shd w:fill="auto" w:val="clear"/>
        <w:spacing w:before="0" w:line="360" w:lineRule="auto"/>
        <w:rPr>
          <w:b w:val="1"/>
          <w:bCs w:val="1"/>
          <w:sz w:val="26"/>
          <w:szCs w:val="26"/>
        </w:rPr>
      </w:pPr>
      <w:bookmarkStart w:colFirst="0" w:colLast="0" w:name="_8wofswsotn0p" w:id="120"/>
      <w:bookmarkEnd w:id="120"/>
      <w:r w:rsidDel="00000000" w:rsidR="00000000" w:rsidRPr="00000000">
        <w:br w:type="page"/>
      </w:r>
      <w:r w:rsidDel="00000000" w:rsidR="00000000" w:rsidRPr="00000000">
        <w:rPr>
          <w:rtl w:val="0"/>
        </w:rPr>
      </w:r>
    </w:p>
    <w:p w:rsidR="00000000" w:rsidDel="00000000" w:rsidP="00000000" w:rsidRDefault="00000000" w:rsidRPr="00000000" w14:paraId="00000288">
      <w:pPr>
        <w:pStyle w:val="Heading4"/>
        <w:pageBreakBefore w:val="0"/>
        <w:pBdr>
          <w:top w:space="0" w:sz="0" w:val="nil"/>
          <w:left w:space="0" w:sz="0" w:val="nil"/>
          <w:bottom w:space="0" w:sz="0" w:val="nil"/>
          <w:right w:space="0" w:sz="0" w:val="nil"/>
          <w:between w:space="0" w:sz="0" w:val="nil"/>
        </w:pBdr>
        <w:shd w:fill="auto" w:val="clear"/>
        <w:spacing w:before="0" w:line="360" w:lineRule="auto"/>
        <w:rPr>
          <w:sz w:val="20"/>
          <w:szCs w:val="20"/>
        </w:rPr>
      </w:pPr>
      <w:bookmarkStart w:colFirst="0" w:colLast="0" w:name="_tyf5h6cwgcgm" w:id="121"/>
      <w:bookmarkEnd w:id="121"/>
      <w:r w:rsidDel="00000000" w:rsidR="00000000" w:rsidRPr="00000000">
        <w:rPr>
          <w:rtl w:val="0"/>
        </w:rPr>
      </w:r>
    </w:p>
    <w:p w:rsidR="00000000" w:rsidDel="00000000" w:rsidP="00000000" w:rsidRDefault="00000000" w:rsidRPr="00000000" w14:paraId="00000289">
      <w:pPr>
        <w:pStyle w:val="Heading4"/>
        <w:pageBreakBefore w:val="0"/>
        <w:pBdr>
          <w:top w:space="0" w:sz="0" w:val="nil"/>
          <w:left w:space="0" w:sz="0" w:val="nil"/>
          <w:bottom w:space="0" w:sz="0" w:val="nil"/>
          <w:right w:space="0" w:sz="0" w:val="nil"/>
          <w:between w:space="0" w:sz="0" w:val="nil"/>
        </w:pBdr>
        <w:shd w:fill="auto" w:val="clear"/>
        <w:spacing w:before="0" w:line="360" w:lineRule="auto"/>
        <w:rPr>
          <w:sz w:val="20"/>
          <w:szCs w:val="20"/>
        </w:rPr>
      </w:pPr>
      <w:bookmarkStart w:colFirst="0" w:colLast="0" w:name="_lfrxz8eoaije" w:id="122"/>
      <w:bookmarkEnd w:id="122"/>
      <w:r w:rsidDel="00000000" w:rsidR="00000000" w:rsidRPr="00000000">
        <w:rPr>
          <w:rtl w:val="0"/>
        </w:rPr>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Pr>
        <w:drawing>
          <wp:inline distB="114300" distT="114300" distL="114300" distR="114300">
            <wp:extent cx="5486400" cy="3378200"/>
            <wp:effectExtent b="0" l="0" r="0" t="0"/>
            <wp:docPr descr="desc-plot1.png" id="3" name="image1.png"/>
            <a:graphic>
              <a:graphicData uri="http://schemas.openxmlformats.org/drawingml/2006/picture">
                <pic:pic>
                  <pic:nvPicPr>
                    <pic:cNvPr descr="desc-plot1.png" id="0" name="image1.png"/>
                    <pic:cNvPicPr preferRelativeResize="0"/>
                  </pic:nvPicPr>
                  <pic:blipFill>
                    <a:blip r:embed="rId14"/>
                    <a:srcRect b="0" l="0" r="0" t="0"/>
                    <a:stretch>
                      <a:fillRect/>
                    </a:stretch>
                  </pic:blipFill>
                  <pic:spPr>
                    <a:xfrm>
                      <a:off x="0" y="0"/>
                      <a:ext cx="5486400" cy="3378200"/>
                    </a:xfrm>
                    <a:prstGeom prst="rect"/>
                    <a:ln/>
                  </pic:spPr>
                </pic:pic>
              </a:graphicData>
            </a:graphic>
          </wp:inline>
        </w:drawing>
      </w:r>
      <w:r w:rsidDel="00000000" w:rsidR="00000000" w:rsidRPr="00000000">
        <w:rPr>
          <w:b w:val="1"/>
          <w:bCs w:val="1"/>
          <w:rtl w:val="0"/>
        </w:rPr>
        <w:t xml:space="preserve">Figure 1. Descriptive Age, Period, and Cohort trends for all eight “core” SPPA arts participation activities (standardized to the same scale for comparability). </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Pr>
        <w:drawing>
          <wp:inline distB="114300" distT="114300" distL="114300" distR="114300">
            <wp:extent cx="5486400" cy="3378200"/>
            <wp:effectExtent b="0" l="0" r="0" t="0"/>
            <wp:docPr descr="desc-plot2.png" id="4" name="image3.png"/>
            <a:graphic>
              <a:graphicData uri="http://schemas.openxmlformats.org/drawingml/2006/picture">
                <pic:pic>
                  <pic:nvPicPr>
                    <pic:cNvPr descr="desc-plot2.png" id="0" name="image3.png"/>
                    <pic:cNvPicPr preferRelativeResize="0"/>
                  </pic:nvPicPr>
                  <pic:blipFill>
                    <a:blip r:embed="rId15"/>
                    <a:srcRect b="0" l="0" r="0" t="0"/>
                    <a:stretch>
                      <a:fillRect/>
                    </a:stretch>
                  </pic:blipFill>
                  <pic:spPr>
                    <a:xfrm>
                      <a:off x="0" y="0"/>
                      <a:ext cx="54864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tl w:val="0"/>
        </w:rPr>
        <w:t xml:space="preserve">Figure 2. Cohort trends in arts participation in three periods, cumulative SPPA data.</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486400" cy="5486400"/>
            <wp:effectExtent b="0" l="0" r="0" t="0"/>
            <wp:docPr descr="exposure-by-cohort.png" id="1" name="image2.png"/>
            <a:graphic>
              <a:graphicData uri="http://schemas.openxmlformats.org/drawingml/2006/picture">
                <pic:pic>
                  <pic:nvPicPr>
                    <pic:cNvPr descr="exposure-by-cohort.png" id="0" name="image2.png"/>
                    <pic:cNvPicPr preferRelativeResize="0"/>
                  </pic:nvPicPr>
                  <pic:blipFill>
                    <a:blip r:embed="rId16"/>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Figure 6. Predicted probability of exposure to the arts while growing up for members of different cohorts. Estimate are obtained from ordered logit models predicting having been exposed to the arts “often,” “sometimes,” “hardly ever,” or “never.” Plots show the additive probabilities of the first two responses adjusted for respondent's race, education, gender, and region of residence. Cohort effects are specified using both a linear and a quadratic term.  Panels ordered (from top left to bottom right) according to overall popularity of activity. </w:t>
      </w:r>
      <w:r w:rsidDel="00000000" w:rsidR="00000000" w:rsidRPr="00000000">
        <w:rPr>
          <w:rtl w:val="0"/>
        </w:rPr>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line="240" w:lineRule="auto"/>
        <w:rPr>
          <w:color w:val="632423"/>
          <w:sz w:val="44"/>
          <w:szCs w:val="44"/>
        </w:rPr>
      </w:pPr>
      <w:r w:rsidDel="00000000" w:rsidR="00000000" w:rsidRPr="00000000">
        <w:rPr>
          <w:rtl w:val="0"/>
        </w:rPr>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spacing w:line="240" w:lineRule="auto"/>
        <w:jc w:val="both"/>
        <w:rPr>
          <w:color w:val="632423"/>
          <w:sz w:val="44"/>
          <w:szCs w:val="44"/>
        </w:rPr>
      </w:pPr>
      <w:r w:rsidDel="00000000" w:rsidR="00000000" w:rsidRPr="00000000">
        <w:rPr>
          <w:rtl w:val="0"/>
        </w:rPr>
      </w:r>
    </w:p>
    <w:sectPr>
      <w:footerReference r:id="rId1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La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299">
      <w:pPr>
        <w:pStyle w:val="Heading4"/>
        <w:pageBreakBefore w:val="0"/>
        <w:pBdr>
          <w:top w:space="0" w:sz="0" w:val="nil"/>
          <w:left w:space="0" w:sz="0" w:val="nil"/>
          <w:bottom w:space="0" w:sz="0" w:val="nil"/>
          <w:right w:space="0" w:sz="0" w:val="nil"/>
          <w:between w:space="0" w:sz="0" w:val="nil"/>
        </w:pBdr>
        <w:shd w:fill="auto" w:val="clear"/>
        <w:spacing w:before="0" w:lineRule="auto"/>
        <w:ind w:firstLine="720"/>
        <w:rPr>
          <w:sz w:val="20"/>
          <w:szCs w:val="20"/>
        </w:rPr>
      </w:pPr>
      <w:bookmarkStart w:colFirst="0" w:colLast="0" w:name="_icalfx6ooi9a" w:id="123"/>
      <w:bookmarkEnd w:id="123"/>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22222"/>
          <w:sz w:val="20"/>
          <w:szCs w:val="20"/>
          <w:rtl w:val="0"/>
        </w:rPr>
        <w:t xml:space="preserve">National Endowment for the Arts. Survey of Public Participation in the Arts 1982-2012 Combined File [United States]. ICPSR35596-v1. Ann Arbor, MI: Inter-university Consortium for Political and Social Research [distributor], 2014-12-22. </w:t>
      </w:r>
      <w:hyperlink r:id="rId1">
        <w:r w:rsidDel="00000000" w:rsidR="00000000" w:rsidRPr="00000000">
          <w:rPr>
            <w:color w:val="1155cc"/>
            <w:sz w:val="20"/>
            <w:szCs w:val="20"/>
            <w:u w:val="single"/>
            <w:rtl w:val="0"/>
          </w:rPr>
          <w:t xml:space="preserve">http://doi.org/10.3886/ICPSR35596.v1</w:t>
        </w:r>
      </w:hyperlink>
      <w:r w:rsidDel="00000000" w:rsidR="00000000" w:rsidRPr="00000000">
        <w:rPr>
          <w:sz w:val="20"/>
          <w:szCs w:val="20"/>
          <w:rtl w:val="0"/>
        </w:rPr>
        <w:t xml:space="preserve"> (Last accessed 5/25/15). </w:t>
      </w:r>
    </w:p>
  </w:footnote>
  <w:footnote w:id="2">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The 1982 survey holds data from 17,254 U.S. households, the 1985 survey contains information on 13,675 households,  the 1992 survey pertains to 12,736 households, and the 2002 survey contains 17,135 households, the 2008 survey includes 18,444 households, and the 2012 survey has a sample size of 18,051 households, for a cumulative sample size of 97,295.</w:t>
      </w:r>
      <w:r w:rsidDel="00000000" w:rsidR="00000000" w:rsidRPr="00000000">
        <w:rPr>
          <w:sz w:val="20"/>
          <w:szCs w:val="20"/>
          <w:rtl w:val="0"/>
        </w:rPr>
        <w:t xml:space="preserve"> </w:t>
      </w:r>
    </w:p>
  </w:footnote>
  <w:footnote w:id="3">
    <w:p w:rsidR="00000000" w:rsidDel="00000000" w:rsidP="00000000" w:rsidRDefault="00000000" w:rsidRPr="00000000" w14:paraId="0000029B">
      <w:pPr>
        <w:pStyle w:val="Heading4"/>
        <w:pageBreakBefore w:val="0"/>
        <w:pBdr>
          <w:top w:space="0" w:sz="0" w:val="nil"/>
          <w:left w:space="0" w:sz="0" w:val="nil"/>
          <w:bottom w:space="0" w:sz="0" w:val="nil"/>
          <w:right w:space="0" w:sz="0" w:val="nil"/>
          <w:between w:space="0" w:sz="0" w:val="nil"/>
        </w:pBdr>
        <w:shd w:fill="auto" w:val="clear"/>
        <w:spacing w:before="0" w:lineRule="auto"/>
        <w:ind w:firstLine="720"/>
        <w:rPr>
          <w:sz w:val="20"/>
          <w:szCs w:val="20"/>
        </w:rPr>
      </w:pPr>
      <w:bookmarkStart w:colFirst="0" w:colLast="0" w:name="_cjb1m5f3bkl3" w:id="124"/>
      <w:bookmarkEnd w:id="124"/>
      <w:r w:rsidDel="00000000" w:rsidR="00000000" w:rsidRPr="00000000">
        <w:rPr>
          <w:rStyle w:val="FootnoteReference"/>
          <w:vertAlign w:val="superscript"/>
        </w:rPr>
        <w:footnoteRef/>
      </w:r>
      <w:r w:rsidDel="00000000" w:rsidR="00000000" w:rsidRPr="00000000">
        <w:rPr>
          <w:sz w:val="20"/>
          <w:szCs w:val="20"/>
          <w:rtl w:val="0"/>
        </w:rPr>
        <w:t xml:space="preserve"> We estimate the CCRM models via maximum likelihood using the routine for multilevel logit regression modelling (</w:t>
      </w:r>
      <w:r w:rsidDel="00000000" w:rsidR="00000000" w:rsidRPr="00000000">
        <w:rPr>
          <w:rFonts w:ascii="Courier New" w:cs="Courier New" w:eastAsia="Courier New" w:hAnsi="Courier New"/>
          <w:sz w:val="16"/>
          <w:szCs w:val="16"/>
          <w:rtl w:val="0"/>
        </w:rPr>
        <w:t xml:space="preserve">xtmelogit</w:t>
      </w:r>
      <w:r w:rsidDel="00000000" w:rsidR="00000000" w:rsidRPr="00000000">
        <w:rPr>
          <w:sz w:val="20"/>
          <w:szCs w:val="20"/>
          <w:rtl w:val="0"/>
        </w:rPr>
        <w:t xml:space="preserve">) included in Stata 14.</w:t>
      </w:r>
    </w:p>
  </w:footnote>
  <w:footnote w:id="4">
    <w:p w:rsidR="00000000" w:rsidDel="00000000" w:rsidP="00000000" w:rsidRDefault="00000000" w:rsidRPr="00000000" w14:paraId="0000029C">
      <w:pPr>
        <w:pStyle w:val="Heading4"/>
        <w:pageBreakBefore w:val="0"/>
        <w:pBdr>
          <w:top w:space="0" w:sz="0" w:val="nil"/>
          <w:left w:space="0" w:sz="0" w:val="nil"/>
          <w:bottom w:space="0" w:sz="0" w:val="nil"/>
          <w:right w:space="0" w:sz="0" w:val="nil"/>
          <w:between w:space="0" w:sz="0" w:val="nil"/>
        </w:pBdr>
        <w:shd w:fill="auto" w:val="clear"/>
        <w:spacing w:before="0" w:lineRule="auto"/>
        <w:ind w:firstLine="720"/>
        <w:rPr>
          <w:sz w:val="20"/>
          <w:szCs w:val="20"/>
        </w:rPr>
      </w:pPr>
      <w:bookmarkStart w:colFirst="0" w:colLast="0" w:name="_79cvmsrvp9fd" w:id="125"/>
      <w:bookmarkEnd w:id="125"/>
      <w:r w:rsidDel="00000000" w:rsidR="00000000" w:rsidRPr="00000000">
        <w:rPr>
          <w:rStyle w:val="FootnoteReference"/>
          <w:vertAlign w:val="superscript"/>
        </w:rPr>
        <w:footnoteRef/>
      </w:r>
      <w:r w:rsidDel="00000000" w:rsidR="00000000" w:rsidRPr="00000000">
        <w:rPr>
          <w:sz w:val="20"/>
          <w:szCs w:val="20"/>
          <w:rtl w:val="0"/>
        </w:rPr>
        <w:t xml:space="preserve"> For a more elaborate outline of the analytical advantages of this mixed methods approach see Spillman (2014); for an application to the study of taste see Fishman and Lizardo (2013). </w:t>
      </w:r>
    </w:p>
  </w:footnote>
  <w:footnote w:id="5">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Over the course of the program, “total employment reached 3,749 persons. Works ranging from sculpture, murals, oils, and mosaics to craft articles, Navajo blankets, portraits, and stage sets, totaling in all 15,663 pieces, were completed. The total cost of the project was $1,312,000, of which 90.3 per cent went in wages to the artists themselves” (McDonald 1969: 62). Projects that were unfinished when PWAP was disbanded in 1934 received ongoing support from the Emergency Work Relief Program of FERA. Art works that were federal property were dispersed to public and nonprofit institutions until July, 1935. </w:t>
      </w:r>
    </w:p>
  </w:footnote>
  <w:footnote w:id="6">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output and impact of the Federal One projects may, in fact, pale in comparison to the achievements of many state and local relief administrations. New York’s was first among these, “almost unique in its progressive attitude,” and with significant reach: one accounting estimates that 12,000 people came to see a performance of Uncle Tom’s Cabin in Crotona Park (McDonald 1969: 70).</w:t>
      </w:r>
    </w:p>
  </w:footnote>
  <w:footnote w:id="7">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Federal Writers’ Project paid creators of books, poetry, pamphlets, leaflets, and radio scripts including socio-ethnic studies; expositions on industrial, labor, society, and community issues; and documents of American and Native American folklore (see Griswold 2016 for an in-depth discussion). The Federal Music Project produced a similarly massive array of works including over 1,500 compositions by 540 American composers, performed by symphony orchestras, small orchestral ensembles, string quartets, chamber music ensembles, and operatic and light opera concert ensembles; grand opera, light opera, and chamber opera companies; vocal ensembles and vocal soloists; and dance orchestras, bands, and theater orchestras (Federal Works Agency 1947: 64).</w:t>
      </w:r>
    </w:p>
  </w:footnote>
  <w:footnote w:id="8">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Congress</w:t>
      </w:r>
      <w:r w:rsidDel="00000000" w:rsidR="00000000" w:rsidRPr="00000000">
        <w:rPr>
          <w:sz w:val="20"/>
          <w:szCs w:val="20"/>
          <w:rtl w:val="0"/>
        </w:rPr>
        <w:t xml:space="preserve"> repeatedly attacked federal arts divisions based on reports of inefficiency and fraud. The Federal Theater project was abolished by Congress in 1939, charged with inefficiency, immorality, and infiltration by Communist agitators (N.A. 1939, “Relief: Hot Pan”). The other programs limped forward into the war years, when they were abandoned. </w:t>
      </w:r>
    </w:p>
  </w:footnote>
  <w:footnote w:id="9">
    <w:p w:rsidR="00000000" w:rsidDel="00000000" w:rsidP="00000000" w:rsidRDefault="00000000" w:rsidRPr="00000000" w14:paraId="000002A1">
      <w:pPr>
        <w:pStyle w:val="Heading4"/>
        <w:pageBreakBefore w:val="0"/>
        <w:pBdr>
          <w:top w:space="0" w:sz="0" w:val="nil"/>
          <w:left w:space="0" w:sz="0" w:val="nil"/>
          <w:bottom w:space="0" w:sz="0" w:val="nil"/>
          <w:right w:space="0" w:sz="0" w:val="nil"/>
          <w:between w:space="0" w:sz="0" w:val="nil"/>
        </w:pBdr>
        <w:shd w:fill="auto" w:val="clear"/>
        <w:spacing w:before="0" w:lineRule="auto"/>
        <w:ind w:firstLine="720"/>
        <w:rPr>
          <w:sz w:val="20"/>
          <w:szCs w:val="20"/>
        </w:rPr>
      </w:pPr>
      <w:bookmarkStart w:colFirst="0" w:colLast="0" w:name="_u47k5b7e1fq4" w:id="126"/>
      <w:bookmarkEnd w:id="126"/>
      <w:r w:rsidDel="00000000" w:rsidR="00000000" w:rsidRPr="00000000">
        <w:rPr>
          <w:rStyle w:val="FootnoteReference"/>
          <w:vertAlign w:val="superscript"/>
        </w:rPr>
        <w:footnoteRef/>
      </w:r>
      <w:r w:rsidDel="00000000" w:rsidR="00000000" w:rsidRPr="00000000">
        <w:rPr>
          <w:sz w:val="20"/>
          <w:szCs w:val="20"/>
          <w:rtl w:val="0"/>
        </w:rPr>
        <w:t xml:space="preserve"> In additional analyses (available upon request) of other arts participation items, we see that Art Festivals and Craft Fairs resemble more racially diverse forms of art participation including Jazz. While we observe strong generational effects for Whites when it comes to attendance at Classical Music (symphony) and Jazz Concerts, the generational effect for Blacks is much stronger for Jazz concerts and it begins much earlier than for Whites.</w:t>
      </w:r>
    </w:p>
  </w:footnote>
  <w:footnote w:id="10">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Individual grants or awards are still given in the following forms: National Heritage Fellowships (to folk and traditional artists), Creative Writing Fellowships, Translation Projects, Jazz Masters (lifetime achievement awards), and the National Medal of Arts.</w:t>
      </w:r>
    </w:p>
  </w:footnote>
  <w:footnote w:id="11">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other analyses (available upon request) we have examined variation of generational and period effects on the SPPA core participation items by gender, and race by fitting group specific HAPC models to the data.</w:t>
      </w:r>
    </w:p>
  </w:footnote>
  <w:footnote w:id="12">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Data files were obtained from the National Archive of Data on Arts &amp; Culture (NADAC) hosted by ICPSR at: </w:t>
      </w:r>
      <w:hyperlink r:id="rId2">
        <w:r w:rsidDel="00000000" w:rsidR="00000000" w:rsidRPr="00000000">
          <w:rPr>
            <w:color w:val="1155cc"/>
            <w:sz w:val="20"/>
            <w:szCs w:val="20"/>
            <w:u w:val="single"/>
            <w:rtl w:val="0"/>
          </w:rPr>
          <w:t xml:space="preserve">http://www.icpsr.umich.edu/icpsrweb/NADAC/</w:t>
        </w:r>
      </w:hyperlink>
      <w:r w:rsidDel="00000000" w:rsidR="00000000" w:rsidRPr="00000000">
        <w:rPr>
          <w:sz w:val="20"/>
          <w:szCs w:val="20"/>
          <w:rtl w:val="0"/>
        </w:rPr>
        <w:t xml:space="preserve">. </w:t>
      </w:r>
    </w:p>
  </w:footnote>
  <w:footnote w:id="13">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Exact response rates for the 1973 survey are not available; for more technical details on the American and the Arts survey series, see:   </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line="240" w:lineRule="auto"/>
        <w:rPr>
          <w:sz w:val="20"/>
          <w:szCs w:val="20"/>
        </w:rPr>
      </w:pPr>
      <w:hyperlink r:id="rId3">
        <w:r w:rsidDel="00000000" w:rsidR="00000000" w:rsidRPr="00000000">
          <w:rPr>
            <w:color w:val="1155cc"/>
            <w:sz w:val="20"/>
            <w:szCs w:val="20"/>
            <w:u w:val="single"/>
            <w:rtl w:val="0"/>
          </w:rPr>
          <w:t xml:space="preserve">http://www.icpsr.umich.edu/icpsrweb/NADAC/studies/35575?archive=NADAC&amp;q=american+and+the+arts#method</w:t>
        </w:r>
      </w:hyperlink>
      <w:r w:rsidDel="00000000" w:rsidR="00000000" w:rsidRPr="00000000">
        <w:rPr>
          <w:rtl w:val="0"/>
        </w:rPr>
      </w:r>
    </w:p>
  </w:footnote>
  <w:footnote w:id="14">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in most cases, exposure rates drop for persons born in the second half of the 1950s, which is consistent with the generational boundaries delimiting the Omnivorous Generation from their successors in the results obtained from SPPA data. We would not read too much into these results as these individuals were between 16-17 years old at the time of the interview.</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tl w:val="0"/>
        </w:rPr>
      </w:r>
    </w:p>
  </w:footnote>
  <w:footnote w:id="0">
    <w:p w:rsidR="00000000" w:rsidDel="00000000" w:rsidP="00000000" w:rsidRDefault="00000000" w:rsidRPr="00000000" w14:paraId="000002A9">
      <w:pPr>
        <w:pStyle w:val="Heading4"/>
        <w:pageBreakBefore w:val="0"/>
        <w:pBdr>
          <w:top w:space="0" w:sz="0" w:val="nil"/>
          <w:left w:space="0" w:sz="0" w:val="nil"/>
          <w:bottom w:space="0" w:sz="0" w:val="nil"/>
          <w:right w:space="0" w:sz="0" w:val="nil"/>
          <w:between w:space="0" w:sz="0" w:val="nil"/>
        </w:pBdr>
        <w:shd w:fill="auto" w:val="clear"/>
        <w:rPr>
          <w:sz w:val="20"/>
          <w:szCs w:val="20"/>
        </w:rPr>
      </w:pPr>
      <w:bookmarkStart w:colFirst="0" w:colLast="0" w:name="_v1q621dpqjc0" w:id="127"/>
      <w:bookmarkEnd w:id="127"/>
      <w:r w:rsidDel="00000000" w:rsidR="00000000" w:rsidRPr="00000000">
        <w:rPr>
          <w:rStyle w:val="FootnoteReference"/>
          <w:vertAlign w:val="superscript"/>
        </w:rPr>
        <w:footnoteRef/>
      </w:r>
      <w:r w:rsidDel="00000000" w:rsidR="00000000" w:rsidRPr="00000000">
        <w:rPr>
          <w:sz w:val="20"/>
          <w:szCs w:val="20"/>
          <w:rtl w:val="0"/>
        </w:rPr>
        <w:t xml:space="preserve"> There are almost as many measures of omnivorousness as there are papers on the topic. Peterson and Simkus (1992) conceptualized it as a bundle of highbrow and non-highbrow tastes. Later papers </w:t>
      </w:r>
      <w:r w:rsidDel="00000000" w:rsidR="00000000" w:rsidRPr="00000000">
        <w:rPr>
          <w:rtl w:val="0"/>
        </w:rPr>
        <w:t xml:space="preserve">treated omnivorousness as a continuous variable in regression analyses (Rossman and Peterson 2015; for a review, see Peterson 2005). Still others subjected reports of attendance at cultural events to Multiple Correspondence Analysis, producing continuous dimensions that allow researchers to identify the most central and distal tastes (Lopez-Sintas and Katz-Gerro 2005). Later works also distinguished omnivorousness, or breadth of taste, from frequency of engagement, or “voraciousness” (Katz-Gerro and Sullivan 2005). Many papers focused on music, but not all. Some focused on elites, but not all. There is no single measure of omnivorousness, and no consensus on how the concept should be stabilized.</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n"/>
      </w:rPr>
    </w:rPrDefault>
    <w:pPrDefault>
      <w:pPr>
        <w:widowControl w:val="0"/>
        <w:spacing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ind w:firstLine="0"/>
      <w:jc w:val="left"/>
    </w:pPr>
    <w:rPr>
      <w:color w:val="632423"/>
      <w:sz w:val="32"/>
      <w:szCs w:val="32"/>
    </w:rPr>
  </w:style>
  <w:style w:type="paragraph" w:styleId="Heading2">
    <w:name w:val="heading 2"/>
    <w:basedOn w:val="Normal"/>
    <w:next w:val="Normal"/>
    <w:pPr>
      <w:pageBreakBefore w:val="0"/>
      <w:spacing w:before="200" w:lineRule="auto"/>
      <w:ind w:firstLine="0"/>
      <w:jc w:val="left"/>
    </w:pPr>
    <w:rPr>
      <w:color w:val="632423"/>
      <w:sz w:val="28"/>
      <w:szCs w:val="28"/>
    </w:rPr>
  </w:style>
  <w:style w:type="paragraph" w:styleId="Heading3">
    <w:name w:val="heading 3"/>
    <w:basedOn w:val="Normal"/>
    <w:next w:val="Normal"/>
    <w:pPr>
      <w:keepNext w:val="1"/>
      <w:keepLines w:val="1"/>
      <w:pageBreakBefore w:val="0"/>
      <w:spacing w:before="300" w:lineRule="auto"/>
      <w:ind w:firstLine="0"/>
      <w:jc w:val="left"/>
    </w:pPr>
    <w:rPr>
      <w:i w:val="1"/>
      <w:iCs w:val="1"/>
      <w:color w:val="622423"/>
    </w:rPr>
  </w:style>
  <w:style w:type="paragraph" w:styleId="Heading4">
    <w:name w:val="heading 4"/>
    <w:basedOn w:val="Normal"/>
    <w:next w:val="Normal"/>
    <w:pPr>
      <w:pageBreakBefore w:val="0"/>
      <w:spacing w:line="240" w:lineRule="auto"/>
      <w:ind w:firstLine="0"/>
    </w:pPr>
    <w:rPr>
      <w:sz w:val="22"/>
      <w:szCs w:val="22"/>
    </w:rPr>
  </w:style>
  <w:style w:type="paragraph" w:styleId="Heading5">
    <w:name w:val="heading 5"/>
    <w:basedOn w:val="Normal"/>
    <w:next w:val="Normal"/>
    <w:pPr>
      <w:keepNext w:val="1"/>
      <w:keepLines w:val="1"/>
      <w:pageBreakBefore w:val="0"/>
      <w:spacing w:after="120" w:before="320" w:line="360" w:lineRule="auto"/>
      <w:ind w:left="0" w:right="0" w:firstLine="0"/>
      <w:jc w:val="center"/>
    </w:pPr>
    <w:rPr>
      <w:rFonts w:ascii="Lato" w:cs="Lato" w:eastAsia="Lato" w:hAnsi="Lato"/>
      <w:b w:val="0"/>
      <w:bCs w:val="0"/>
      <w:i w:val="0"/>
      <w:iCs w:val="0"/>
      <w:smallCaps w:val="0"/>
      <w:strike w:val="0"/>
      <w:color w:val="622423"/>
      <w:sz w:val="22"/>
      <w:szCs w:val="22"/>
      <w:u w:val="none"/>
      <w:shd w:fill="auto" w:val="clear"/>
      <w:vertAlign w:val="baseline"/>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color w:val="632423"/>
      <w:sz w:val="44"/>
      <w:szCs w:val="44"/>
    </w:rPr>
  </w:style>
  <w:style w:type="paragraph" w:styleId="Subtitle">
    <w:name w:val="Subtitle"/>
    <w:basedOn w:val="Normal"/>
    <w:next w:val="Normal"/>
    <w:pPr>
      <w:pageBreakBefore w:val="0"/>
      <w:ind w:firstLine="0"/>
    </w:pPr>
    <w:rPr>
      <w:b w:val="1"/>
      <w:bCs w:val="1"/>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www.codecogs.com/eqnedit.php?latex=P%5Cleft(Y_%7Bijkl%7D%5Cright)%20=%20%5Cgamma_0%20&amp;plus;%20%5Cbeta_1%20age%20&amp;plus;%20%5Cbeta_2%20age%5E2%20&amp;plus;%20v_%7Boj%7D%20&amp;plus;%20v_%7B0k%7D" TargetMode="External"/><Relationship Id="rId13" Type="http://schemas.openxmlformats.org/officeDocument/2006/relationships/hyperlink" Target="http://doi.org/10.3886/ICPSR35575.v1" TargetMode="External"/><Relationship Id="rId12" Type="http://schemas.openxmlformats.org/officeDocument/2006/relationships/hyperlink" Target="http://www.festival.si.edu/about-us/mission-and-history/smithsoni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nea.gov" TargetMode="Externa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jcl42@columbia.edu" TargetMode="External"/><Relationship Id="rId8" Type="http://schemas.openxmlformats.org/officeDocument/2006/relationships/hyperlink" Target="mailto:olizardo@nd.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11" Type="http://schemas.openxmlformats.org/officeDocument/2006/relationships/font" Target="fonts/Lato-boldItalic.ttf"/><Relationship Id="rId10" Type="http://schemas.openxmlformats.org/officeDocument/2006/relationships/font" Target="fonts/Lato-italic.ttf"/><Relationship Id="rId9" Type="http://schemas.openxmlformats.org/officeDocument/2006/relationships/font" Target="fonts/Lato-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Lato-regular.ttf"/></Relationships>
</file>

<file path=word/_rels/footnotes.xml.rels><?xml version="1.0" encoding="UTF-8" standalone="yes"?><Relationships xmlns="http://schemas.openxmlformats.org/package/2006/relationships"><Relationship Id="rId1" Type="http://schemas.openxmlformats.org/officeDocument/2006/relationships/hyperlink" Target="http://doi.org/10.3886/ICPSR35596.v1" TargetMode="External"/><Relationship Id="rId2" Type="http://schemas.openxmlformats.org/officeDocument/2006/relationships/hyperlink" Target="http://www.icpsr.umich.edu/icpsrweb/NADAC/" TargetMode="External"/><Relationship Id="rId3" Type="http://schemas.openxmlformats.org/officeDocument/2006/relationships/hyperlink" Target="http://www.icpsr.umich.edu/icpsrweb/NADAC/studies/35575?archive=NADAC&amp;q=american+and+the+arts#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