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8DB569" w14:textId="77777777" w:rsidR="00C67E15" w:rsidRPr="00664181" w:rsidRDefault="007D1B8E" w:rsidP="00664181">
      <w:pPr>
        <w:pStyle w:val="Title"/>
        <w:contextualSpacing w:val="0"/>
        <w:rPr>
          <w:vertAlign w:val="superscript"/>
        </w:rPr>
      </w:pPr>
      <w:bookmarkStart w:id="0" w:name="_vuhksz38hqao" w:colFirst="0" w:colLast="0"/>
      <w:bookmarkEnd w:id="0"/>
      <w:r>
        <w:t>The Making of an “Omnivorous Generation”</w:t>
      </w:r>
      <w:r>
        <w:rPr>
          <w:vertAlign w:val="superscript"/>
        </w:rPr>
        <w:t>*</w:t>
      </w:r>
    </w:p>
    <w:p w14:paraId="2875230F" w14:textId="77777777" w:rsidR="00C67E15" w:rsidRDefault="007D1B8E" w:rsidP="009F0EC6">
      <w:pPr>
        <w:pStyle w:val="Subtitle"/>
        <w:spacing w:line="240" w:lineRule="auto"/>
        <w:contextualSpacing w:val="0"/>
      </w:pPr>
      <w:bookmarkStart w:id="1" w:name="_u4zvic7ecw3y" w:colFirst="0" w:colLast="0"/>
      <w:bookmarkEnd w:id="1"/>
      <w:r>
        <w:tab/>
      </w:r>
    </w:p>
    <w:p w14:paraId="30CECCD8" w14:textId="77777777" w:rsidR="00C67E15" w:rsidRDefault="00C67E15" w:rsidP="009F0EC6">
      <w:pPr>
        <w:pStyle w:val="Subtitle"/>
        <w:spacing w:line="240" w:lineRule="auto"/>
        <w:contextualSpacing w:val="0"/>
      </w:pPr>
      <w:bookmarkStart w:id="2" w:name="_33cjpwxo18gf" w:colFirst="0" w:colLast="0"/>
      <w:bookmarkEnd w:id="2"/>
    </w:p>
    <w:p w14:paraId="08953E82" w14:textId="77777777" w:rsidR="00C67E15" w:rsidRDefault="007D1B8E" w:rsidP="009F0EC6">
      <w:pPr>
        <w:pStyle w:val="Subtitle"/>
        <w:spacing w:line="240" w:lineRule="auto"/>
        <w:contextualSpacing w:val="0"/>
      </w:pPr>
      <w:r>
        <w:t>Jennifer C. Lena</w:t>
      </w:r>
    </w:p>
    <w:p w14:paraId="608BB201" w14:textId="77777777" w:rsidR="00C67E15" w:rsidRPr="00664181" w:rsidRDefault="007D1B8E" w:rsidP="009F0EC6">
      <w:pPr>
        <w:pStyle w:val="Subtitle"/>
        <w:spacing w:line="240" w:lineRule="auto"/>
        <w:contextualSpacing w:val="0"/>
        <w:rPr>
          <w:i/>
        </w:rPr>
      </w:pPr>
      <w:r>
        <w:rPr>
          <w:i/>
        </w:rPr>
        <w:t>Columbia University, Teachers College</w:t>
      </w:r>
    </w:p>
    <w:p w14:paraId="6A38B3B7" w14:textId="77777777" w:rsidR="00C67E15" w:rsidRDefault="00C67E15" w:rsidP="009F0EC6">
      <w:pPr>
        <w:pStyle w:val="Subtitle"/>
        <w:spacing w:line="240" w:lineRule="auto"/>
        <w:contextualSpacing w:val="0"/>
      </w:pPr>
    </w:p>
    <w:p w14:paraId="1C536E24" w14:textId="77777777" w:rsidR="00C67E15" w:rsidRDefault="007D1B8E" w:rsidP="009F0EC6">
      <w:pPr>
        <w:pStyle w:val="Subtitle"/>
        <w:spacing w:line="240" w:lineRule="auto"/>
        <w:contextualSpacing w:val="0"/>
      </w:pPr>
      <w:r>
        <w:t xml:space="preserve">Omar </w:t>
      </w:r>
      <w:proofErr w:type="spellStart"/>
      <w:r>
        <w:t>Lizardo</w:t>
      </w:r>
      <w:proofErr w:type="spellEnd"/>
    </w:p>
    <w:p w14:paraId="47B51BD1" w14:textId="77777777" w:rsidR="00C67E15" w:rsidRPr="00664181" w:rsidRDefault="007D1B8E" w:rsidP="009F0EC6">
      <w:pPr>
        <w:pStyle w:val="Subtitle"/>
        <w:spacing w:line="240" w:lineRule="auto"/>
        <w:contextualSpacing w:val="0"/>
        <w:rPr>
          <w:i/>
        </w:rPr>
      </w:pPr>
      <w:bookmarkStart w:id="3" w:name="_xd5c6d7knfy5" w:colFirst="0" w:colLast="0"/>
      <w:bookmarkEnd w:id="3"/>
      <w:r>
        <w:rPr>
          <w:i/>
        </w:rPr>
        <w:t>University of Notre Dame</w:t>
      </w:r>
    </w:p>
    <w:p w14:paraId="09F8F85F" w14:textId="77777777" w:rsidR="00C67E15" w:rsidRDefault="00C67E15" w:rsidP="009F0EC6">
      <w:pPr>
        <w:pStyle w:val="normal0"/>
        <w:spacing w:line="240" w:lineRule="auto"/>
        <w:contextualSpacing w:val="0"/>
      </w:pPr>
    </w:p>
    <w:p w14:paraId="2F5D0704" w14:textId="77777777" w:rsidR="00C67E15" w:rsidRDefault="00C67E15" w:rsidP="009F0EC6">
      <w:pPr>
        <w:pStyle w:val="normal0"/>
        <w:spacing w:line="240" w:lineRule="auto"/>
        <w:contextualSpacing w:val="0"/>
      </w:pPr>
    </w:p>
    <w:p w14:paraId="1EE2E844" w14:textId="77777777" w:rsidR="00C67E15" w:rsidRDefault="007D1B8E" w:rsidP="009F0EC6">
      <w:pPr>
        <w:pStyle w:val="normal0"/>
        <w:spacing w:line="240" w:lineRule="auto"/>
        <w:contextualSpacing w:val="0"/>
      </w:pPr>
      <w:r>
        <w:t xml:space="preserve">Keywords: </w:t>
      </w:r>
      <w:proofErr w:type="spellStart"/>
      <w:r>
        <w:t>Omnivorousness</w:t>
      </w:r>
      <w:proofErr w:type="spellEnd"/>
      <w:r>
        <w:t>, generation, culture, valorization, vernacular, folk, institutions, New Deal, Progressive Era, museums, organizations</w:t>
      </w:r>
    </w:p>
    <w:p w14:paraId="01F53AF2" w14:textId="77777777" w:rsidR="00C67E15" w:rsidRDefault="00C67E15" w:rsidP="009F0EC6">
      <w:pPr>
        <w:pStyle w:val="normal0"/>
        <w:spacing w:line="240" w:lineRule="auto"/>
        <w:contextualSpacing w:val="0"/>
      </w:pPr>
    </w:p>
    <w:p w14:paraId="37E2F8E8" w14:textId="77777777" w:rsidR="00C67E15" w:rsidRDefault="007D1B8E" w:rsidP="009F0EC6">
      <w:pPr>
        <w:pStyle w:val="normal0"/>
        <w:spacing w:line="240" w:lineRule="auto"/>
        <w:contextualSpacing w:val="0"/>
      </w:pPr>
      <w:r>
        <w:t>Word Count: 12,025 (plus 1,560 in Appendix)</w:t>
      </w:r>
    </w:p>
    <w:p w14:paraId="1973AF75" w14:textId="77777777" w:rsidR="00C67E15" w:rsidRDefault="00C67E15" w:rsidP="009F0EC6">
      <w:pPr>
        <w:pStyle w:val="normal0"/>
        <w:spacing w:line="240" w:lineRule="auto"/>
        <w:contextualSpacing w:val="0"/>
      </w:pPr>
    </w:p>
    <w:p w14:paraId="061ED773" w14:textId="77777777" w:rsidR="00C67E15" w:rsidRPr="00664181" w:rsidRDefault="00C67E15" w:rsidP="009F0EC6">
      <w:pPr>
        <w:pStyle w:val="Subtitle"/>
        <w:spacing w:line="240" w:lineRule="auto"/>
        <w:contextualSpacing w:val="0"/>
        <w:rPr>
          <w:color w:val="632423"/>
          <w:sz w:val="24"/>
        </w:rPr>
      </w:pPr>
      <w:bookmarkStart w:id="4" w:name="_jt8m8kilg192" w:colFirst="0" w:colLast="0"/>
      <w:bookmarkEnd w:id="4"/>
    </w:p>
    <w:p w14:paraId="683C163D" w14:textId="77777777" w:rsidR="00C67E15" w:rsidRPr="00664181" w:rsidRDefault="00C67E15" w:rsidP="009F0EC6">
      <w:pPr>
        <w:pStyle w:val="Subtitle"/>
        <w:spacing w:line="240" w:lineRule="auto"/>
        <w:contextualSpacing w:val="0"/>
        <w:rPr>
          <w:color w:val="632423"/>
          <w:sz w:val="24"/>
        </w:rPr>
      </w:pPr>
      <w:bookmarkStart w:id="5" w:name="_y9nuz1bmcxyr" w:colFirst="0" w:colLast="0"/>
      <w:bookmarkEnd w:id="5"/>
    </w:p>
    <w:p w14:paraId="642E1C97" w14:textId="77777777" w:rsidR="00C67E15" w:rsidRPr="00664181" w:rsidRDefault="00C67E15" w:rsidP="009F0EC6">
      <w:pPr>
        <w:pStyle w:val="Subtitle"/>
        <w:spacing w:line="240" w:lineRule="auto"/>
        <w:contextualSpacing w:val="0"/>
        <w:rPr>
          <w:sz w:val="24"/>
        </w:rPr>
      </w:pPr>
      <w:bookmarkStart w:id="6" w:name="_lfawl7b51a85" w:colFirst="0" w:colLast="0"/>
      <w:bookmarkEnd w:id="6"/>
    </w:p>
    <w:p w14:paraId="580BC56A" w14:textId="77777777" w:rsidR="00C67E15" w:rsidRPr="00664181" w:rsidRDefault="00C67E15" w:rsidP="009F0EC6">
      <w:pPr>
        <w:pStyle w:val="Subtitle"/>
        <w:spacing w:line="240" w:lineRule="auto"/>
        <w:contextualSpacing w:val="0"/>
        <w:rPr>
          <w:sz w:val="24"/>
        </w:rPr>
      </w:pPr>
      <w:bookmarkStart w:id="7" w:name="_eqahhelj8t0t" w:colFirst="0" w:colLast="0"/>
      <w:bookmarkEnd w:id="7"/>
    </w:p>
    <w:p w14:paraId="56A15750" w14:textId="77777777" w:rsidR="00C67E15" w:rsidRDefault="00C67E15" w:rsidP="009F0EC6">
      <w:pPr>
        <w:pStyle w:val="normal0"/>
        <w:spacing w:line="240" w:lineRule="auto"/>
        <w:contextualSpacing w:val="0"/>
      </w:pPr>
    </w:p>
    <w:p w14:paraId="069F6FCF" w14:textId="77777777" w:rsidR="00C67E15" w:rsidRPr="00664181" w:rsidRDefault="00C67E15" w:rsidP="009F0EC6">
      <w:pPr>
        <w:pStyle w:val="Subtitle"/>
        <w:spacing w:line="240" w:lineRule="auto"/>
        <w:contextualSpacing w:val="0"/>
        <w:rPr>
          <w:sz w:val="24"/>
        </w:rPr>
      </w:pPr>
      <w:bookmarkStart w:id="8" w:name="_fh7lspq7sqvz" w:colFirst="0" w:colLast="0"/>
      <w:bookmarkEnd w:id="8"/>
    </w:p>
    <w:p w14:paraId="2D910036" w14:textId="77777777" w:rsidR="00C67E15" w:rsidRPr="00664181" w:rsidRDefault="00C67E15" w:rsidP="009F0EC6">
      <w:pPr>
        <w:pStyle w:val="Subtitle"/>
        <w:spacing w:line="240" w:lineRule="auto"/>
        <w:contextualSpacing w:val="0"/>
        <w:rPr>
          <w:sz w:val="24"/>
        </w:rPr>
      </w:pPr>
      <w:bookmarkStart w:id="9" w:name="_ohri8sn7vfse" w:colFirst="0" w:colLast="0"/>
      <w:bookmarkEnd w:id="9"/>
    </w:p>
    <w:p w14:paraId="2EC1F14F" w14:textId="77777777" w:rsidR="00C67E15" w:rsidRPr="00664181" w:rsidRDefault="00C67E15" w:rsidP="009F0EC6">
      <w:pPr>
        <w:pStyle w:val="Subtitle"/>
        <w:spacing w:line="240" w:lineRule="auto"/>
        <w:contextualSpacing w:val="0"/>
        <w:rPr>
          <w:sz w:val="24"/>
        </w:rPr>
      </w:pPr>
      <w:bookmarkStart w:id="10" w:name="_aj0mz2nxyy9m" w:colFirst="0" w:colLast="0"/>
      <w:bookmarkEnd w:id="10"/>
    </w:p>
    <w:p w14:paraId="6153276F" w14:textId="77777777" w:rsidR="00C67E15" w:rsidRPr="00664181" w:rsidRDefault="00C67E15" w:rsidP="009F0EC6">
      <w:pPr>
        <w:pStyle w:val="Subtitle"/>
        <w:spacing w:line="240" w:lineRule="auto"/>
        <w:contextualSpacing w:val="0"/>
        <w:rPr>
          <w:sz w:val="24"/>
        </w:rPr>
      </w:pPr>
      <w:bookmarkStart w:id="11" w:name="_gmc57n8bh684" w:colFirst="0" w:colLast="0"/>
      <w:bookmarkEnd w:id="11"/>
    </w:p>
    <w:p w14:paraId="4E1CAEF5" w14:textId="77777777" w:rsidR="00C67E15" w:rsidRPr="00664181" w:rsidRDefault="00C67E15" w:rsidP="009F0EC6">
      <w:pPr>
        <w:pStyle w:val="Subtitle"/>
        <w:spacing w:line="240" w:lineRule="auto"/>
        <w:contextualSpacing w:val="0"/>
        <w:rPr>
          <w:sz w:val="24"/>
        </w:rPr>
      </w:pPr>
      <w:bookmarkStart w:id="12" w:name="_v4mwc9vpah89" w:colFirst="0" w:colLast="0"/>
      <w:bookmarkEnd w:id="12"/>
    </w:p>
    <w:p w14:paraId="3D70BA7B" w14:textId="77777777" w:rsidR="00C67E15" w:rsidRDefault="007D1B8E" w:rsidP="009F0EC6">
      <w:pPr>
        <w:pStyle w:val="Subtitle"/>
        <w:spacing w:line="240" w:lineRule="auto"/>
        <w:contextualSpacing w:val="0"/>
      </w:pPr>
      <w:bookmarkStart w:id="13" w:name="_sehrxxb8sf0v" w:colFirst="0" w:colLast="0"/>
      <w:bookmarkEnd w:id="13"/>
      <w:r>
        <w:rPr>
          <w:sz w:val="24"/>
          <w:szCs w:val="24"/>
        </w:rPr>
        <w:t>*</w:t>
      </w:r>
      <w:r>
        <w:rPr>
          <w:sz w:val="20"/>
          <w:szCs w:val="20"/>
        </w:rPr>
        <w:t xml:space="preserve">Earlier versions of this paper were presented at the 2014 Annual Meetings of the American Sociological Association in San Francisco, and at the 2015 Annual Meetings of the American Sociological Association in Chicago. We would like to thank Peter </w:t>
      </w:r>
      <w:proofErr w:type="spellStart"/>
      <w:r>
        <w:rPr>
          <w:sz w:val="20"/>
          <w:szCs w:val="20"/>
        </w:rPr>
        <w:t>Bearman</w:t>
      </w:r>
      <w:proofErr w:type="spellEnd"/>
      <w:r>
        <w:rPr>
          <w:sz w:val="20"/>
          <w:szCs w:val="20"/>
        </w:rPr>
        <w:t xml:space="preserve">, Shamus Khan, Adam Reich, Wendy Griswold, and four anonymous reviewers for helpful comments and suggestions. Direct correspondence to Jennifer Lena, 525 West 120th St. Box 78, NYC, NY 10027, Email: </w:t>
      </w:r>
      <w:hyperlink r:id="rId8">
        <w:r>
          <w:rPr>
            <w:color w:val="1155CC"/>
            <w:sz w:val="20"/>
            <w:szCs w:val="20"/>
            <w:u w:val="single"/>
          </w:rPr>
          <w:t>jcl42@columbia.edu</w:t>
        </w:r>
      </w:hyperlink>
      <w:r>
        <w:rPr>
          <w:sz w:val="20"/>
          <w:szCs w:val="20"/>
        </w:rPr>
        <w:t xml:space="preserve"> or Omar </w:t>
      </w:r>
      <w:proofErr w:type="spellStart"/>
      <w:r>
        <w:rPr>
          <w:sz w:val="20"/>
          <w:szCs w:val="20"/>
        </w:rPr>
        <w:t>Lizardo</w:t>
      </w:r>
      <w:proofErr w:type="spellEnd"/>
      <w:r>
        <w:rPr>
          <w:sz w:val="20"/>
          <w:szCs w:val="20"/>
        </w:rPr>
        <w:t xml:space="preserve">, 810 Flanner Hall Notre Dame, IN 46556, Email: </w:t>
      </w:r>
      <w:hyperlink r:id="rId9">
        <w:r>
          <w:rPr>
            <w:color w:val="1155CC"/>
            <w:sz w:val="20"/>
            <w:szCs w:val="20"/>
            <w:u w:val="single"/>
          </w:rPr>
          <w:t>olizardo@nd.edu</w:t>
        </w:r>
      </w:hyperlink>
      <w:r>
        <w:rPr>
          <w:sz w:val="20"/>
          <w:szCs w:val="20"/>
        </w:rPr>
        <w:t xml:space="preserve">. </w:t>
      </w:r>
    </w:p>
    <w:p w14:paraId="28AED37B" w14:textId="77777777" w:rsidR="00C67E15" w:rsidRDefault="00C67E15" w:rsidP="009F0EC6">
      <w:pPr>
        <w:pStyle w:val="Subtitle"/>
        <w:contextualSpacing w:val="0"/>
      </w:pPr>
      <w:bookmarkStart w:id="14" w:name="_72olfirkync4" w:colFirst="0" w:colLast="0"/>
      <w:bookmarkEnd w:id="14"/>
    </w:p>
    <w:p w14:paraId="55F3E482" w14:textId="77777777" w:rsidR="00C67E15" w:rsidRDefault="00C67E15" w:rsidP="009F0EC6">
      <w:pPr>
        <w:pStyle w:val="Subtitle"/>
        <w:contextualSpacing w:val="0"/>
      </w:pPr>
      <w:bookmarkStart w:id="15" w:name="_96xoucmayizg" w:colFirst="0" w:colLast="0"/>
      <w:bookmarkEnd w:id="15"/>
    </w:p>
    <w:p w14:paraId="08922C5E" w14:textId="77777777" w:rsidR="00C67E15" w:rsidRDefault="00C67E15" w:rsidP="009F0EC6">
      <w:pPr>
        <w:pStyle w:val="Subtitle"/>
        <w:contextualSpacing w:val="0"/>
      </w:pPr>
      <w:bookmarkStart w:id="16" w:name="_c1clts69v1nd" w:colFirst="0" w:colLast="0"/>
      <w:bookmarkEnd w:id="16"/>
    </w:p>
    <w:p w14:paraId="6ABCBD28" w14:textId="77777777" w:rsidR="00C67E15" w:rsidRDefault="00C67E15" w:rsidP="009F0EC6">
      <w:pPr>
        <w:pStyle w:val="Subtitle"/>
        <w:contextualSpacing w:val="0"/>
      </w:pPr>
      <w:bookmarkStart w:id="17" w:name="_l4fucbxq2l4b" w:colFirst="0" w:colLast="0"/>
      <w:bookmarkEnd w:id="17"/>
    </w:p>
    <w:p w14:paraId="65B18B69" w14:textId="77777777" w:rsidR="00C67E15" w:rsidRDefault="00C67E15" w:rsidP="009F0EC6">
      <w:pPr>
        <w:pStyle w:val="Subtitle"/>
        <w:contextualSpacing w:val="0"/>
      </w:pPr>
      <w:bookmarkStart w:id="18" w:name="_408ln5xopjaw" w:colFirst="0" w:colLast="0"/>
      <w:bookmarkEnd w:id="18"/>
    </w:p>
    <w:p w14:paraId="673E19DA" w14:textId="77777777" w:rsidR="00C67E15" w:rsidRDefault="007D1B8E" w:rsidP="009F0EC6">
      <w:pPr>
        <w:pStyle w:val="Subtitle"/>
        <w:contextualSpacing w:val="0"/>
      </w:pPr>
      <w:bookmarkStart w:id="19" w:name="_1xnhvap62qw4" w:colFirst="0" w:colLast="0"/>
      <w:bookmarkEnd w:id="19"/>
      <w:r>
        <w:t>Abstract</w:t>
      </w:r>
    </w:p>
    <w:p w14:paraId="5472B0D0" w14:textId="77777777" w:rsidR="00C67E15" w:rsidRDefault="007D1B8E" w:rsidP="009F0EC6">
      <w:pPr>
        <w:pStyle w:val="normal0"/>
      </w:pPr>
      <w:r>
        <w:t xml:space="preserve">We begin by confirming and advancing preliminary research indicating period-specific effects in Americans’ cultural </w:t>
      </w:r>
      <w:proofErr w:type="spellStart"/>
      <w:r>
        <w:t>omnivorousness</w:t>
      </w:r>
      <w:proofErr w:type="spellEnd"/>
      <w:r>
        <w:t xml:space="preserve">. We use data from the Survey for Public Participation in the Arts to examine arts participation. Our analysis uncovers a distinct “omnivorous generation” born in the post-Progressive Era. Mirroring prior analyses of the features of status-defining </w:t>
      </w:r>
      <w:proofErr w:type="gramStart"/>
      <w:r>
        <w:t>tastes which</w:t>
      </w:r>
      <w:proofErr w:type="gramEnd"/>
      <w:r>
        <w:t xml:space="preserve"> have linked transformations in tastes to those in arts organizations and institutions, we find one powerful potential explanation in the New Deal era art works programs.</w:t>
      </w:r>
      <w:r>
        <w:rPr>
          <w:b/>
        </w:rPr>
        <w:t xml:space="preserve"> </w:t>
      </w:r>
      <w:r>
        <w:t>Our historical analysis reveals that institutional entrepreneurship by government arts administrators increased the diversity of art on offer to this generation and promoted its artistic legitimation. We argue that the “</w:t>
      </w:r>
      <w:proofErr w:type="spellStart"/>
      <w:r>
        <w:t>historicality</w:t>
      </w:r>
      <w:proofErr w:type="spellEnd"/>
      <w:r>
        <w:t>” embedded in cohorts is a key driver of contemporaneous patterns of cultural choice, generating durable dispositions toward cultural participation among members of this generation that are still evident today.</w:t>
      </w:r>
      <w:r>
        <w:rPr>
          <w:i/>
        </w:rPr>
        <w:t xml:space="preserve">  </w:t>
      </w:r>
      <w:r>
        <w:br w:type="page"/>
      </w:r>
    </w:p>
    <w:p w14:paraId="4EF5F5A0" w14:textId="77777777" w:rsidR="00C67E15" w:rsidRDefault="00C67E15" w:rsidP="009F0EC6">
      <w:pPr>
        <w:pStyle w:val="normal0"/>
        <w:spacing w:line="240" w:lineRule="auto"/>
        <w:contextualSpacing w:val="0"/>
      </w:pPr>
    </w:p>
    <w:p w14:paraId="4CDCE1B4" w14:textId="77777777" w:rsidR="00C67E15" w:rsidRDefault="007D1B8E" w:rsidP="009F0EC6">
      <w:pPr>
        <w:pStyle w:val="Heading1"/>
        <w:contextualSpacing w:val="0"/>
      </w:pPr>
      <w:bookmarkStart w:id="20" w:name="_q9jord8ckic5" w:colFirst="0" w:colLast="0"/>
      <w:bookmarkEnd w:id="20"/>
      <w:r>
        <w:t>1.0 Introduction</w:t>
      </w:r>
    </w:p>
    <w:p w14:paraId="50CB836B" w14:textId="77777777" w:rsidR="00C67E15" w:rsidRDefault="007D1B8E" w:rsidP="009F0EC6">
      <w:pPr>
        <w:pStyle w:val="normal0"/>
        <w:spacing w:before="0"/>
        <w:contextualSpacing w:val="0"/>
      </w:pPr>
      <w:r>
        <w:t xml:space="preserve">A fundamental premise of classic work linking the production and consumption of culture is that historical changes in the institutional organization of artistic production, dissemination, and classification are linked to the “making” of distinct culture consuming publics (Bourdieu 1993; DiMaggio 1982; Levine 1988; Weber 1977). In spite of this foundational emphasis on between-domain linkages, recent work in cultural sociology has been characterized by an increasing segregation of research on production and consumption dynamics. On the production side, we have sophisticated studies of the emergence, consolidation, and transformation of production systems and associated cultural classification regimes for cultural goods (Baumann 2001; Allen and Lincoln 2004; Ferguson 1998; Johnston and Baumann 2007; Lena 2012; </w:t>
      </w:r>
      <w:proofErr w:type="spellStart"/>
      <w:r>
        <w:t>Rossman</w:t>
      </w:r>
      <w:proofErr w:type="spellEnd"/>
      <w:r>
        <w:t xml:space="preserve"> 2012). On the consumption side, attention has centered on putative transformations of elite consumption patterns summarized by the notion of “</w:t>
      </w:r>
      <w:proofErr w:type="spellStart"/>
      <w:r>
        <w:t>omnivorousness</w:t>
      </w:r>
      <w:proofErr w:type="spellEnd"/>
      <w:r>
        <w:t>” (Peterson 2005). This refers to the now well-established propensity on the part of contemporary elites to express a variety of cultural preferences and activities either within a single domain such as music or television (</w:t>
      </w:r>
      <w:proofErr w:type="spellStart"/>
      <w:r>
        <w:t>Lizardo</w:t>
      </w:r>
      <w:proofErr w:type="spellEnd"/>
      <w:r>
        <w:t xml:space="preserve"> and </w:t>
      </w:r>
      <w:proofErr w:type="spellStart"/>
      <w:r>
        <w:t>Skiles</w:t>
      </w:r>
      <w:proofErr w:type="spellEnd"/>
      <w:r>
        <w:t xml:space="preserve"> 2009; </w:t>
      </w:r>
      <w:proofErr w:type="spellStart"/>
      <w:r>
        <w:t>García-Álvarez</w:t>
      </w:r>
      <w:proofErr w:type="spellEnd"/>
      <w:r>
        <w:t>, Katz-</w:t>
      </w:r>
      <w:proofErr w:type="spellStart"/>
      <w:r>
        <w:t>Gerro</w:t>
      </w:r>
      <w:proofErr w:type="spellEnd"/>
      <w:r>
        <w:t xml:space="preserve">, and </w:t>
      </w:r>
      <w:proofErr w:type="spellStart"/>
      <w:r>
        <w:t>López-Sintas</w:t>
      </w:r>
      <w:proofErr w:type="spellEnd"/>
      <w:r>
        <w:t xml:space="preserve"> 2007) or, as in the analysis that follows, across the arts broadly defined (</w:t>
      </w:r>
      <w:proofErr w:type="spellStart"/>
      <w:r>
        <w:t>López-Sintas</w:t>
      </w:r>
      <w:proofErr w:type="spellEnd"/>
      <w:r>
        <w:t xml:space="preserve"> and Katz-</w:t>
      </w:r>
      <w:proofErr w:type="spellStart"/>
      <w:r>
        <w:t>Gerro</w:t>
      </w:r>
      <w:proofErr w:type="spellEnd"/>
      <w:r>
        <w:t xml:space="preserve"> 2005; DiMaggio and </w:t>
      </w:r>
      <w:proofErr w:type="spellStart"/>
      <w:r>
        <w:t>Mukhtar</w:t>
      </w:r>
      <w:proofErr w:type="spellEnd"/>
      <w:r>
        <w:t xml:space="preserve"> 2004). </w:t>
      </w:r>
    </w:p>
    <w:p w14:paraId="2A7D6F39" w14:textId="77777777" w:rsidR="00C67E15" w:rsidRDefault="007D1B8E" w:rsidP="009F0EC6">
      <w:pPr>
        <w:pStyle w:val="normal0"/>
        <w:spacing w:before="0"/>
        <w:contextualSpacing w:val="0"/>
      </w:pPr>
      <w:r>
        <w:t>If the major drawback of production-oriented studies is that they tend to leave implicit the consequences of production-side dynamics for patterns of cultural choice, a key weakness of consumption-oriented studies is that they tend to neglect the generative mechanisms for the genesis and maintenance of cultural tastes (</w:t>
      </w:r>
      <w:proofErr w:type="spellStart"/>
      <w:r>
        <w:t>Lizardo</w:t>
      </w:r>
      <w:proofErr w:type="spellEnd"/>
      <w:r>
        <w:t xml:space="preserve"> and </w:t>
      </w:r>
      <w:proofErr w:type="spellStart"/>
      <w:r>
        <w:t>Skiles</w:t>
      </w:r>
      <w:proofErr w:type="spellEnd"/>
      <w:r>
        <w:t xml:space="preserve"> 2012). As a result, there has been a relative lack of attention to the macro/micro linkage between institutional context and culture consumption patterns. In particular, work on the production of culture, save for some signal exceptions (e.g. Mears 2011; Lena 2012; </w:t>
      </w:r>
      <w:proofErr w:type="spellStart"/>
      <w:r>
        <w:t>Ocejo</w:t>
      </w:r>
      <w:proofErr w:type="spellEnd"/>
      <w:r>
        <w:t xml:space="preserve"> 2014), has lacked systematic examination to how the making of taste publics (</w:t>
      </w:r>
      <w:proofErr w:type="spellStart"/>
      <w:r>
        <w:t>Gans</w:t>
      </w:r>
      <w:proofErr w:type="spellEnd"/>
      <w:r>
        <w:t xml:space="preserve"> 1999) is contingent on processes embedded in configurations of institutional and organizational practices, themselves the product of specific historical trajectories. More specifically, there </w:t>
      </w:r>
      <w:r>
        <w:lastRenderedPageBreak/>
        <w:t>has been a relative dearth of work empirically examining how differences in patterns of artistic engagement may be reflective of the “</w:t>
      </w:r>
      <w:proofErr w:type="spellStart"/>
      <w:r>
        <w:t>historicality</w:t>
      </w:r>
      <w:proofErr w:type="spellEnd"/>
      <w:r>
        <w:t xml:space="preserve">” encoded in individuals as a result of their distinct generational experiences (Abbott 2016). From this perspective, the differential distribution of culture consumption propensities at any given time may be the result of “institutional legacy” effects linking contemporaneous differentiation in cultural engagement to historical factors operative at previous point in time (Fishman and </w:t>
      </w:r>
      <w:proofErr w:type="spellStart"/>
      <w:r>
        <w:t>Lizardo</w:t>
      </w:r>
      <w:proofErr w:type="spellEnd"/>
      <w:r>
        <w:t xml:space="preserve"> 2013).</w:t>
      </w:r>
    </w:p>
    <w:p w14:paraId="29209EE5" w14:textId="77777777" w:rsidR="00C67E15" w:rsidRPr="00664181" w:rsidRDefault="007D1B8E" w:rsidP="009F0EC6">
      <w:pPr>
        <w:pStyle w:val="normal0"/>
        <w:spacing w:before="0"/>
        <w:contextualSpacing w:val="0"/>
        <w:rPr>
          <w:color w:val="632423"/>
          <w:sz w:val="32"/>
        </w:rPr>
      </w:pPr>
      <w:r>
        <w:t xml:space="preserve">In this paper, we synthesize variegated lines of work pointing to linkages between production and consumption domains and institutional legacies embedded in unique cohort experiences (Abbott 2016; </w:t>
      </w:r>
      <w:proofErr w:type="spellStart"/>
      <w:r>
        <w:t>Greve</w:t>
      </w:r>
      <w:proofErr w:type="spellEnd"/>
      <w:r>
        <w:t xml:space="preserve"> and </w:t>
      </w:r>
      <w:proofErr w:type="spellStart"/>
      <w:r>
        <w:t>Rao</w:t>
      </w:r>
      <w:proofErr w:type="spellEnd"/>
      <w:r>
        <w:t xml:space="preserve"> 2014; Fishman and </w:t>
      </w:r>
      <w:proofErr w:type="spellStart"/>
      <w:r>
        <w:t>Lizardo</w:t>
      </w:r>
      <w:proofErr w:type="spellEnd"/>
      <w:r>
        <w:t xml:space="preserve"> 2013). Our argument is that historically durable dispositions towards “omnivorous” forms of arts consumption emerged for persons who experienced significant expansions in the availability, accessibility, and institutional valorization of categories of cultural goods (DiMaggio 2000). We demonstrate that there exists an empirically specifiable generational effect on the breadth of involvement in particular arts activities for specific groups of Americans. This is a contemporary behavioral pattern that can be traced to significant (e.g. “coming of age”) experiences, namely, institutional entrepreneurship within and around arts organizations during the New Deal, itself spurred by then unprecedented levels of public investment in American art. Our analysis thus provides a sustained empirical demonstration of the historically mediated effect of organizational practices and institutional legacies on patterns of cultural choice over time. </w:t>
      </w:r>
    </w:p>
    <w:p w14:paraId="637C9214" w14:textId="77777777" w:rsidR="00C67E15" w:rsidRPr="00664181" w:rsidRDefault="007D1B8E" w:rsidP="009F0EC6">
      <w:pPr>
        <w:pStyle w:val="Heading2"/>
        <w:contextualSpacing w:val="0"/>
        <w:jc w:val="both"/>
        <w:rPr>
          <w:sz w:val="26"/>
        </w:rPr>
      </w:pPr>
      <w:bookmarkStart w:id="21" w:name="_b7ulvax2gsl6" w:colFirst="0" w:colLast="0"/>
      <w:bookmarkEnd w:id="21"/>
      <w:r>
        <w:rPr>
          <w:sz w:val="26"/>
          <w:szCs w:val="26"/>
        </w:rPr>
        <w:t xml:space="preserve">1.1 Cultural </w:t>
      </w:r>
      <w:proofErr w:type="spellStart"/>
      <w:r>
        <w:rPr>
          <w:sz w:val="26"/>
          <w:szCs w:val="26"/>
        </w:rPr>
        <w:t>Omnivorousness</w:t>
      </w:r>
      <w:proofErr w:type="spellEnd"/>
      <w:r>
        <w:rPr>
          <w:sz w:val="26"/>
          <w:szCs w:val="26"/>
        </w:rPr>
        <w:t xml:space="preserve"> </w:t>
      </w:r>
    </w:p>
    <w:p w14:paraId="3CFCEFC5" w14:textId="77777777" w:rsidR="00C67E15" w:rsidRDefault="007D1B8E" w:rsidP="009F0EC6">
      <w:pPr>
        <w:pStyle w:val="normal0"/>
        <w:contextualSpacing w:val="0"/>
      </w:pPr>
      <w:r>
        <w:t xml:space="preserve">The American cultural omnivore was introduced in Peterson and </w:t>
      </w:r>
      <w:proofErr w:type="spellStart"/>
      <w:r>
        <w:t>Simkus’s</w:t>
      </w:r>
      <w:proofErr w:type="spellEnd"/>
      <w:r>
        <w:t xml:space="preserve"> (1992) analysis of elites’ musical preferences, although earlier studies suggested it would be found (</w:t>
      </w:r>
      <w:r>
        <w:rPr>
          <w:i/>
        </w:rPr>
        <w:t>cf.</w:t>
      </w:r>
      <w:r>
        <w:t xml:space="preserve"> </w:t>
      </w:r>
      <w:proofErr w:type="spellStart"/>
      <w:r>
        <w:t>Lynes</w:t>
      </w:r>
      <w:proofErr w:type="spellEnd"/>
      <w:r>
        <w:t xml:space="preserve"> 1954; </w:t>
      </w:r>
      <w:proofErr w:type="spellStart"/>
      <w:r>
        <w:t>Shils</w:t>
      </w:r>
      <w:proofErr w:type="spellEnd"/>
      <w:r>
        <w:t xml:space="preserve"> 1958; </w:t>
      </w:r>
      <w:proofErr w:type="spellStart"/>
      <w:r>
        <w:t>Wilensky</w:t>
      </w:r>
      <w:proofErr w:type="spellEnd"/>
      <w:r>
        <w:t xml:space="preserve"> 1964). The initial series of studies predominantly relied upon the SPPA’s data on cultural participation and taste, demonstrating a particular interest in music as a site of taste discrimination. Peterson and </w:t>
      </w:r>
      <w:proofErr w:type="spellStart"/>
      <w:r>
        <w:t>Simkus</w:t>
      </w:r>
      <w:proofErr w:type="spellEnd"/>
      <w:r>
        <w:t xml:space="preserve"> (1992) concluded that only a small minority of college-educated elite Americans remained committed to </w:t>
      </w:r>
      <w:proofErr w:type="spellStart"/>
      <w:r>
        <w:t>univorous</w:t>
      </w:r>
      <w:proofErr w:type="spellEnd"/>
      <w:r>
        <w:t xml:space="preserve"> tastes for “highbrow” culture (e.g., classical music and opera), and a growing majority enjoyed </w:t>
      </w:r>
      <w:r>
        <w:lastRenderedPageBreak/>
        <w:t xml:space="preserve">popular musical entertainment. They argued that “highbrow snobbery” had been replaced by “highbrow </w:t>
      </w:r>
      <w:proofErr w:type="spellStart"/>
      <w:r>
        <w:t>omnivorousness</w:t>
      </w:r>
      <w:proofErr w:type="spellEnd"/>
      <w:r>
        <w:t>.”</w:t>
      </w:r>
    </w:p>
    <w:p w14:paraId="4E871EA0" w14:textId="77777777" w:rsidR="00C67E15" w:rsidRDefault="007D1B8E" w:rsidP="009F0EC6">
      <w:pPr>
        <w:pStyle w:val="normal0"/>
        <w:contextualSpacing w:val="0"/>
      </w:pPr>
      <w:r>
        <w:t xml:space="preserve">Studies of cultural </w:t>
      </w:r>
      <w:proofErr w:type="spellStart"/>
      <w:r>
        <w:t>omnivorousness</w:t>
      </w:r>
      <w:proofErr w:type="spellEnd"/>
      <w:r>
        <w:t xml:space="preserve"> now comprise a vast, international, and wide-ranging literature featuring various definitions, conceptualizations, and </w:t>
      </w:r>
      <w:proofErr w:type="spellStart"/>
      <w:r>
        <w:t>operationalizations</w:t>
      </w:r>
      <w:proofErr w:type="spellEnd"/>
      <w:r>
        <w:t xml:space="preserve"> of the construct (for reviews, see Peterson 2005; </w:t>
      </w:r>
      <w:proofErr w:type="spellStart"/>
      <w:r>
        <w:t>Ollivier</w:t>
      </w:r>
      <w:proofErr w:type="spellEnd"/>
      <w:r>
        <w:t xml:space="preserve"> 2008; </w:t>
      </w:r>
      <w:proofErr w:type="spellStart"/>
      <w:r>
        <w:t>Robette</w:t>
      </w:r>
      <w:proofErr w:type="spellEnd"/>
      <w:r>
        <w:t xml:space="preserve"> and </w:t>
      </w:r>
      <w:proofErr w:type="spellStart"/>
      <w:r>
        <w:t>Roueff</w:t>
      </w:r>
      <w:proofErr w:type="spellEnd"/>
      <w:r>
        <w:t xml:space="preserve"> 2014).</w:t>
      </w:r>
      <w:r>
        <w:rPr>
          <w:vertAlign w:val="superscript"/>
        </w:rPr>
        <w:footnoteReference w:id="2"/>
      </w:r>
      <w:r>
        <w:t xml:space="preserve"> What all the definitions have in common is that </w:t>
      </w:r>
      <w:proofErr w:type="spellStart"/>
      <w:r>
        <w:t>omnivorousness</w:t>
      </w:r>
      <w:proofErr w:type="spellEnd"/>
      <w:r>
        <w:t xml:space="preserve"> is meant to capture the breadth of involvement of an individual in a given domain of cultural engagement (e.g., music, television, comedy) or the arts broadly defined. </w:t>
      </w:r>
    </w:p>
    <w:p w14:paraId="30AEB399" w14:textId="77777777" w:rsidR="00C67E15" w:rsidRDefault="007D1B8E" w:rsidP="009F0EC6">
      <w:pPr>
        <w:pStyle w:val="normal0"/>
        <w:contextualSpacing w:val="0"/>
      </w:pPr>
      <w:r>
        <w:t xml:space="preserve">Overall, different approaches to conceptualizing </w:t>
      </w:r>
      <w:proofErr w:type="spellStart"/>
      <w:r>
        <w:t>omnivorousness</w:t>
      </w:r>
      <w:proofErr w:type="spellEnd"/>
      <w:r>
        <w:t xml:space="preserve"> can be sorted along two dimensions: First, there is the distinction between measures of </w:t>
      </w:r>
      <w:proofErr w:type="spellStart"/>
      <w:r>
        <w:t>omnivorousness</w:t>
      </w:r>
      <w:proofErr w:type="spellEnd"/>
      <w:r>
        <w:t xml:space="preserve"> as concerned with taste judgments (e.g. of like or dislike) or more behavioral measures of cultural participation. Second, there is the issue as to whether </w:t>
      </w:r>
      <w:proofErr w:type="spellStart"/>
      <w:r>
        <w:t>omnivorousness</w:t>
      </w:r>
      <w:proofErr w:type="spellEnd"/>
      <w:r>
        <w:t xml:space="preserve"> is best thought of as breadth of engagement within a domain or as boundary crossing (across genres, domains, or hierarchies like “highbrow” and “popular”). As described by </w:t>
      </w:r>
      <w:proofErr w:type="spellStart"/>
      <w:r>
        <w:t>Ollivier</w:t>
      </w:r>
      <w:proofErr w:type="spellEnd"/>
      <w:r>
        <w:t xml:space="preserve"> (2008: 122</w:t>
      </w:r>
      <w:r>
        <w:rPr>
          <w:i/>
        </w:rPr>
        <w:t>ff</w:t>
      </w:r>
      <w:r>
        <w:t xml:space="preserve">), these dimensions define a possible space of conceptualizations of the </w:t>
      </w:r>
      <w:proofErr w:type="spellStart"/>
      <w:r>
        <w:t>omnivorousness</w:t>
      </w:r>
      <w:proofErr w:type="spellEnd"/>
      <w:r>
        <w:t xml:space="preserve"> construct. Rather than arguing about which conceptualization or measurement strategy is best, we follow a more pragmatic route. Our own approach follows </w:t>
      </w:r>
      <w:proofErr w:type="spellStart"/>
      <w:r>
        <w:t>López-Sintas</w:t>
      </w:r>
      <w:proofErr w:type="spellEnd"/>
      <w:r>
        <w:t xml:space="preserve"> and Katz-</w:t>
      </w:r>
      <w:proofErr w:type="spellStart"/>
      <w:r>
        <w:t>Gerro</w:t>
      </w:r>
      <w:proofErr w:type="spellEnd"/>
      <w:r>
        <w:t xml:space="preserve"> (2005) in investigating the phenomenon with respect to a range of activities that have received cultural legitimation and institutional supports as “the arts.” Thus, our conception of </w:t>
      </w:r>
      <w:proofErr w:type="spellStart"/>
      <w:r>
        <w:t>omnivorousness</w:t>
      </w:r>
      <w:proofErr w:type="spellEnd"/>
      <w:r>
        <w:t xml:space="preserve"> is both domain-specific (although allowing for quite a range of variation across forms), and focuses on patterns of consumption behavior.</w:t>
      </w:r>
    </w:p>
    <w:p w14:paraId="392CB565" w14:textId="77777777" w:rsidR="00C67E15" w:rsidRDefault="007D1B8E" w:rsidP="009F0EC6">
      <w:pPr>
        <w:pStyle w:val="normal0"/>
        <w:contextualSpacing w:val="0"/>
      </w:pPr>
      <w:r>
        <w:t xml:space="preserve">We begin by empirically considering whether Americans’ cultural </w:t>
      </w:r>
      <w:proofErr w:type="spellStart"/>
      <w:r>
        <w:t>omnivorousness</w:t>
      </w:r>
      <w:proofErr w:type="spellEnd"/>
      <w:r>
        <w:t xml:space="preserve">, centered </w:t>
      </w:r>
      <w:proofErr w:type="gramStart"/>
      <w:r>
        <w:t>around</w:t>
      </w:r>
      <w:proofErr w:type="gramEnd"/>
      <w:r>
        <w:t xml:space="preserve"> patterns of participation in a wide range of cultural forms related to the arts, exhibit cohort-specific effects. This possibility was raised in </w:t>
      </w:r>
      <w:proofErr w:type="spellStart"/>
      <w:r>
        <w:t>López-Sintas</w:t>
      </w:r>
      <w:proofErr w:type="spellEnd"/>
      <w:r>
        <w:t xml:space="preserve"> and Katz-</w:t>
      </w:r>
      <w:proofErr w:type="spellStart"/>
      <w:r>
        <w:t>Gerro’s</w:t>
      </w:r>
      <w:proofErr w:type="spellEnd"/>
      <w:r>
        <w:t xml:space="preserve"> (2005) study of behavioral indicators of the omnivorous disposition, taken from three waves (1982, 1992, </w:t>
      </w:r>
      <w:proofErr w:type="gramStart"/>
      <w:r>
        <w:t>2002</w:t>
      </w:r>
      <w:proofErr w:type="gramEnd"/>
      <w:r>
        <w:t xml:space="preserve">) of the Survey of Public Participation in the Arts (SPPA).  </w:t>
      </w:r>
      <w:proofErr w:type="spellStart"/>
      <w:r>
        <w:t>López-Sintas</w:t>
      </w:r>
      <w:proofErr w:type="spellEnd"/>
      <w:r>
        <w:t xml:space="preserve"> </w:t>
      </w:r>
      <w:r>
        <w:lastRenderedPageBreak/>
        <w:t>and Katz-</w:t>
      </w:r>
      <w:proofErr w:type="spellStart"/>
      <w:r>
        <w:t>Gerro</w:t>
      </w:r>
      <w:proofErr w:type="spellEnd"/>
      <w:r>
        <w:t xml:space="preserve"> (2005) note that, rather than observing an </w:t>
      </w:r>
      <w:proofErr w:type="spellStart"/>
      <w:r>
        <w:t>unilinear</w:t>
      </w:r>
      <w:proofErr w:type="spellEnd"/>
      <w:r>
        <w:t xml:space="preserve"> trend in which less omnivorous cohorts are replaced by more omnivorous ones, the “</w:t>
      </w:r>
      <w:proofErr w:type="spellStart"/>
      <w:r>
        <w:t>omnivorousness</w:t>
      </w:r>
      <w:proofErr w:type="spellEnd"/>
      <w:r>
        <w:t xml:space="preserve"> trend developed unevenly over the 20 years” and is characterized by period-specific effects. This reflects the null relationship between cohort and </w:t>
      </w:r>
      <w:proofErr w:type="spellStart"/>
      <w:r>
        <w:t>omnivorousness</w:t>
      </w:r>
      <w:proofErr w:type="spellEnd"/>
      <w:r>
        <w:t xml:space="preserve"> uncovered by Garcia-Alvarez, Katz-</w:t>
      </w:r>
      <w:proofErr w:type="spellStart"/>
      <w:r>
        <w:t>Gerro</w:t>
      </w:r>
      <w:proofErr w:type="spellEnd"/>
      <w:r>
        <w:t xml:space="preserve"> and </w:t>
      </w:r>
      <w:proofErr w:type="spellStart"/>
      <w:r>
        <w:t>López-Sintas</w:t>
      </w:r>
      <w:proofErr w:type="spellEnd"/>
      <w:r>
        <w:t xml:space="preserve"> (2007: 433). </w:t>
      </w:r>
    </w:p>
    <w:p w14:paraId="0337C21B" w14:textId="77777777" w:rsidR="00C67E15" w:rsidRPr="00664181" w:rsidRDefault="007D1B8E" w:rsidP="009F0EC6">
      <w:pPr>
        <w:pStyle w:val="Heading2"/>
        <w:contextualSpacing w:val="0"/>
        <w:jc w:val="both"/>
        <w:rPr>
          <w:sz w:val="26"/>
        </w:rPr>
      </w:pPr>
      <w:bookmarkStart w:id="23" w:name="_z6urqondgh" w:colFirst="0" w:colLast="0"/>
      <w:bookmarkEnd w:id="23"/>
      <w:r>
        <w:rPr>
          <w:sz w:val="26"/>
          <w:szCs w:val="26"/>
        </w:rPr>
        <w:t>1.2 Data and Methods</w:t>
      </w:r>
    </w:p>
    <w:p w14:paraId="0D1E3431" w14:textId="77777777" w:rsidR="00C67E15" w:rsidRDefault="007D1B8E" w:rsidP="009F0EC6">
      <w:pPr>
        <w:pStyle w:val="normal0"/>
        <w:contextualSpacing w:val="0"/>
      </w:pPr>
      <w:r>
        <w:t xml:space="preserve">As in previous work (e.g. DiMaggio and </w:t>
      </w:r>
      <w:proofErr w:type="spellStart"/>
      <w:r>
        <w:t>Mukhtar</w:t>
      </w:r>
      <w:proofErr w:type="spellEnd"/>
      <w:r>
        <w:t xml:space="preserve"> 2004; </w:t>
      </w:r>
      <w:proofErr w:type="spellStart"/>
      <w:r>
        <w:t>López-Sintas</w:t>
      </w:r>
      <w:proofErr w:type="spellEnd"/>
      <w:r>
        <w:t xml:space="preserve"> and Katz-</w:t>
      </w:r>
      <w:proofErr w:type="spellStart"/>
      <w:r>
        <w:t>Gerro</w:t>
      </w:r>
      <w:proofErr w:type="spellEnd"/>
      <w:r>
        <w:t xml:space="preserve"> 2005), we rely on the cumulative data file containing six waves of </w:t>
      </w:r>
      <w:proofErr w:type="gramStart"/>
      <w:r>
        <w:t xml:space="preserve">the </w:t>
      </w:r>
      <w:proofErr w:type="spellStart"/>
      <w:r>
        <w:t>the</w:t>
      </w:r>
      <w:proofErr w:type="spellEnd"/>
      <w:proofErr w:type="gramEnd"/>
      <w:r>
        <w:t xml:space="preserve"> Survey of Public Participation in the Arts (SPPA), covering 30 years (1982-2012).</w:t>
      </w:r>
      <w:r>
        <w:rPr>
          <w:vertAlign w:val="superscript"/>
        </w:rPr>
        <w:footnoteReference w:id="3"/>
      </w:r>
      <w:r>
        <w:t xml:space="preserve"> The SPPA is sponsored by the Research Division of the National Endowment for the Arts (</w:t>
      </w:r>
      <w:hyperlink r:id="rId10">
        <w:r>
          <w:rPr>
            <w:color w:val="1155CC"/>
            <w:u w:val="single"/>
          </w:rPr>
          <w:t>http://www.nea.gov</w:t>
        </w:r>
      </w:hyperlink>
      <w:r>
        <w:t xml:space="preserve">), and is designed to capture Americans' participation in the performing, visual, and literary arts; it constitutes the largest recurring cross-sectional survey of adult arts participation in the U.S.  The 1982, 1985, and 1992 surveys were conducted by the Bureau of the Census as a supplement to the National Crime Survey (NCS). The 1997 survey was conducted by </w:t>
      </w:r>
      <w:proofErr w:type="spellStart"/>
      <w:r>
        <w:t>Westat</w:t>
      </w:r>
      <w:proofErr w:type="spellEnd"/>
      <w:r>
        <w:t xml:space="preserve">, a private contractor using a different sampling scheme, so it was not included as part of the cumulative data file. The </w:t>
      </w:r>
      <w:proofErr w:type="gramStart"/>
      <w:r>
        <w:t>2002, 2008, and 2012 surveys were conducted by the Bureau of Labor Statistics as a supplement to the Current Population Survey</w:t>
      </w:r>
      <w:proofErr w:type="gramEnd"/>
      <w:r>
        <w:t>. The SPPA 1982-2008 cumulative file was produced to facilitate trend analysis such as the one that we report here.</w:t>
      </w:r>
      <w:r>
        <w:rPr>
          <w:vertAlign w:val="superscript"/>
        </w:rPr>
        <w:footnoteReference w:id="4"/>
      </w:r>
      <w:r>
        <w:t xml:space="preserve"> </w:t>
      </w:r>
    </w:p>
    <w:p w14:paraId="5AC4FFFD" w14:textId="77777777" w:rsidR="00C67E15" w:rsidRDefault="007D1B8E" w:rsidP="009F0EC6">
      <w:pPr>
        <w:pStyle w:val="normal0"/>
        <w:contextualSpacing w:val="0"/>
      </w:pPr>
      <w:r>
        <w:t xml:space="preserve">The SPPA is appropriate for our purpose for several reasons. First, these data have been used to establish a good portion of the research on </w:t>
      </w:r>
      <w:proofErr w:type="spellStart"/>
      <w:r>
        <w:t>omnivorousness</w:t>
      </w:r>
      <w:proofErr w:type="spellEnd"/>
      <w:r>
        <w:t xml:space="preserve"> in the U.S.; in order to advance research in this tradition we utilize the same data source. In keeping with current trends in the field, our operationalization makes use of all the key cultural consumption items in the SPPA, and captures breadth and intensity of engagement. While </w:t>
      </w:r>
      <w:r>
        <w:lastRenderedPageBreak/>
        <w:t>these eight items reflect only a portion of the cultural activities enjoyed by Americans (of any birth cohort), the SPPA constitutes the largest recurring cross-sectional survey of adults arts participation in the U.S., and is thus the most likely to contain traces of continuity and differentiation in the long historical experience encoded in cohorts, information that is critical to our argument.</w:t>
      </w:r>
    </w:p>
    <w:p w14:paraId="529D629E" w14:textId="77777777" w:rsidR="00C67E15" w:rsidRDefault="007D1B8E" w:rsidP="009F0EC6">
      <w:pPr>
        <w:pStyle w:val="normal0"/>
        <w:contextualSpacing w:val="0"/>
      </w:pPr>
      <w:r>
        <w:t xml:space="preserve">These data include genres with stable canons that enjoy generations of fans (classical, ballet, opera) and </w:t>
      </w:r>
      <w:proofErr w:type="gramStart"/>
      <w:r>
        <w:t>those which</w:t>
      </w:r>
      <w:proofErr w:type="gramEnd"/>
      <w:r>
        <w:t xml:space="preserve"> enjoyed recent artistic legitimation efforts (jazz, musicals, craft fairs and festivals). That is these activities can be differentiated by levels of prestige and length of time at which they have been institutionalized as “serious art” (e.g. by being included in university curricula or by drawing revenue outside of commercial establishments): “with classical music, museum art, opera, and ballet at the top, followed by...jazz and musical theatre, and finally art...craft fairs” and finally historical sites “institutionally orthogonal but aimed at a broad audience” (DiMaggio and </w:t>
      </w:r>
      <w:proofErr w:type="spellStart"/>
      <w:r>
        <w:t>Mukhtar</w:t>
      </w:r>
      <w:proofErr w:type="spellEnd"/>
      <w:r>
        <w:t xml:space="preserve"> 2004: 175). The process of artistic legitimation, which takes place when elites use their familiarity with, and training in, artistic classification to appropriate new works into legitimate categories, is one outcome of </w:t>
      </w:r>
      <w:proofErr w:type="spellStart"/>
      <w:r>
        <w:t>omnivorousness</w:t>
      </w:r>
      <w:proofErr w:type="spellEnd"/>
      <w:r>
        <w:t xml:space="preserve"> (Bourdieu 1987, 1993, 1996).</w:t>
      </w:r>
    </w:p>
    <w:p w14:paraId="7ADD3085" w14:textId="77777777" w:rsidR="00C67E15" w:rsidRDefault="007D1B8E" w:rsidP="009F0EC6">
      <w:pPr>
        <w:pStyle w:val="normal0"/>
        <w:contextualSpacing w:val="0"/>
      </w:pPr>
      <w:r>
        <w:t xml:space="preserve">To remain in dialogue with this body of research we did not go in search of data on “Americans’ cultural tastes,” broadly conceived, rather, we required data that captured participation in those cultural forms that benefited from aesthetic legitimation processes in the 20th century. The SPPA is ideal for these purposes. Any discovery of the enabling effect of cohort membership on engagement across these activities would provide strong evidence for generational effects on </w:t>
      </w:r>
      <w:proofErr w:type="spellStart"/>
      <w:r>
        <w:t>omnivorousness</w:t>
      </w:r>
      <w:proofErr w:type="spellEnd"/>
      <w:r>
        <w:t>.</w:t>
      </w:r>
    </w:p>
    <w:p w14:paraId="129B5874" w14:textId="77777777" w:rsidR="00C67E15" w:rsidRPr="00664181" w:rsidRDefault="007D1B8E" w:rsidP="009F0EC6">
      <w:pPr>
        <w:pStyle w:val="Heading2"/>
        <w:contextualSpacing w:val="0"/>
        <w:jc w:val="both"/>
        <w:rPr>
          <w:sz w:val="26"/>
        </w:rPr>
      </w:pPr>
      <w:bookmarkStart w:id="25" w:name="_r16b2l4yxy8t" w:colFirst="0" w:colLast="0"/>
      <w:bookmarkEnd w:id="25"/>
      <w:r>
        <w:rPr>
          <w:sz w:val="26"/>
          <w:szCs w:val="26"/>
        </w:rPr>
        <w:t>1.3 Generations and Taste Publics</w:t>
      </w:r>
    </w:p>
    <w:p w14:paraId="6C9D109C" w14:textId="77777777" w:rsidR="00C67E15" w:rsidRDefault="007D1B8E" w:rsidP="009F0EC6">
      <w:pPr>
        <w:pStyle w:val="normal0"/>
        <w:contextualSpacing w:val="0"/>
      </w:pPr>
      <w:r>
        <w:t xml:space="preserve">The concept of generations, as classically defined by Mannheim (1952), refers to age cohorts that experience the same major events in their lives and subsequently develop similar dispositions and worldviews (Ryder 1965). Mannheim’s generational thesis has been applied to empirical material mainly in the study of collective memory (e.g. Schuman and Scott 1989), and knowledge of important public events (e.g. Schuman and Corning 2000). We argue that this theoretical lens can be used to identify </w:t>
      </w:r>
      <w:r>
        <w:rPr>
          <w:i/>
        </w:rPr>
        <w:t>culture consumption generations</w:t>
      </w:r>
      <w:r>
        <w:t xml:space="preserve"> whose </w:t>
      </w:r>
      <w:r>
        <w:lastRenderedPageBreak/>
        <w:t>dispositions are shaped by historically located organizational features and institutional processes.</w:t>
      </w:r>
    </w:p>
    <w:p w14:paraId="609332E5" w14:textId="5E872F16" w:rsidR="00C67E15" w:rsidRDefault="007D1B8E" w:rsidP="009F0EC6">
      <w:pPr>
        <w:pStyle w:val="normal0"/>
        <w:contextualSpacing w:val="0"/>
      </w:pPr>
      <w:r>
        <w:t xml:space="preserve">Here we heed recent calls for cultural sociologists to move beyond an emphasis on contemporaneous socio-demographic effects on patterns of cultural choice and towards a more concerted consideration of </w:t>
      </w:r>
      <w:r>
        <w:rPr>
          <w:i/>
        </w:rPr>
        <w:t>temporality</w:t>
      </w:r>
      <w:r>
        <w:t xml:space="preserve"> at both the individual and </w:t>
      </w:r>
      <w:proofErr w:type="spellStart"/>
      <w:r>
        <w:t>macrosocial</w:t>
      </w:r>
      <w:proofErr w:type="spellEnd"/>
      <w:r>
        <w:t xml:space="preserve"> levels. The increasing availability of data on repeated cross-sections of culture consumers has opened up this analytic potential, especially when it comes to the “omnivore t</w:t>
      </w:r>
      <w:r w:rsidR="009F0EC6">
        <w:t xml:space="preserve">hesis”  (Reeves 2015: 116-117; </w:t>
      </w:r>
      <w:proofErr w:type="spellStart"/>
      <w:r>
        <w:t>López-Sintas</w:t>
      </w:r>
      <w:proofErr w:type="spellEnd"/>
      <w:r>
        <w:t xml:space="preserve"> and Katz-</w:t>
      </w:r>
      <w:proofErr w:type="spellStart"/>
      <w:r>
        <w:t>Gerro</w:t>
      </w:r>
      <w:proofErr w:type="spellEnd"/>
      <w:r>
        <w:t xml:space="preserve"> 2005). We see an opportunity to conjoin this line of work with recent calls to consider the “</w:t>
      </w:r>
      <w:proofErr w:type="spellStart"/>
      <w:r>
        <w:t>historicality</w:t>
      </w:r>
      <w:proofErr w:type="spellEnd"/>
      <w:r>
        <w:t xml:space="preserve">” encoded in groups via their dispositions as a powerful historical force, thereby linking the institutional past with the behavioral present (Abbott 2016: 10; </w:t>
      </w:r>
      <w:proofErr w:type="spellStart"/>
      <w:r>
        <w:t>Greve</w:t>
      </w:r>
      <w:proofErr w:type="spellEnd"/>
      <w:r>
        <w:t xml:space="preserve"> and </w:t>
      </w:r>
      <w:proofErr w:type="spellStart"/>
      <w:r>
        <w:t>Rao</w:t>
      </w:r>
      <w:proofErr w:type="spellEnd"/>
      <w:r>
        <w:t xml:space="preserve"> 2014; Fishman and </w:t>
      </w:r>
      <w:proofErr w:type="spellStart"/>
      <w:r>
        <w:t>Lizardo</w:t>
      </w:r>
      <w:proofErr w:type="spellEnd"/>
      <w:r>
        <w:t xml:space="preserve"> 2013). Investigation of the features of omnivorous cultural consumption may serve as an ideal </w:t>
      </w:r>
      <w:proofErr w:type="spellStart"/>
      <w:r>
        <w:t>testbed</w:t>
      </w:r>
      <w:proofErr w:type="spellEnd"/>
      <w:r>
        <w:t xml:space="preserve"> for this process, as periods of intensive investment in the arts are often accompanied by the legitimation of novel aesthetic objects; persons who came of age during these periods may “carry over” such dispositions to their engagement with art over time.</w:t>
      </w:r>
    </w:p>
    <w:p w14:paraId="0A146FB5" w14:textId="77777777" w:rsidR="00C67E15" w:rsidRPr="00664181" w:rsidRDefault="007D1B8E" w:rsidP="009F0EC6">
      <w:pPr>
        <w:pStyle w:val="Heading2"/>
        <w:contextualSpacing w:val="0"/>
        <w:jc w:val="both"/>
        <w:rPr>
          <w:sz w:val="26"/>
        </w:rPr>
      </w:pPr>
      <w:bookmarkStart w:id="26" w:name="_frqpym1qkqyq" w:colFirst="0" w:colLast="0"/>
      <w:bookmarkEnd w:id="26"/>
      <w:r>
        <w:rPr>
          <w:sz w:val="26"/>
          <w:szCs w:val="26"/>
        </w:rPr>
        <w:t>1.4 Outcome: Arts Participation in “Core Activities”</w:t>
      </w:r>
    </w:p>
    <w:p w14:paraId="4D0E378A" w14:textId="77777777" w:rsidR="00C67E15" w:rsidRDefault="007D1B8E" w:rsidP="009F0EC6">
      <w:pPr>
        <w:pStyle w:val="normal0"/>
        <w:contextualSpacing w:val="0"/>
      </w:pPr>
      <w:r>
        <w:t xml:space="preserve">Our goal is to ascertain the possible existence of generational (cohort) effects in engagement with the arts; given the existence of these effects, our goal is to identify their pattern. The SPPA tracks arts participation by, among other things, asking respondents about whether they have engaged in a series of activities during the last 12 months. Consistent with previous work (e.g. DiMaggio and </w:t>
      </w:r>
      <w:proofErr w:type="spellStart"/>
      <w:r>
        <w:t>Mukhtar</w:t>
      </w:r>
      <w:proofErr w:type="spellEnd"/>
      <w:r>
        <w:t xml:space="preserve"> 2004; </w:t>
      </w:r>
      <w:proofErr w:type="spellStart"/>
      <w:r>
        <w:t>López-Sintas</w:t>
      </w:r>
      <w:proofErr w:type="spellEnd"/>
      <w:r>
        <w:t xml:space="preserve"> and Katz-</w:t>
      </w:r>
      <w:proofErr w:type="spellStart"/>
      <w:r>
        <w:t>Gerro</w:t>
      </w:r>
      <w:proofErr w:type="spellEnd"/>
      <w:r>
        <w:t xml:space="preserve"> 2005), we focus on the SPPA’s ‘‘core’’ items: questions about attendance at classical music concerts, jazz performances, opera, musical theatre, ballet, visual art exhibits at museums or galleries, arts and craft fairs, and historic sites. Respondents choose either “yes” or “no,” with residual codes for “don’t know” and “refused.”  We analyze the same data source and behavioral indicators of engagement as </w:t>
      </w:r>
      <w:proofErr w:type="spellStart"/>
      <w:r>
        <w:t>López-Sintas</w:t>
      </w:r>
      <w:proofErr w:type="spellEnd"/>
      <w:r>
        <w:t xml:space="preserve"> and Katz-</w:t>
      </w:r>
      <w:proofErr w:type="spellStart"/>
      <w:r>
        <w:t>Gerro</w:t>
      </w:r>
      <w:proofErr w:type="spellEnd"/>
      <w:r>
        <w:t xml:space="preserve"> (2005), but augment the cumulative data set with the two most recent survey waves (2008 and 2012), while relying on a technique explicitly developed to tease out cohort from period and age effects in substantively meaningful ways (Yang and Land 2006, 2008; Reeves 2015). Until </w:t>
      </w:r>
      <w:r>
        <w:lastRenderedPageBreak/>
        <w:t xml:space="preserve">recently, scholars lacked both data and means to adjudicate between cohort and generational effects on outcomes like taste </w:t>
      </w:r>
      <w:proofErr w:type="spellStart"/>
      <w:r>
        <w:t>omnivorousness</w:t>
      </w:r>
      <w:proofErr w:type="spellEnd"/>
      <w:r>
        <w:t>, and this article takes advantage of advances in both domains.</w:t>
      </w:r>
    </w:p>
    <w:p w14:paraId="3575793B" w14:textId="77777777" w:rsidR="00C67E15" w:rsidRDefault="007D1B8E" w:rsidP="009F0EC6">
      <w:pPr>
        <w:pStyle w:val="normal0"/>
        <w:contextualSpacing w:val="0"/>
      </w:pPr>
      <w:r>
        <w:t xml:space="preserve">Table 1 shows the percentage of respondents who reported having attended each activity for all </w:t>
      </w:r>
      <w:proofErr w:type="gramStart"/>
      <w:r>
        <w:t>six survey</w:t>
      </w:r>
      <w:proofErr w:type="gramEnd"/>
      <w:r>
        <w:t xml:space="preserve"> waves. The table also reports the number of respondents for whom we have non-missing data on each item in each year. We fit logistic regression models to each separately.</w:t>
      </w:r>
    </w:p>
    <w:p w14:paraId="76B8ACF0" w14:textId="77777777" w:rsidR="00C67E15" w:rsidRDefault="00C67E15" w:rsidP="009F0EC6">
      <w:pPr>
        <w:pStyle w:val="normal0"/>
        <w:contextualSpacing w:val="0"/>
      </w:pPr>
    </w:p>
    <w:p w14:paraId="25CF7198" w14:textId="77777777" w:rsidR="00C67E15" w:rsidRDefault="007D1B8E" w:rsidP="009F0EC6">
      <w:pPr>
        <w:pStyle w:val="normal0"/>
        <w:contextualSpacing w:val="0"/>
        <w:jc w:val="center"/>
      </w:pPr>
      <w:r>
        <w:t>[Table 1 About Here]</w:t>
      </w:r>
    </w:p>
    <w:p w14:paraId="2245982E" w14:textId="77777777" w:rsidR="00C67E15" w:rsidRPr="00664181" w:rsidRDefault="007D1B8E" w:rsidP="009F0EC6">
      <w:pPr>
        <w:pStyle w:val="Heading2"/>
        <w:contextualSpacing w:val="0"/>
        <w:jc w:val="both"/>
        <w:rPr>
          <w:sz w:val="26"/>
        </w:rPr>
      </w:pPr>
      <w:bookmarkStart w:id="27" w:name="_yggxf1qhfyp" w:colFirst="0" w:colLast="0"/>
      <w:bookmarkEnd w:id="27"/>
      <w:r>
        <w:rPr>
          <w:sz w:val="26"/>
          <w:szCs w:val="26"/>
        </w:rPr>
        <w:t>1.5 Uncovering Cohort Effects</w:t>
      </w:r>
    </w:p>
    <w:p w14:paraId="62EBECE2" w14:textId="77777777" w:rsidR="00C67E15" w:rsidRDefault="007D1B8E" w:rsidP="00664181">
      <w:pPr>
        <w:pStyle w:val="normal0"/>
        <w:spacing w:after="200"/>
        <w:contextualSpacing w:val="0"/>
      </w:pPr>
      <w:r>
        <w:t xml:space="preserve">Though simple conceptually, the estimation of cohort (generational) effects is not a straightforward exercise. The issue is the identification problem posed by the deterministic relationship between age, period, and cohort, as any one of the three factors is a linear combination of the other two (e.g., period = cohort + age; cohort = period - age; age = period - cohort); these three pieces of information are really only two pieces of information. This makes it impossible to separate the three effects in an unambiguous way within the context of a regression model. There are no magical solutions to this problem and no assumption-free ways of solving it. Yang and Land (2006) have proposed an approach that makes reasonable assumptions, grounded in a sociological conceptualization of the underlying substantive meaning of cohorts and periods as contextual </w:t>
      </w:r>
      <w:r>
        <w:rPr>
          <w:i/>
        </w:rPr>
        <w:t>groupings</w:t>
      </w:r>
      <w:r>
        <w:t xml:space="preserve"> of persons defined by a common event and experiences (Ryder 1965).</w:t>
      </w:r>
    </w:p>
    <w:p w14:paraId="0FEB8195" w14:textId="77777777" w:rsidR="00C67E15" w:rsidRDefault="007D1B8E" w:rsidP="00664181">
      <w:pPr>
        <w:pStyle w:val="normal0"/>
        <w:spacing w:after="200"/>
        <w:contextualSpacing w:val="0"/>
      </w:pPr>
      <w:r>
        <w:t xml:space="preserve">Substantively, Yang and Land’s (2006) hierarchical age-period-cohort (HAPC) approach to breaking the linear dependency between age, period, and cohort relies on conceiving of age as an </w:t>
      </w:r>
      <w:r>
        <w:rPr>
          <w:i/>
        </w:rPr>
        <w:t>individual</w:t>
      </w:r>
      <w:r>
        <w:t xml:space="preserve"> characteristic that is specific to each sampled respondent. Consistent with our goal of uncovering omnivorous generations, an individual’s assignment to a given cohort (and period) is specified as a </w:t>
      </w:r>
      <w:r>
        <w:rPr>
          <w:i/>
        </w:rPr>
        <w:t>contextual</w:t>
      </w:r>
      <w:r>
        <w:t xml:space="preserve"> effect within a multilevel </w:t>
      </w:r>
      <w:proofErr w:type="spellStart"/>
      <w:r>
        <w:t>modelling</w:t>
      </w:r>
      <w:proofErr w:type="spellEnd"/>
      <w:r>
        <w:t xml:space="preserve"> framework. The partially overlapping nature of cohort and period memberships implies that, in the context of a repeated cross-sections survey design (such as the cumulative SPPA), </w:t>
      </w:r>
      <w:r>
        <w:lastRenderedPageBreak/>
        <w:t>time periods are not fully nested within cohorts or vice versa (as in standard multilevel models in which persons are embedded within fully overlapping contexts such as schools and neighborhoods). Rather, one obtains a “cross-classified” structure with individuals nested within cells defined by birth cohorts and time period.</w:t>
      </w:r>
    </w:p>
    <w:p w14:paraId="58D6DEAF" w14:textId="77777777" w:rsidR="00C67E15" w:rsidRDefault="007D1B8E" w:rsidP="00664181">
      <w:pPr>
        <w:pStyle w:val="normal0"/>
        <w:spacing w:after="200"/>
        <w:contextualSpacing w:val="0"/>
      </w:pPr>
      <w:r>
        <w:t>Statistically, this yields the Cross-Classified Random Effects Models (CCREM</w:t>
      </w:r>
      <w:proofErr w:type="gramStart"/>
      <w:r>
        <w:t>;  see</w:t>
      </w:r>
      <w:proofErr w:type="gramEnd"/>
      <w:r>
        <w:t xml:space="preserve"> Yang and Land 2006, 2008 for technical details). The cohort effect thus captures that which is distinctive of each generation and is carried forward via historical encoding; period effects capture purely contemporaneous influences, while age is held constant as an individual level trait. Accordingly, we specify a crossed random-effects model for binary outcomes of the general form:</w:t>
      </w:r>
    </w:p>
    <w:p w14:paraId="4629CA32" w14:textId="03264D5E" w:rsidR="00C67E15" w:rsidRDefault="00664181" w:rsidP="00664181">
      <w:pPr>
        <w:pStyle w:val="normal0"/>
        <w:spacing w:after="200"/>
        <w:contextualSpacing w:val="0"/>
      </w:pPr>
      <w:hyperlink r:id="rId11">
        <w:r w:rsidR="007D1B8E">
          <w:t xml:space="preserve">   </w:t>
        </w:r>
      </w:hyperlink>
      <w:r w:rsidR="007D1B8E">
        <w:tab/>
      </w:r>
      <w:r>
        <w:rPr>
          <w:noProof/>
        </w:rPr>
        <w:drawing>
          <wp:inline distT="19050" distB="19050" distL="19050" distR="19050" wp14:anchorId="13E82F5F" wp14:editId="4D6E0097">
            <wp:extent cx="3429000" cy="482600"/>
            <wp:effectExtent l="0" t="0" r="0" b="0"/>
            <wp:docPr id="5" name="image04.png"/>
            <wp:cNvGraphicFramePr/>
            <a:graphic xmlns:a="http://schemas.openxmlformats.org/drawingml/2006/main">
              <a:graphicData uri="http://schemas.openxmlformats.org/drawingml/2006/picture">
                <pic:pic xmlns:pic="http://schemas.openxmlformats.org/drawingml/2006/picture">
                  <pic:nvPicPr>
                    <pic:cNvPr id="0" name="image04.png"/>
                    <pic:cNvPicPr preferRelativeResize="0"/>
                  </pic:nvPicPr>
                  <pic:blipFill>
                    <a:blip r:embed="rId12"/>
                    <a:srcRect/>
                    <a:stretch>
                      <a:fillRect/>
                    </a:stretch>
                  </pic:blipFill>
                  <pic:spPr>
                    <a:xfrm>
                      <a:off x="0" y="0"/>
                      <a:ext cx="3429000" cy="482600"/>
                    </a:xfrm>
                    <a:prstGeom prst="rect">
                      <a:avLst/>
                    </a:prstGeom>
                    <a:ln/>
                  </pic:spPr>
                </pic:pic>
              </a:graphicData>
            </a:graphic>
          </wp:inline>
        </w:drawing>
      </w:r>
      <w:r w:rsidR="007D1B8E">
        <w:tab/>
      </w:r>
      <w:r w:rsidR="007D1B8E">
        <w:tab/>
      </w:r>
      <w:commentRangeStart w:id="28"/>
      <w:r w:rsidR="007D1B8E">
        <w:t>(1)</w:t>
      </w:r>
      <w:commentRangeEnd w:id="28"/>
      <w:r>
        <w:rPr>
          <w:rStyle w:val="CommentReference"/>
        </w:rPr>
        <w:commentReference w:id="28"/>
      </w:r>
    </w:p>
    <w:p w14:paraId="4C3ECC36" w14:textId="77777777" w:rsidR="00C67E15" w:rsidRDefault="007D1B8E" w:rsidP="009F0EC6">
      <w:pPr>
        <w:pStyle w:val="normal0"/>
        <w:contextualSpacing w:val="0"/>
      </w:pPr>
      <w:r>
        <w:t xml:space="preserve">Where </w:t>
      </w:r>
      <w:proofErr w:type="spellStart"/>
      <w:r>
        <w:rPr>
          <w:i/>
        </w:rPr>
        <w:t>Y</w:t>
      </w:r>
      <w:r>
        <w:rPr>
          <w:i/>
          <w:vertAlign w:val="subscript"/>
        </w:rPr>
        <w:t>ijkl</w:t>
      </w:r>
      <w:proofErr w:type="spellEnd"/>
      <w:r>
        <w:t xml:space="preserve"> = 1 if individual </w:t>
      </w:r>
      <w:proofErr w:type="spellStart"/>
      <w:r>
        <w:rPr>
          <w:i/>
        </w:rPr>
        <w:t>i</w:t>
      </w:r>
      <w:proofErr w:type="spellEnd"/>
      <w:r>
        <w:t xml:space="preserve">, assigned to cohort group </w:t>
      </w:r>
      <w:r>
        <w:rPr>
          <w:i/>
        </w:rPr>
        <w:t>j</w:t>
      </w:r>
      <w:r>
        <w:t xml:space="preserve">, interviewed at survey wave </w:t>
      </w:r>
      <w:r>
        <w:rPr>
          <w:i/>
        </w:rPr>
        <w:t xml:space="preserve">k </w:t>
      </w:r>
      <w:r>
        <w:t xml:space="preserve">reports having attended the </w:t>
      </w:r>
      <w:proofErr w:type="spellStart"/>
      <w:r>
        <w:rPr>
          <w:i/>
        </w:rPr>
        <w:t>l</w:t>
      </w:r>
      <w:r>
        <w:rPr>
          <w:i/>
          <w:vertAlign w:val="superscript"/>
        </w:rPr>
        <w:t>th</w:t>
      </w:r>
      <w:proofErr w:type="spellEnd"/>
      <w:r>
        <w:rPr>
          <w:i/>
          <w:vertAlign w:val="superscript"/>
        </w:rPr>
        <w:t xml:space="preserve"> </w:t>
      </w:r>
      <w:r>
        <w:t xml:space="preserve">arts participation activity; </w:t>
      </w:r>
      <w:r>
        <w:rPr>
          <w:rFonts w:ascii="Times New Roman" w:eastAsia="Times New Roman" w:hAnsi="Times New Roman" w:cs="Times New Roman"/>
          <w:i/>
        </w:rPr>
        <w:t>υ</w:t>
      </w:r>
      <w:r>
        <w:rPr>
          <w:i/>
          <w:vertAlign w:val="subscript"/>
        </w:rPr>
        <w:t>0j</w:t>
      </w:r>
      <w:r>
        <w:rPr>
          <w:vertAlign w:val="subscript"/>
        </w:rPr>
        <w:t xml:space="preserve"> </w:t>
      </w:r>
      <w:r>
        <w:t xml:space="preserve">is the random effect for the </w:t>
      </w:r>
      <w:proofErr w:type="spellStart"/>
      <w:r>
        <w:rPr>
          <w:i/>
        </w:rPr>
        <w:t>jth</w:t>
      </w:r>
      <w:proofErr w:type="spellEnd"/>
      <w:r>
        <w:t xml:space="preserve"> cohort group (at 5 year intervals), </w:t>
      </w:r>
      <w:r>
        <w:rPr>
          <w:rFonts w:ascii="Times New Roman" w:eastAsia="Times New Roman" w:hAnsi="Times New Roman" w:cs="Times New Roman"/>
          <w:i/>
        </w:rPr>
        <w:t>υ</w:t>
      </w:r>
      <w:r>
        <w:rPr>
          <w:i/>
          <w:vertAlign w:val="subscript"/>
        </w:rPr>
        <w:t>0k</w:t>
      </w:r>
      <w:r>
        <w:t xml:space="preserve"> is the random effect for </w:t>
      </w:r>
      <w:proofErr w:type="spellStart"/>
      <w:r>
        <w:rPr>
          <w:i/>
        </w:rPr>
        <w:t>k</w:t>
      </w:r>
      <w:r>
        <w:rPr>
          <w:i/>
          <w:vertAlign w:val="superscript"/>
        </w:rPr>
        <w:t>th</w:t>
      </w:r>
      <w:proofErr w:type="spellEnd"/>
      <w:r>
        <w:rPr>
          <w:i/>
          <w:vertAlign w:val="superscript"/>
        </w:rPr>
        <w:t xml:space="preserve"> </w:t>
      </w:r>
      <w:r>
        <w:t xml:space="preserve">period group (survey year), </w:t>
      </w:r>
      <w:r>
        <w:rPr>
          <w:i/>
        </w:rPr>
        <w:t xml:space="preserve">age </w:t>
      </w:r>
      <w:r>
        <w:t xml:space="preserve">is the respondent’s age centered at (the grand mean of) 45 years, </w:t>
      </w:r>
      <w:r>
        <w:rPr>
          <w:i/>
        </w:rPr>
        <w:t>age</w:t>
      </w:r>
      <w:r>
        <w:rPr>
          <w:i/>
          <w:vertAlign w:val="superscript"/>
        </w:rPr>
        <w:t>2</w:t>
      </w:r>
      <w:r>
        <w:t xml:space="preserve"> is the square of the respondent’s age, the betas are fixed regression weights, and X</w:t>
      </w:r>
      <w:r>
        <w:rPr>
          <w:vertAlign w:val="subscript"/>
        </w:rPr>
        <w:t>i</w:t>
      </w:r>
      <w:r>
        <w:t xml:space="preserve"> is a vector of individual level covariates. The result of interest in this model will be an estimate of the age-adjusted likelihood of the group level (cohort) effect for each arts participation activity. Positive (negative) </w:t>
      </w:r>
      <w:r>
        <w:rPr>
          <w:i/>
        </w:rPr>
        <w:t>deviations</w:t>
      </w:r>
      <w:r>
        <w:t xml:space="preserve"> from the expected baseline (represented by the sign of </w:t>
      </w:r>
      <w:proofErr w:type="spellStart"/>
      <w:proofErr w:type="gramStart"/>
      <w:r>
        <w:t>exp</w:t>
      </w:r>
      <w:proofErr w:type="spellEnd"/>
      <w:r>
        <w:t>(</w:t>
      </w:r>
      <w:proofErr w:type="gramEnd"/>
      <w:r>
        <w:rPr>
          <w:rFonts w:ascii="Times New Roman" w:eastAsia="Times New Roman" w:hAnsi="Times New Roman" w:cs="Times New Roman"/>
          <w:i/>
        </w:rPr>
        <w:t>υ</w:t>
      </w:r>
      <w:r>
        <w:rPr>
          <w:i/>
          <w:vertAlign w:val="subscript"/>
        </w:rPr>
        <w:t>0j</w:t>
      </w:r>
      <w:r>
        <w:t xml:space="preserve">)) are taken as evidence of a </w:t>
      </w:r>
      <w:r>
        <w:rPr>
          <w:i/>
        </w:rPr>
        <w:t>facilitating</w:t>
      </w:r>
      <w:r>
        <w:t xml:space="preserve"> (</w:t>
      </w:r>
      <w:r>
        <w:rPr>
          <w:i/>
        </w:rPr>
        <w:t>suppressing</w:t>
      </w:r>
      <w:r>
        <w:t xml:space="preserve">) effect of cohort group membership on arts participation for the </w:t>
      </w:r>
      <w:proofErr w:type="spellStart"/>
      <w:r>
        <w:rPr>
          <w:i/>
        </w:rPr>
        <w:t>l</w:t>
      </w:r>
      <w:r>
        <w:rPr>
          <w:i/>
          <w:vertAlign w:val="superscript"/>
        </w:rPr>
        <w:t>th</w:t>
      </w:r>
      <w:proofErr w:type="spellEnd"/>
      <w:r>
        <w:t xml:space="preserve"> activity net of age influences.</w:t>
      </w:r>
      <w:r>
        <w:rPr>
          <w:vertAlign w:val="superscript"/>
        </w:rPr>
        <w:footnoteReference w:id="5"/>
      </w:r>
    </w:p>
    <w:p w14:paraId="202D0A9C" w14:textId="77777777" w:rsidR="00C67E15" w:rsidRDefault="007D1B8E" w:rsidP="009F0EC6">
      <w:pPr>
        <w:pStyle w:val="normal0"/>
        <w:contextualSpacing w:val="0"/>
      </w:pPr>
      <w:r>
        <w:t xml:space="preserve">It is important to underscore that the goal of this analysis is to isolate and establish the existence of generational effects on arts participation and to chart their distribution across cohort groups. Our use of these statistical models is not meant to be “explanatory” in </w:t>
      </w:r>
      <w:r>
        <w:lastRenderedPageBreak/>
        <w:t xml:space="preserve">the sense in which this term is sometimes misused in variables-oriented analysis, but instead is </w:t>
      </w:r>
      <w:r>
        <w:rPr>
          <w:i/>
        </w:rPr>
        <w:t>descriptive</w:t>
      </w:r>
      <w:r>
        <w:t xml:space="preserve"> (</w:t>
      </w:r>
      <w:proofErr w:type="spellStart"/>
      <w:r>
        <w:t>Spillman</w:t>
      </w:r>
      <w:proofErr w:type="spellEnd"/>
      <w:r>
        <w:t xml:space="preserve"> 2014). Our strategy is to deploy this statistical framework to establish a broad, empirical pattern of generational effects on arts participation rates. The </w:t>
      </w:r>
      <w:proofErr w:type="gramStart"/>
      <w:r>
        <w:t>existence of this effect, as well as its specific patterning, become</w:t>
      </w:r>
      <w:proofErr w:type="gramEnd"/>
      <w:r>
        <w:t xml:space="preserve"> the phenomenon to be further elucidated. The goal is to then link cohorts distinguished by higher-than-expected participation rates to unique institutional experiences, using a complementary case-based methodological strategy that combines historical narrative, institutional analysis, and process-tracing (</w:t>
      </w:r>
      <w:proofErr w:type="spellStart"/>
      <w:r>
        <w:t>Schneiberg</w:t>
      </w:r>
      <w:proofErr w:type="spellEnd"/>
      <w:r>
        <w:t xml:space="preserve"> and Clemens 2006; Fishman and </w:t>
      </w:r>
      <w:proofErr w:type="spellStart"/>
      <w:r>
        <w:t>Lizardo</w:t>
      </w:r>
      <w:proofErr w:type="spellEnd"/>
      <w:r>
        <w:t xml:space="preserve"> 2013).</w:t>
      </w:r>
      <w:r>
        <w:rPr>
          <w:vertAlign w:val="superscript"/>
        </w:rPr>
        <w:footnoteReference w:id="6"/>
      </w:r>
      <w:r>
        <w:t xml:space="preserve"> </w:t>
      </w:r>
    </w:p>
    <w:p w14:paraId="7AFCD816" w14:textId="77777777" w:rsidR="00C67E15" w:rsidRPr="00664181" w:rsidRDefault="007D1B8E" w:rsidP="009F0EC6">
      <w:pPr>
        <w:pStyle w:val="Heading2"/>
        <w:contextualSpacing w:val="0"/>
        <w:jc w:val="both"/>
        <w:rPr>
          <w:sz w:val="26"/>
        </w:rPr>
      </w:pPr>
      <w:bookmarkStart w:id="31" w:name="_pka28s3iypwi" w:colFirst="0" w:colLast="0"/>
      <w:bookmarkEnd w:id="31"/>
      <w:r>
        <w:rPr>
          <w:sz w:val="26"/>
          <w:szCs w:val="26"/>
        </w:rPr>
        <w:t>1.6 Exploratory Analyses</w:t>
      </w:r>
    </w:p>
    <w:p w14:paraId="50FAC6E4" w14:textId="47A33D8C" w:rsidR="00C67E15" w:rsidRDefault="007D1B8E" w:rsidP="009F0EC6">
      <w:pPr>
        <w:pStyle w:val="normal0"/>
        <w:contextualSpacing w:val="0"/>
      </w:pPr>
      <w:r>
        <w:t>Bell and Jones (2014) have argued that HAPC models can sometimes fail to recover true cohort (or period effects). However, as a response drafted by some of the leading demographers in the field (</w:t>
      </w:r>
      <w:proofErr w:type="spellStart"/>
      <w:r>
        <w:t>Reither</w:t>
      </w:r>
      <w:proofErr w:type="spellEnd"/>
      <w:r>
        <w:t xml:space="preserve"> et al 2015) shows, HAPC will recover cohort and period effects in real data when these data are extensive enough to display variation across all three dimensions. As such, </w:t>
      </w:r>
      <w:proofErr w:type="spellStart"/>
      <w:r>
        <w:t>Reither</w:t>
      </w:r>
      <w:proofErr w:type="spellEnd"/>
      <w:r>
        <w:t xml:space="preserve"> et al (2015) recommend first testing for the presence of cohort and period effects in the data using standard models, as well as the inspection of graphical summaries displaying distinct age, period, and cohort patterns before fitting the full HAPC model. Implementing the first recommendation, table 2 shows the results of goodness of fitness test for logistic regression models predicting arts participation across all age activities using age, period, and cohort as predictor. In each model the age, cohort effects are specified non-parametrically as a series of dummy variables coding groups of respondents based on a five-year window (results are similar when we vary these windows). We used </w:t>
      </w:r>
      <w:proofErr w:type="spellStart"/>
      <w:r>
        <w:t>Akaike’s</w:t>
      </w:r>
      <w:proofErr w:type="spellEnd"/>
      <w:r>
        <w:t xml:space="preserve"> Information Criterion as our index of model fit. If period and cohort effects are present in the data, we should expect that models specifying all three dimensions should fit better than age only or age/period or age/cohort models. As the table shows, the models that specify all three effects outperform all the other models, suggesting that the correlational structure of the data is sufficientl</w:t>
      </w:r>
      <w:r w:rsidR="009F0EC6">
        <w:t xml:space="preserve">y rich to support the HAPC </w:t>
      </w:r>
      <w:proofErr w:type="spellStart"/>
      <w:r w:rsidR="00664181">
        <w:t>modelling</w:t>
      </w:r>
      <w:proofErr w:type="spellEnd"/>
      <w:r>
        <w:t xml:space="preserve"> strategy. Moreover, taking the </w:t>
      </w:r>
      <w:r>
        <w:lastRenderedPageBreak/>
        <w:t xml:space="preserve">age-only model as a baseline, the age/cohort specification always results in a more substantial improvement in model fit that then age/period one, suggesting that cohort effects dominate over period effects in these data, holding age-effects constant. </w:t>
      </w:r>
    </w:p>
    <w:p w14:paraId="3FACFF41" w14:textId="5C7D0125" w:rsidR="00C67E15" w:rsidRDefault="007D1B8E" w:rsidP="009F0EC6">
      <w:pPr>
        <w:pStyle w:val="normal0"/>
        <w:contextualSpacing w:val="0"/>
      </w:pPr>
      <w:r>
        <w:t>What is the pattern of variation across the three dimensions? Figure 1 provides a descriptive plot of all age, period, and cohort trends. One thing to look for here is sufficient distinctiveness in the trends across dimensions, as HAPC models would not be able to disentangle two trends (</w:t>
      </w:r>
      <w:proofErr w:type="spellStart"/>
      <w:r>
        <w:t>e.g</w:t>
      </w:r>
      <w:proofErr w:type="spellEnd"/>
      <w:r>
        <w:t xml:space="preserve"> age and cohort) displaying the same (e.g. linear) pattern. The figures reveal substantively significant differences in the trends across all three dimensions. As shown in the leftmost panel of the figure, age effects across all </w:t>
      </w:r>
      <w:proofErr w:type="gramStart"/>
      <w:r>
        <w:t>eight core</w:t>
      </w:r>
      <w:proofErr w:type="gramEnd"/>
      <w:r>
        <w:t xml:space="preserve"> arts participation items are either flat (e.g. Opera, Symphony) or negative (Art Festivals, Historical Monuments, Musicals) especially after crossing the retirement-age threshold. In contrast, period effects, as shown in the center panel, are mostly flat for all activities, excepting Art Festivals and Historical Monuments (which display a negative trending effect). Finally, as shown in the rightmost panel, cohort effects display a striking consistent “inverted U-shape” trend across all </w:t>
      </w:r>
      <w:proofErr w:type="gramStart"/>
      <w:r>
        <w:t>eight core</w:t>
      </w:r>
      <w:proofErr w:type="gramEnd"/>
      <w:r>
        <w:t xml:space="preserve"> activities, with participation rates peaking among persons born between 1930 and 1960. Note that the effect seems to be partially asymmetrical, with the contrast between people born around mid-century being stronger in relation to their older predecessors (pre-depression era cohorts) than their successors (post-1960 cohorts). Figure 2 shows period-specific plots (Reeves 2014) of the cohort trends for all </w:t>
      </w:r>
      <w:proofErr w:type="gramStart"/>
      <w:r>
        <w:t>eight core</w:t>
      </w:r>
      <w:proofErr w:type="gramEnd"/>
      <w:r>
        <w:t xml:space="preserve"> activities. The results show that the seeming </w:t>
      </w:r>
      <w:proofErr w:type="spellStart"/>
      <w:r>
        <w:t>omnivorousness</w:t>
      </w:r>
      <w:proofErr w:type="spellEnd"/>
      <w:r>
        <w:t xml:space="preserve"> of the post-progressive era cohorts (1930-1960) is not a period specific artifact of any one survey wave, but instead it reappears across surveys separated by as much as two decades. Although we can observe evidence of the aging effect in the leftmost panel of figure 1 (downward movement in the y axis with in 2002 and 2012 in relation to 1982), the inverted u-shaped pattern favoring post-progressive era cohorts is robust. </w:t>
      </w:r>
    </w:p>
    <w:p w14:paraId="6AC94610" w14:textId="77777777" w:rsidR="00C67E15" w:rsidRPr="00664181" w:rsidRDefault="007D1B8E" w:rsidP="009F0EC6">
      <w:pPr>
        <w:pStyle w:val="Heading2"/>
        <w:contextualSpacing w:val="0"/>
        <w:jc w:val="both"/>
        <w:rPr>
          <w:sz w:val="26"/>
        </w:rPr>
      </w:pPr>
      <w:bookmarkStart w:id="32" w:name="_i4dcv8ut7ld5" w:colFirst="0" w:colLast="0"/>
      <w:bookmarkEnd w:id="32"/>
      <w:r>
        <w:rPr>
          <w:sz w:val="26"/>
          <w:szCs w:val="26"/>
        </w:rPr>
        <w:t>1.7 Multivariate Analyses</w:t>
      </w:r>
    </w:p>
    <w:p w14:paraId="4691D1C4" w14:textId="5378EC63" w:rsidR="00C67E15" w:rsidRDefault="007D1B8E" w:rsidP="009F0EC6">
      <w:pPr>
        <w:pStyle w:val="normal0"/>
        <w:contextualSpacing w:val="0"/>
      </w:pPr>
      <w:r>
        <w:t xml:space="preserve">Results so far suggest that there are strong cohort dynamics in arts participation, and that they seem to share a generational patterning across all arts participation activities. This descriptive analysis suggests that if there is a generation worth referring to as most </w:t>
      </w:r>
      <w:r>
        <w:lastRenderedPageBreak/>
        <w:t>“omnivorous” with respect to arts participation, it is concentrated among persons who came of age in the immediate post-progressive and post-war period (1940s, 1950s, 1960s). Here, we examine whether we can replicate the observed generational clustering result in a multivariate context, adjusting for</w:t>
      </w:r>
      <w:r w:rsidR="009F0EC6">
        <w:t xml:space="preserve"> possible confounders, and </w:t>
      </w:r>
      <w:proofErr w:type="spellStart"/>
      <w:r w:rsidR="00664181">
        <w:t>modelling</w:t>
      </w:r>
      <w:proofErr w:type="spellEnd"/>
      <w:r>
        <w:t xml:space="preserve"> the interplay of age, period, and cohort within the HAPC framework described earlier. </w:t>
      </w:r>
    </w:p>
    <w:p w14:paraId="63293314" w14:textId="77777777" w:rsidR="00C67E15" w:rsidRDefault="007D1B8E" w:rsidP="009F0EC6">
      <w:pPr>
        <w:pStyle w:val="normal0"/>
        <w:contextualSpacing w:val="0"/>
      </w:pPr>
      <w:r>
        <w:t xml:space="preserve">We are aware that the increased arts participation activity of the post-progressive era cohorts in relation to their predecessors could be a result of the gradual educational upgrading experienced by Americans throughout the twentieth century. This is important since education has been, and continues to be, the most important individual-level predictor of engagement with the arts (DiMaggio and </w:t>
      </w:r>
      <w:proofErr w:type="spellStart"/>
      <w:r>
        <w:t>Mukhtar</w:t>
      </w:r>
      <w:proofErr w:type="spellEnd"/>
      <w:r>
        <w:t xml:space="preserve"> 2004). Accordingly, our models include an ordinal variable indexing highest degree completed, ranging from high school to postgraduate or professional degree. In addition, our HAPC specification also holds constant other individual (and, at the cohort level, compositional) predictors of engagement with the arts: race (DiMaggio and </w:t>
      </w:r>
      <w:proofErr w:type="spellStart"/>
      <w:r>
        <w:t>Ostrower</w:t>
      </w:r>
      <w:proofErr w:type="spellEnd"/>
      <w:r>
        <w:t xml:space="preserve"> 1990 with dummy variables for white, black, </w:t>
      </w:r>
      <w:proofErr w:type="spellStart"/>
      <w:r>
        <w:t>asian</w:t>
      </w:r>
      <w:proofErr w:type="spellEnd"/>
      <w:r>
        <w:t xml:space="preserve">, and </w:t>
      </w:r>
      <w:proofErr w:type="spellStart"/>
      <w:r>
        <w:t>hispanic</w:t>
      </w:r>
      <w:proofErr w:type="spellEnd"/>
      <w:r>
        <w:t xml:space="preserve"> respondents), gender (</w:t>
      </w:r>
      <w:proofErr w:type="spellStart"/>
      <w:r>
        <w:t>Lizardo</w:t>
      </w:r>
      <w:proofErr w:type="spellEnd"/>
      <w:r>
        <w:t xml:space="preserve"> 2006), and region of residence (with dummy variables for northeast, south, </w:t>
      </w:r>
      <w:proofErr w:type="spellStart"/>
      <w:r>
        <w:t>midwest</w:t>
      </w:r>
      <w:proofErr w:type="spellEnd"/>
      <w:r>
        <w:t xml:space="preserve">/plains and west coast). Finally, in accord with the pattern of results shown in Figure 1, we specify the fixed effects of age using a parsimonious spline function with a “hinge” at 55 years of age. </w:t>
      </w:r>
    </w:p>
    <w:p w14:paraId="3E996F2A" w14:textId="51E2C5D5" w:rsidR="00C67E15" w:rsidRPr="00664181" w:rsidRDefault="007D1B8E" w:rsidP="00664181">
      <w:pPr>
        <w:pStyle w:val="normal0"/>
        <w:contextualSpacing w:val="0"/>
      </w:pPr>
      <w:r>
        <w:t xml:space="preserve">While the HAPC models produce fixed effects estimates of the effects of these covariates on cultural </w:t>
      </w:r>
      <w:r w:rsidR="00664181">
        <w:t>participation (</w:t>
      </w:r>
      <w:r w:rsidR="00664181" w:rsidRPr="009F0EC6">
        <w:rPr>
          <w:rFonts w:ascii="Cambria Math" w:eastAsia="Times New Roman" w:hAnsi="Cambria Math" w:cs="Cambria Math"/>
          <w:i/>
          <w:iCs/>
        </w:rPr>
        <w:t>𝛽</w:t>
      </w:r>
      <w:r w:rsidR="00664181" w:rsidRPr="009F0EC6">
        <w:rPr>
          <w:rFonts w:eastAsia="Times New Roman" w:cs="Times New Roman"/>
          <w:i/>
          <w:iCs/>
          <w:sz w:val="16"/>
          <w:szCs w:val="16"/>
          <w:vertAlign w:val="subscript"/>
        </w:rPr>
        <w:t>1</w:t>
      </w:r>
      <w:r w:rsidR="00664181" w:rsidRPr="009F0EC6">
        <w:rPr>
          <w:rFonts w:eastAsia="Times New Roman" w:cs="Times New Roman"/>
        </w:rPr>
        <w:t xml:space="preserve">, </w:t>
      </w:r>
      <w:r w:rsidR="00664181" w:rsidRPr="009F0EC6">
        <w:rPr>
          <w:rFonts w:ascii="Cambria Math" w:eastAsia="Times New Roman" w:hAnsi="Cambria Math" w:cs="Cambria Math"/>
          <w:i/>
          <w:iCs/>
        </w:rPr>
        <w:t>𝛽</w:t>
      </w:r>
      <w:r w:rsidR="00664181" w:rsidRPr="009F0EC6">
        <w:rPr>
          <w:rFonts w:eastAsia="Times New Roman" w:cs="Times New Roman"/>
          <w:i/>
          <w:iCs/>
          <w:sz w:val="16"/>
          <w:szCs w:val="16"/>
          <w:vertAlign w:val="subscript"/>
        </w:rPr>
        <w:t>m</w:t>
      </w:r>
      <w:r w:rsidR="00664181">
        <w:rPr>
          <w:i/>
          <w:vertAlign w:val="subscript"/>
        </w:rPr>
        <w:t xml:space="preserve"> </w:t>
      </w:r>
      <w:r w:rsidR="00664181">
        <w:t>in equation 1), of more substantive interest are the random variance component estimates for the cohort (</w:t>
      </w:r>
      <w:r w:rsidR="00664181">
        <w:rPr>
          <w:rFonts w:ascii="Cambria Math" w:hAnsi="Cambria Math" w:cs="Cambria Math"/>
        </w:rPr>
        <w:t>𝜐</w:t>
      </w:r>
      <w:r w:rsidR="00664181">
        <w:rPr>
          <w:vertAlign w:val="subscript"/>
        </w:rPr>
        <w:t>0j</w:t>
      </w:r>
      <w:r w:rsidR="00664181">
        <w:t>) and period (</w:t>
      </w:r>
      <w:r w:rsidR="00664181">
        <w:rPr>
          <w:rFonts w:ascii="Cambria Math" w:hAnsi="Cambria Math" w:cs="Cambria Math"/>
        </w:rPr>
        <w:t>𝜐</w:t>
      </w:r>
      <w:r w:rsidR="00664181">
        <w:rPr>
          <w:vertAlign w:val="subscript"/>
        </w:rPr>
        <w:t>0k</w:t>
      </w:r>
      <w:r w:rsidR="00664181">
        <w:t xml:space="preserve">) </w:t>
      </w:r>
      <w:r>
        <w:t xml:space="preserve">group contexts for each outcome. These are shown in Table 2. These estimates give us a sense of whether we can identify cohort and period based on variation in art participation levels, above and beyond the effect of age. As suggested by the previous analysis, we find statistically significant cohort and period-based variance for all outcomes after adjusting for age fixed effects (results remain the same when including a more extensive set of covariates such as age, education, and current region of residence). Comparing the substantive magnitude of cohort and period variance component estimates across participation outcomes, we can see that the cohort effect rivals the period effect in size for all outcomes except Ballet </w:t>
      </w:r>
      <w:r>
        <w:lastRenderedPageBreak/>
        <w:t>attendance. For four outcomes, Jazz, Classical, Musicals, and Art Museums, the cohort-based variance is substantially larger than the period-based variance; in the case of Art Festivals both are of equal (substantively significant) magnitude.</w:t>
      </w:r>
    </w:p>
    <w:p w14:paraId="1F4A837D" w14:textId="3F78A7AA" w:rsidR="00C67E15" w:rsidRDefault="007D1B8E" w:rsidP="009F0EC6">
      <w:pPr>
        <w:pStyle w:val="normal0"/>
        <w:contextualSpacing w:val="0"/>
      </w:pPr>
      <w:r>
        <w:t xml:space="preserve">Figure 3 shows the cohort-group deviations from the average for each activity. This quantity can be interpreted as the “boost” (or “suppression”) for cultural participation that the individual gets as a result of their </w:t>
      </w:r>
      <w:r>
        <w:rPr>
          <w:i/>
        </w:rPr>
        <w:t>membership in a cohort group</w:t>
      </w:r>
      <w:r>
        <w:t xml:space="preserve"> net of individual characteristics. The direction and magnitude of the cohort effects across different participation rates reveal a clear pattern of generational clustering. Across putatively distinct arts participation practices, we find that, with few exceptions, cohorts born between 1930 and 1950 have higher positive deviations in expected engagement than their earlier born counterparts. Because the distribution of age becomes truncated as we move to more recently born cohorts (or move back to the earliest cohorts), we are more cautious about interpreting the negative cohort deviations at the extreme boundaries (e.g. 1890-1900 and 1980 to 1990). We can say, however, that the concentration of substantively significant positive deviations within a narrow band of cohort groups born within a span of three decades, acros</w:t>
      </w:r>
      <w:r w:rsidR="009F0EC6">
        <w:t xml:space="preserve">s a very diverse range of arts </w:t>
      </w:r>
      <w:r>
        <w:t xml:space="preserve">participation outcomes, holding constant key predictors of such engagement, does sanction the designation of these generations as (comparatively) “omnivorous” in this particular domain (DiMaggio and </w:t>
      </w:r>
      <w:proofErr w:type="spellStart"/>
      <w:r>
        <w:t>Mukhtar</w:t>
      </w:r>
      <w:proofErr w:type="spellEnd"/>
      <w:r>
        <w:t xml:space="preserve"> 2004). The cohort born between 1930 and 1950 appears to be an Omnivorous Generation. </w:t>
      </w:r>
    </w:p>
    <w:p w14:paraId="08A3151A" w14:textId="77777777" w:rsidR="00C67E15" w:rsidRPr="00664181" w:rsidRDefault="007D1B8E" w:rsidP="009F0EC6">
      <w:pPr>
        <w:pStyle w:val="Heading2"/>
        <w:contextualSpacing w:val="0"/>
        <w:jc w:val="both"/>
        <w:rPr>
          <w:sz w:val="26"/>
        </w:rPr>
      </w:pPr>
      <w:bookmarkStart w:id="33" w:name="_ws2x3hm8unw4" w:colFirst="0" w:colLast="0"/>
      <w:bookmarkEnd w:id="33"/>
      <w:r>
        <w:rPr>
          <w:sz w:val="26"/>
          <w:szCs w:val="26"/>
        </w:rPr>
        <w:t>1.7 Summary of Survey-Based Analysis of Cohort Effects in Arts Participation</w:t>
      </w:r>
    </w:p>
    <w:p w14:paraId="736D2CE1" w14:textId="77777777" w:rsidR="00C67E15" w:rsidRDefault="007D1B8E" w:rsidP="009F0EC6">
      <w:pPr>
        <w:pStyle w:val="normal0"/>
        <w:contextualSpacing w:val="0"/>
      </w:pPr>
      <w:r>
        <w:t>Results from random-effects Hierarchical Age-Period-Cohort Models (HAPC) point to the existence of a distinct Omnivorous Generation, born in the immediate post-Progressive Era, who are more likely to engage in diverse forms of arts participation. For this group of respondents, the generational effect is facilitative rather than inhibitive, and extends to virtually all of the core arts participation activities. For most activities, the generational effect is bounded roughly between 1930 and 1950. This produces a consistent “reverse U-shaped” cohort effect for all of our outcomes (see Figure 1 for the pattern of cohort deviations and Figure 4 in Appendix 1 for predicted rates of participation).</w:t>
      </w:r>
    </w:p>
    <w:p w14:paraId="3E5FBAE9" w14:textId="4FA1A4B3" w:rsidR="00C67E15" w:rsidRDefault="007D1B8E" w:rsidP="009F0EC6">
      <w:pPr>
        <w:pStyle w:val="normal0"/>
        <w:contextualSpacing w:val="0"/>
      </w:pPr>
      <w:r>
        <w:t xml:space="preserve">As detailed in the supplementary analyses reported in the Appendix, these results are </w:t>
      </w:r>
      <w:r>
        <w:lastRenderedPageBreak/>
        <w:t xml:space="preserve">robust to alternative (fixed effects) </w:t>
      </w:r>
      <w:r w:rsidR="009F0EC6">
        <w:t xml:space="preserve">specifications of the HAPC </w:t>
      </w:r>
      <w:proofErr w:type="spellStart"/>
      <w:r w:rsidR="00664181">
        <w:t>modelling</w:t>
      </w:r>
      <w:proofErr w:type="spellEnd"/>
      <w:r>
        <w:t xml:space="preserve"> strategy (section 1, figure 4); moreover, the cohort boundaries suggested by the HAPC analysis, especially those separating the omnivorous generation from their predecessors (section 2, figure 5), can be corroborated by inspection of simple cohort-by-period graphical plots (Reeves 2015; see, e.g., </w:t>
      </w:r>
      <w:proofErr w:type="spellStart"/>
      <w:r>
        <w:t>Voas</w:t>
      </w:r>
      <w:proofErr w:type="spellEnd"/>
      <w:r>
        <w:t xml:space="preserve"> and Chaves 2016 for an application of this approach to religiosity trends). Finally, there is suggestive evidence that members of this generational cluster are more likely to report more exposure to the arts during their formative years than persons born before 1930 (section 3, figure 6).</w:t>
      </w:r>
    </w:p>
    <w:p w14:paraId="79924A31" w14:textId="77777777" w:rsidR="00C67E15" w:rsidRDefault="007D1B8E" w:rsidP="009F0EC6">
      <w:pPr>
        <w:pStyle w:val="normal0"/>
        <w:contextualSpacing w:val="0"/>
      </w:pPr>
      <w:r>
        <w:t xml:space="preserve">Overall, these results strongly suggest that persons born in the three decades immediately following the Progressive Era are distinctive enough in their pattern of cultural engagement to be considered an “Omnivorous Generation.” As noted above, it is important underscore both the avidity and breadth of cultural engagement of members of this generation. This breadth extends to forms of folk and vernacular culture that were legitimized during the 20th century, including Jazz and--most importantly for the argument that follows--Craft Fairs and Art Festivals. These results lead us to discard interpretations of </w:t>
      </w:r>
      <w:proofErr w:type="spellStart"/>
      <w:r>
        <w:t>omnivorousness</w:t>
      </w:r>
      <w:proofErr w:type="spellEnd"/>
      <w:r>
        <w:t xml:space="preserve"> as a linear cohort trend over time, in favor of a generational specificity argument, confirming recent but preliminary work in the field (</w:t>
      </w:r>
      <w:proofErr w:type="spellStart"/>
      <w:r>
        <w:t>Rossman</w:t>
      </w:r>
      <w:proofErr w:type="spellEnd"/>
      <w:r>
        <w:t xml:space="preserve"> and Peterson 2015; </w:t>
      </w:r>
      <w:proofErr w:type="spellStart"/>
      <w:r>
        <w:t>López-Sintas</w:t>
      </w:r>
      <w:proofErr w:type="spellEnd"/>
      <w:r>
        <w:t xml:space="preserve"> and Katz-</w:t>
      </w:r>
      <w:proofErr w:type="spellStart"/>
      <w:r>
        <w:t>Gerro</w:t>
      </w:r>
      <w:proofErr w:type="spellEnd"/>
      <w:r>
        <w:t xml:space="preserve"> 2005).</w:t>
      </w:r>
    </w:p>
    <w:p w14:paraId="7C3539ED" w14:textId="77777777" w:rsidR="00C67E15" w:rsidRDefault="007D1B8E" w:rsidP="009F0EC6">
      <w:pPr>
        <w:pStyle w:val="normal0"/>
        <w:contextualSpacing w:val="0"/>
      </w:pPr>
      <w:r>
        <w:t>The pattern of generational clustering is in itself a compelling finding but as a macro-level quantitative pattern it opens up questions that the survey data alone cannot answer (</w:t>
      </w:r>
      <w:proofErr w:type="spellStart"/>
      <w:r>
        <w:t>Spillman</w:t>
      </w:r>
      <w:proofErr w:type="spellEnd"/>
      <w:r>
        <w:t xml:space="preserve"> 2014). What exactly makes the generation born in the immediate post-Progressive Era distinctive from those born just a decade earlier? When research in the mid-1990s discovered patterns of </w:t>
      </w:r>
      <w:proofErr w:type="spellStart"/>
      <w:r>
        <w:t>omnivorousness</w:t>
      </w:r>
      <w:proofErr w:type="spellEnd"/>
      <w:r>
        <w:t xml:space="preserve"> among elites, scholars (</w:t>
      </w:r>
      <w:r>
        <w:rPr>
          <w:i/>
        </w:rPr>
        <w:t xml:space="preserve">inter alia </w:t>
      </w:r>
      <w:r>
        <w:t xml:space="preserve">Peterson and Kern 1996) hypothesized that transformations in artistic classification systems, promoted by cultural entrepreneurs with control over organizations and their institutional practices, must lie behind these changes. Even the emergence of a distinction between high and popular culture in the U.S. has been demonstrably linked to organizational and institutional transformations (DiMaggio 1982). The generational clustering pattern we report above suggests we should find </w:t>
      </w:r>
      <w:proofErr w:type="gramStart"/>
      <w:r>
        <w:t>an</w:t>
      </w:r>
      <w:proofErr w:type="gramEnd"/>
      <w:r>
        <w:t xml:space="preserve"> historically rooted transformation related to artistic classification, </w:t>
      </w:r>
      <w:r>
        <w:lastRenderedPageBreak/>
        <w:t>dissemination, and production systems (DiMaggio 1987, 2000).</w:t>
      </w:r>
    </w:p>
    <w:p w14:paraId="20FC2A51" w14:textId="77777777" w:rsidR="00C67E15" w:rsidRDefault="007D1B8E" w:rsidP="009F0EC6">
      <w:pPr>
        <w:pStyle w:val="normal0"/>
        <w:contextualSpacing w:val="0"/>
      </w:pPr>
      <w:r>
        <w:t>In the next section, we explore the possibility that this generational effect can be traced to the expansion and consolidation of elite-led institutional work enacted during the Progressive Era, which consolidated in powerful organizations during the post-war period. We hypothesize that these left their mark in the “encoding” of individual cultural consumption practices, and made this generation distinct from their predecessors.</w:t>
      </w:r>
    </w:p>
    <w:p w14:paraId="04F02A97" w14:textId="77777777" w:rsidR="00C67E15" w:rsidRDefault="007D1B8E" w:rsidP="009F0EC6">
      <w:pPr>
        <w:pStyle w:val="Heading1"/>
        <w:contextualSpacing w:val="0"/>
        <w:jc w:val="both"/>
      </w:pPr>
      <w:bookmarkStart w:id="34" w:name="_f5tzicx8h0fk" w:colFirst="0" w:colLast="0"/>
      <w:bookmarkEnd w:id="34"/>
      <w:r>
        <w:t>2.0 Institutional and Organizational Impacts on Tastes</w:t>
      </w:r>
    </w:p>
    <w:p w14:paraId="0C9E8913" w14:textId="77777777" w:rsidR="00C67E15" w:rsidRDefault="007D1B8E" w:rsidP="009F0EC6">
      <w:pPr>
        <w:pStyle w:val="normal0"/>
        <w:contextualSpacing w:val="0"/>
      </w:pPr>
      <w:r>
        <w:t>Deep and fruitful investigations of cultural tastes on the one hand, and the production of culture on the other, provide contemporary scholars with the opportunity to build more sophisticated accounts of the links between these two cultural realms. We begin with a simple premise: historical changes in the institutional organization of culture are linked to the creation, maintenance, or dissolution of culture consuming publics. This sensitizes us to look for this type of antecedent to account for the Omnivorous Generation.</w:t>
      </w:r>
    </w:p>
    <w:p w14:paraId="38FD4371" w14:textId="77777777" w:rsidR="00C67E15" w:rsidRPr="00664181" w:rsidRDefault="007D1B8E" w:rsidP="009F0EC6">
      <w:pPr>
        <w:pStyle w:val="Heading2"/>
        <w:contextualSpacing w:val="0"/>
        <w:jc w:val="both"/>
        <w:rPr>
          <w:sz w:val="26"/>
        </w:rPr>
      </w:pPr>
      <w:bookmarkStart w:id="35" w:name="_ck1dc3g937tx" w:colFirst="0" w:colLast="0"/>
      <w:bookmarkEnd w:id="35"/>
      <w:r>
        <w:rPr>
          <w:sz w:val="26"/>
          <w:szCs w:val="26"/>
        </w:rPr>
        <w:t>2.1 The Emergence of High Culture as an Exemplar Case</w:t>
      </w:r>
    </w:p>
    <w:p w14:paraId="67111FF6" w14:textId="77777777" w:rsidR="00C67E15" w:rsidRDefault="007D1B8E" w:rsidP="009F0EC6">
      <w:pPr>
        <w:pStyle w:val="normal0"/>
        <w:contextualSpacing w:val="0"/>
      </w:pPr>
      <w:r>
        <w:t>In an influential article, DiMaggio (1982) attributes the emergence of a distinction between high and popular culture in the U.S. to organizational and institutional transformations that took place in 19</w:t>
      </w:r>
      <w:r>
        <w:rPr>
          <w:vertAlign w:val="superscript"/>
        </w:rPr>
        <w:t>th</w:t>
      </w:r>
      <w:r>
        <w:t xml:space="preserve"> century Boston. This is the period when the grand project of defining an institutional field of “fine arts” culture began to be pursued by bourgeois, urban elites. This is also the period in which what Levine (1988: 85-168) has referred to as the “</w:t>
      </w:r>
      <w:proofErr w:type="spellStart"/>
      <w:r>
        <w:t>sacralization</w:t>
      </w:r>
      <w:proofErr w:type="spellEnd"/>
      <w:r>
        <w:t>” of the arts began in full force. These fields come to have an organizational base in universities, museums, galleries and other elite-supported non-profit institutions designed for the production, dissemination, and canonization of cultural products; they play a critical role training both artists and consumers in the newly defined principles of cultural valuation (Conner 2008: 113; DiMaggio 2000).</w:t>
      </w:r>
    </w:p>
    <w:p w14:paraId="17041F60" w14:textId="77777777" w:rsidR="00C67E15" w:rsidRDefault="007D1B8E" w:rsidP="009F0EC6">
      <w:pPr>
        <w:pStyle w:val="normal0"/>
        <w:contextualSpacing w:val="0"/>
      </w:pPr>
      <w:r>
        <w:t>This research demonstrates an association between organizational factors (the creation and elaboration of the non-profit arts organization) and institutional work (</w:t>
      </w:r>
      <w:proofErr w:type="spellStart"/>
      <w:r>
        <w:t>sacralization</w:t>
      </w:r>
      <w:proofErr w:type="spellEnd"/>
      <w:r>
        <w:t xml:space="preserve">) accomplished by cultural entrepreneurs (the Boston Brahmins; college </w:t>
      </w:r>
      <w:r>
        <w:lastRenderedPageBreak/>
        <w:t>educated arts bureaucrats) resulting in the production and perpetuation of a new form of taste (“high culture”). It is this sort of work that is still needed as sociologists explore new forms of cultural expression, and new production arrangements. These include, most importantly for our purposes, the characteristic features of the 20th century’s artistic field: the emergence of omnivorous culture consuming publics and aesthetic legitimation processes leading to the expansion of the artistic canon. Although scholars have proffered some scattered ideas on the link between these two developments, no single analysis has tried to link the behavioral manifestation with its institutional antecedents.</w:t>
      </w:r>
    </w:p>
    <w:p w14:paraId="143454C8" w14:textId="77777777" w:rsidR="00C67E15" w:rsidRPr="00664181" w:rsidRDefault="007D1B8E" w:rsidP="009F0EC6">
      <w:pPr>
        <w:pStyle w:val="Heading2"/>
        <w:contextualSpacing w:val="0"/>
        <w:jc w:val="both"/>
        <w:rPr>
          <w:sz w:val="26"/>
        </w:rPr>
      </w:pPr>
      <w:bookmarkStart w:id="36" w:name="_axxasirswkux" w:colFirst="0" w:colLast="0"/>
      <w:bookmarkEnd w:id="36"/>
      <w:r>
        <w:rPr>
          <w:sz w:val="26"/>
          <w:szCs w:val="26"/>
        </w:rPr>
        <w:t>2.2 Artistic Valorization and the WPA</w:t>
      </w:r>
    </w:p>
    <w:p w14:paraId="36A54B42" w14:textId="77777777" w:rsidR="00C67E15" w:rsidRDefault="007D1B8E" w:rsidP="009F0EC6">
      <w:pPr>
        <w:pStyle w:val="normal0"/>
        <w:contextualSpacing w:val="0"/>
      </w:pPr>
      <w:r>
        <w:t>By the turn of the 20th century, the non-profit organizational form provided elite art patrons dominion over definitions of “art,” and they turned their attention toward maintaining the new category’s legitimacy by responding to shifting expectations of the role of art at the national level. Changing political, social, and economic conditions during the interwar period placed pressure on organizations to modify their institutional practices. In particular, arts administrators, dealers, experts, critics, patrons, donors, collectors, artists, and audience members sought to change definitions of “American art” to reflect perceived transformations in the national character: “one of the consequences is that...museums welcome into their halls works that were not considered Art until they were granted entry: African ‘primitive’ works, folk art, comic strips, and even industrial artifacts” (</w:t>
      </w:r>
      <w:proofErr w:type="spellStart"/>
      <w:r>
        <w:t>Zolberg</w:t>
      </w:r>
      <w:proofErr w:type="spellEnd"/>
      <w:r>
        <w:t xml:space="preserve"> 1984: 390). The artistic legitimation of vernacular culture--and what Bourdieu (1965) called </w:t>
      </w:r>
      <w:r>
        <w:rPr>
          <w:i/>
        </w:rPr>
        <w:t xml:space="preserve">les arts </w:t>
      </w:r>
      <w:proofErr w:type="spellStart"/>
      <w:r>
        <w:rPr>
          <w:i/>
        </w:rPr>
        <w:t>moyennes</w:t>
      </w:r>
      <w:proofErr w:type="spellEnd"/>
      <w:r>
        <w:t>--was the locus of intense cultural entrepreneurship in the first half of the twentieth century.</w:t>
      </w:r>
    </w:p>
    <w:p w14:paraId="7E44EB34" w14:textId="77777777" w:rsidR="00C67E15" w:rsidRDefault="007D1B8E" w:rsidP="009F0EC6">
      <w:pPr>
        <w:pStyle w:val="normal0"/>
        <w:contextualSpacing w:val="0"/>
      </w:pPr>
      <w:r>
        <w:t>No movement better illustrates the intensity of 20</w:t>
      </w:r>
      <w:r>
        <w:rPr>
          <w:vertAlign w:val="superscript"/>
        </w:rPr>
        <w:t>th</w:t>
      </w:r>
      <w:r>
        <w:t xml:space="preserve"> century vernacular culture legitimation than the federated state and national arts programs during the 1930s and 40s. Under the auspices of the New Deal programs, federal, state, and local government bodies provided subsidies to individual artists and supported new schools of art, visual art and performing arts events. As a direct commissioning agent, government agencies encouraged the production of works that displayed “the American experience” and its “roots in the folk tradition of the people” (Matthews 1975: 334). Administrators of WPA offices encouraged </w:t>
      </w:r>
      <w:r>
        <w:lastRenderedPageBreak/>
        <w:t xml:space="preserve">their artists to develop </w:t>
      </w:r>
    </w:p>
    <w:p w14:paraId="35002DFD" w14:textId="77777777" w:rsidR="00C67E15" w:rsidRDefault="007D1B8E" w:rsidP="009F0EC6">
      <w:pPr>
        <w:pStyle w:val="normal0"/>
        <w:spacing w:line="240" w:lineRule="auto"/>
        <w:ind w:left="720" w:right="720" w:firstLine="0"/>
        <w:contextualSpacing w:val="0"/>
      </w:pPr>
      <w:proofErr w:type="gramStart"/>
      <w:r>
        <w:t>a</w:t>
      </w:r>
      <w:proofErr w:type="gramEnd"/>
      <w:r>
        <w:t xml:space="preserve">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Depression (</w:t>
      </w:r>
      <w:proofErr w:type="spellStart"/>
      <w:r>
        <w:t>Umbach</w:t>
      </w:r>
      <w:proofErr w:type="spellEnd"/>
      <w:r>
        <w:t xml:space="preserve"> and </w:t>
      </w:r>
      <w:proofErr w:type="spellStart"/>
      <w:r>
        <w:t>Hüppauf</w:t>
      </w:r>
      <w:proofErr w:type="spellEnd"/>
      <w:r>
        <w:t xml:space="preserve"> 2005: 25). </w:t>
      </w:r>
    </w:p>
    <w:p w14:paraId="62F125BD" w14:textId="77777777" w:rsidR="00C67E15" w:rsidRDefault="007D1B8E" w:rsidP="009F0EC6">
      <w:pPr>
        <w:pStyle w:val="normal0"/>
        <w:ind w:firstLine="0"/>
        <w:contextualSpacing w:val="0"/>
      </w:pPr>
      <w:r>
        <w:t>Broad-based transformations in the expectations of the art-consuming public resulted from these measures, and arts administrators, curators, and artistic directors worked expeditiously to make that culture available. In so doing, they legitimated some vernacular culture, heralding the rise of what some have called a renaissance of “vernacular modernism” (Bacon 2005).</w:t>
      </w:r>
    </w:p>
    <w:p w14:paraId="5841B3E7" w14:textId="77777777" w:rsidR="00C67E15" w:rsidRDefault="007D1B8E" w:rsidP="009F0EC6">
      <w:pPr>
        <w:pStyle w:val="normal0"/>
        <w:contextualSpacing w:val="0"/>
      </w:pPr>
      <w:r>
        <w:t>Artists employed under these works programs at the federal, state, and local levels, produced an enormous variety of art,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Arguably, the most popular program placed commissioned murals into 1,100 post offices (Park and Markowitz 1984).</w:t>
      </w:r>
    </w:p>
    <w:p w14:paraId="6B9F8280" w14:textId="77777777" w:rsidR="00C67E15" w:rsidRPr="00664181" w:rsidRDefault="007D1B8E" w:rsidP="009F0EC6">
      <w:pPr>
        <w:pStyle w:val="normal0"/>
        <w:contextualSpacing w:val="0"/>
        <w:rPr>
          <w:sz w:val="20"/>
        </w:rPr>
      </w:pPr>
      <w:r>
        <w:t>State-level support for indigent artists began as early as 1931, but the first Federal, non-relief project for artists, the Public Works of Art project, was initiated in 1933.</w:t>
      </w:r>
      <w:r>
        <w:rPr>
          <w:vertAlign w:val="superscript"/>
        </w:rPr>
        <w:footnoteReference w:id="7"/>
      </w:r>
      <w:r>
        <w:t xml:space="preserve"> A more comprehensive work relief program was announced in </w:t>
      </w:r>
      <w:proofErr w:type="gramStart"/>
      <w:r>
        <w:t>August,</w:t>
      </w:r>
      <w:proofErr w:type="gramEnd"/>
      <w:r>
        <w:t xml:space="preserve"> 1935 and was known as the Works Progress Administration (WPA). Under the WPA, the four programs referred to as “Federal Project Number One” provided subsidies for the production of visual art, music, theater, and literature (and later, the historical records survey). The resulting output of </w:t>
      </w:r>
      <w:r>
        <w:lastRenderedPageBreak/>
        <w:t xml:space="preserve">creative material from Federal One is nothing short of astonishing: from 1935 to its closure in June 1943, artists created 2,566 murals, 17,744 sculptures, 108,099 paintings, 250,000 prints from 11,285 images, 2 million posters from 35,000 designs, and more than 22,000 design plates (O’Connor 1969: 28-9; </w:t>
      </w:r>
      <w:proofErr w:type="spellStart"/>
      <w:r>
        <w:t>Greengard</w:t>
      </w:r>
      <w:proofErr w:type="spellEnd"/>
      <w:r>
        <w:t xml:space="preserve"> et al 1986: 58-60).</w:t>
      </w:r>
      <w:r>
        <w:rPr>
          <w:vertAlign w:val="superscript"/>
        </w:rPr>
        <w:footnoteReference w:id="8"/>
      </w:r>
      <w:r>
        <w:t xml:space="preserve"> As one historian opined: “the resulting output of Americana was overwhelming” (Mathews 1975: 334).</w:t>
      </w:r>
      <w:r>
        <w:rPr>
          <w:vertAlign w:val="superscript"/>
        </w:rPr>
        <w:footnoteReference w:id="9"/>
      </w:r>
      <w:r>
        <w:t xml:space="preserve"> </w:t>
      </w:r>
    </w:p>
    <w:p w14:paraId="615E63AE" w14:textId="77777777" w:rsidR="00C67E15" w:rsidRDefault="007D1B8E" w:rsidP="009F0EC6">
      <w:pPr>
        <w:pStyle w:val="normal0"/>
        <w:contextualSpacing w:val="0"/>
      </w:pPr>
      <w:r>
        <w:t>The expansion of access to artistic production and presentation provided by state and federal subsidy produced two outcomes that are critical to our argument: first, it diversified both artistic content and personnel; second, new genres were presented as art within benchmark art organizations as objects for aesthetic appreciation, endorsed by legitimate art experts like curators, collectors, and critics.</w:t>
      </w:r>
    </w:p>
    <w:p w14:paraId="7D22FBB9" w14:textId="77777777" w:rsidR="00C67E15" w:rsidRDefault="007D1B8E" w:rsidP="009F0EC6">
      <w:pPr>
        <w:pStyle w:val="normal0"/>
        <w:contextualSpacing w:val="0"/>
      </w:pPr>
      <w:r>
        <w:t xml:space="preserve">While not all of the arts administrators in charge of disposing of federal and state arts funds embraced the vision of a cultural democracy taken up by Roosevelt, some endorsed this vision and welcomed new content and creators into art genres. Harry Hopkins, appointed in 1933 to direct monies for actors and musicians, was a member of the latter group; he pushed theater directors to depict the deplorable conditions in tenements in the hope that it might encourage a landslide of support for the construction of decent housing for American citizens. Administrators in the Theater Division commissioned adaptations of non-theatrical material like pageants, dance dramas, and living newspapers in order to dramatize the full range of American life. Playwright Percy MacKaye called for a “Drama for Democracy” and theaters that would be a “civic agency” for “the whole people” (N.A. 1936, “Art: Government Inspiration”). Musicologist Charles Seeger was encouraged by the Resettlement Administration to foster the unity of communities by encouraging the use of </w:t>
      </w:r>
      <w:r>
        <w:lastRenderedPageBreak/>
        <w:t>indigenous musical resources. Seeger had built his career on identifying regional, popular, and folk music and integrating those with academic music into a uniquely American idiomatic expression (Mathews 1975).</w:t>
      </w:r>
    </w:p>
    <w:p w14:paraId="421FEF87" w14:textId="77777777" w:rsidR="00C67E15" w:rsidRDefault="007D1B8E" w:rsidP="009F0EC6">
      <w:pPr>
        <w:pStyle w:val="normal0"/>
        <w:contextualSpacing w:val="0"/>
      </w:pPr>
      <w:r>
        <w:t xml:space="preserve">While the arts diversified, arts administrators worked to legitimate particular forms of vernacular culture as art. Artist </w:t>
      </w:r>
      <w:proofErr w:type="spellStart"/>
      <w:r>
        <w:t>Yasuo</w:t>
      </w:r>
      <w:proofErr w:type="spellEnd"/>
      <w:r>
        <w:t xml:space="preserve"> </w:t>
      </w:r>
      <w:proofErr w:type="spellStart"/>
      <w:r>
        <w:t>Kuniyoshi</w:t>
      </w:r>
      <w:proofErr w:type="spellEnd"/>
      <w:r>
        <w:t xml:space="preserve"> has argued that great American culture was created by WPA “artists [who] were encouraged to...search for roots in the folk tradition of the people, documenting the values and behavior of a culture in the throes of self-recognition” (Matthews 1975: 334).</w:t>
      </w:r>
      <w:r>
        <w:rPr>
          <w:sz w:val="20"/>
          <w:szCs w:val="20"/>
        </w:rPr>
        <w:t xml:space="preserve"> </w:t>
      </w:r>
      <w:r>
        <w:t xml:space="preserve">WPA music division director Nikolai </w:t>
      </w:r>
      <w:proofErr w:type="spellStart"/>
      <w:r>
        <w:t>Sokoloff</w:t>
      </w:r>
      <w:proofErr w:type="spellEnd"/>
      <w:r>
        <w:t xml:space="preserve"> presented folk music of a dizzying variety: white and black spirituals, Spanish songs from the Southwest, Creole ballads from Louisiana, liturgical music from California missions, and bayou songs from the Mississippi delta (Mathews 1975: 336). In 1936, </w:t>
      </w:r>
      <w:r>
        <w:rPr>
          <w:i/>
        </w:rPr>
        <w:t>Time Magazine</w:t>
      </w:r>
      <w:r>
        <w:t xml:space="preserve"> reported that </w:t>
      </w:r>
      <w:proofErr w:type="spellStart"/>
      <w:r>
        <w:t>Sokoloff’s</w:t>
      </w:r>
      <w:proofErr w:type="spellEnd"/>
      <w:r>
        <w:t xml:space="preserve"> payroll included a 22-piece “gypsy orchestra” in Pittsburg, a Hungarian ensemble in Chicago, and </w:t>
      </w:r>
      <w:proofErr w:type="spellStart"/>
      <w:r>
        <w:rPr>
          <w:i/>
        </w:rPr>
        <w:t>típica</w:t>
      </w:r>
      <w:proofErr w:type="spellEnd"/>
      <w:r>
        <w:t xml:space="preserve"> orchestras in San Antonio and Tucson (N.A. 1936, “Music: Relief Melodies,” 1936). State and federal agencies provided the funding to refurbish and rejuvenate Harlem’s Lafayette Theater, which offered staged Macbeth for over 130,000 audience members (Mathews 1975: 325). Other organizations in ethnic and minority neighborhoods launched or advanced the careers of local artists; the Harlem Art Center presented such shows, including work by now famous painters like Jacob Lawrence.</w:t>
      </w:r>
    </w:p>
    <w:p w14:paraId="5E34E9AE" w14:textId="77777777" w:rsidR="00C67E15" w:rsidRDefault="007D1B8E" w:rsidP="009F0EC6">
      <w:pPr>
        <w:pStyle w:val="normal0"/>
        <w:contextualSpacing w:val="0"/>
      </w:pPr>
      <w:r>
        <w:t>Operating under the aegis of federal, state, and local governments, some of these works were presented in benchmark arts organizations including the Smithsonian, the National Gallery, the Museum of Modern Art, and the Federal Art Gallery in New York (</w:t>
      </w:r>
      <w:proofErr w:type="spellStart"/>
      <w:r>
        <w:t>Greengard</w:t>
      </w:r>
      <w:proofErr w:type="spellEnd"/>
      <w:r>
        <w:t xml:space="preserve"> et al 1986). The Public Works of Art Project closed with a gigantic exhibition in Washington at which high-ranking government employees were encouraged to take what they liked and to display the art in their offices.</w:t>
      </w:r>
      <w:r>
        <w:rPr>
          <w:vertAlign w:val="superscript"/>
        </w:rPr>
        <w:footnoteReference w:id="10"/>
      </w:r>
      <w:r>
        <w:t xml:space="preserve"> President and Mrs. Roosevelt hosted a series of nine concerts of “traditional” musicians at the White House, including one in June 1939 </w:t>
      </w:r>
      <w:r>
        <w:lastRenderedPageBreak/>
        <w:t xml:space="preserve">attended by the King and Queen of England, the first reigning British monarchs to visit the U.S. The playbill included the mountain string band the Coon Creek Girls; Marion Anderson, the contralto opera singer; the North Carolina Spiritual Singers; and musicologist Alan Lomax, who performed cowboy songs. Federal One contributed to a transformation in the organization of art in America: curators and preservationists developed new competencies, organizations presented new kinds of work, new markets opened, and audiences acquired new modes of appreciation. </w:t>
      </w:r>
    </w:p>
    <w:p w14:paraId="2EF597AC" w14:textId="77777777" w:rsidR="00C67E15" w:rsidRPr="00664181" w:rsidRDefault="007D1B8E" w:rsidP="009F0EC6">
      <w:pPr>
        <w:pStyle w:val="normal0"/>
        <w:contextualSpacing w:val="0"/>
        <w:rPr>
          <w:b/>
        </w:rPr>
      </w:pPr>
      <w:r>
        <w:t xml:space="preserve">How lasting were these changes? The record keeping for WPA federal and state agencies was uneven and distributed across more than a hundred offices. We do know that some of the art and arts administrators had long careers. The original 22,000 plates from the Index of American Design are still housed at the National Gallery of Art in Washington, DC. The Newark Museum also has a large number of WPA works, including </w:t>
      </w:r>
      <w:proofErr w:type="spellStart"/>
      <w:r>
        <w:t>Minna</w:t>
      </w:r>
      <w:proofErr w:type="spellEnd"/>
      <w:r>
        <w:t xml:space="preserve"> Citron’s painting “Staten Island Ferry.” Yet, many other works produced in the New Deal era were destroyed, abandoned, or forgotten. </w:t>
      </w:r>
    </w:p>
    <w:p w14:paraId="1EC864B3" w14:textId="77777777" w:rsidR="00C67E15" w:rsidRDefault="007D1B8E" w:rsidP="009F0EC6">
      <w:pPr>
        <w:pStyle w:val="normal0"/>
        <w:contextualSpacing w:val="0"/>
      </w:pPr>
      <w:r>
        <w:t xml:space="preserve">It is somewhat easier to trace the fate of the WPA arts administrators, some of whom went on to helm large and influential organizations and brought with them a desire to diversify the art on offer. To trace just a single, important lineage: </w:t>
      </w:r>
      <w:proofErr w:type="spellStart"/>
      <w:r>
        <w:t>Holger</w:t>
      </w:r>
      <w:proofErr w:type="spellEnd"/>
      <w:r>
        <w:t xml:space="preserve"> Cahill left his position as the Director of the Federal Art Project (FAP, 1935-1943), and became a curator at the Newark Museum and then </w:t>
      </w:r>
      <w:proofErr w:type="spellStart"/>
      <w:r>
        <w:t>MoMA</w:t>
      </w:r>
      <w:proofErr w:type="spellEnd"/>
      <w:r>
        <w:t xml:space="preserve">, where he served as interim director for a year (1932-1933). In both jobs, he worked to canonize material that drew upon the nation’s folk traditions, a modernist project for which </w:t>
      </w:r>
      <w:proofErr w:type="spellStart"/>
      <w:r>
        <w:t>MoMA</w:t>
      </w:r>
      <w:proofErr w:type="spellEnd"/>
      <w:r>
        <w:t xml:space="preserve"> would become famous. Barr was succeeded at </w:t>
      </w:r>
      <w:proofErr w:type="spellStart"/>
      <w:r>
        <w:t>MoMA</w:t>
      </w:r>
      <w:proofErr w:type="spellEnd"/>
      <w:r>
        <w:t xml:space="preserve"> by René </w:t>
      </w:r>
      <w:proofErr w:type="spellStart"/>
      <w:r>
        <w:t>d'Harnoncourt</w:t>
      </w:r>
      <w:proofErr w:type="spellEnd"/>
      <w:r>
        <w:t xml:space="preserve">, former Manager of the WPA’s Indian Arts and Crafts Board. An advocate of folk art, </w:t>
      </w:r>
      <w:proofErr w:type="spellStart"/>
      <w:r>
        <w:t>d'Harnoncourt</w:t>
      </w:r>
      <w:proofErr w:type="spellEnd"/>
      <w:r>
        <w:t xml:space="preserve"> was an expert in Mexican, vernacular, and modern American art. During his tenure at </w:t>
      </w:r>
      <w:proofErr w:type="spellStart"/>
      <w:r>
        <w:t>MoMA</w:t>
      </w:r>
      <w:proofErr w:type="spellEnd"/>
      <w:r>
        <w:t xml:space="preserve"> (1949-1968), </w:t>
      </w:r>
      <w:proofErr w:type="spellStart"/>
      <w:r>
        <w:t>d’Harnoncourt</w:t>
      </w:r>
      <w:proofErr w:type="spellEnd"/>
      <w:r>
        <w:t xml:space="preserve"> supervised and curated numerous exhibitions of folk material from the U.S. and elsewhere including displays of American woodcuts (1952), “young American printmakers” (1954), </w:t>
      </w:r>
      <w:proofErr w:type="gramStart"/>
      <w:r>
        <w:t>paintings by “amateurs” (1955), graffiti (1956), and film posters</w:t>
      </w:r>
      <w:proofErr w:type="gramEnd"/>
      <w:r>
        <w:t xml:space="preserve"> (1960). He became a close advisor to Nelson A. Rockefeller, and supported his acquisition of an enormous collection of so-called “primitive art” from Africa, Oceania, and the Americas. Nelson presented this collection as </w:t>
      </w:r>
      <w:r>
        <w:lastRenderedPageBreak/>
        <w:t>the Museum of Primitive Art in 1957; it housed the nation's most extensive collection of art objects from Africa, Oceania, and the Americas. In the mid-1970s, it was transferred to the Metropolitan Museum of Art (NYC), signaling a shift in the museum’s opinion of these works from anthropological to aesthetic in character, and again, expanding the corpus of what counted as American art (</w:t>
      </w:r>
      <w:proofErr w:type="spellStart"/>
      <w:r>
        <w:t>LaGamma</w:t>
      </w:r>
      <w:proofErr w:type="spellEnd"/>
      <w:r>
        <w:t xml:space="preserve"> et al 2014). Equally significant changes were taking place in the performing arts as cultural capitalists moved benchmark arts organizations toward the goal of presenting American vernacular culture as art.</w:t>
      </w:r>
    </w:p>
    <w:p w14:paraId="08CBD7E2" w14:textId="77777777" w:rsidR="00C67E15" w:rsidRDefault="007D1B8E" w:rsidP="009F0EC6">
      <w:pPr>
        <w:pStyle w:val="normal0"/>
        <w:contextualSpacing w:val="0"/>
      </w:pPr>
      <w:r>
        <w:t xml:space="preserve">The significance of the aesthetic legitimation of some vernacular culture as art can also be seen in the creation of new organizations, and new regulatory and institutional practices. These include the American </w:t>
      </w:r>
      <w:proofErr w:type="spellStart"/>
      <w:r>
        <w:t>Folklife</w:t>
      </w:r>
      <w:proofErr w:type="spellEnd"/>
      <w:r>
        <w:t xml:space="preserve"> Preservation Act of 1976, the American </w:t>
      </w:r>
      <w:proofErr w:type="spellStart"/>
      <w:r>
        <w:t>Folklife</w:t>
      </w:r>
      <w:proofErr w:type="spellEnd"/>
      <w:r>
        <w:t xml:space="preserve"> Center, the Folk Arts Program at the National Endowment of the Arts, and UNESCO’s 2003 International Convention on the Safeguarding of Intangible Cultural Heritage (</w:t>
      </w:r>
      <w:proofErr w:type="spellStart"/>
      <w:r>
        <w:t>Kurin</w:t>
      </w:r>
      <w:proofErr w:type="spellEnd"/>
      <w:r>
        <w:t xml:space="preserve"> 1989: 18-19). These provide additional evidence of the artistic legitimation </w:t>
      </w:r>
      <w:proofErr w:type="gramStart"/>
      <w:r>
        <w:t>process taking</w:t>
      </w:r>
      <w:proofErr w:type="gramEnd"/>
      <w:r>
        <w:t xml:space="preserve"> place.</w:t>
      </w:r>
    </w:p>
    <w:p w14:paraId="0F25BD11" w14:textId="77777777" w:rsidR="00C67E15" w:rsidRDefault="007D1B8E" w:rsidP="009F0EC6">
      <w:pPr>
        <w:pStyle w:val="normal0"/>
        <w:contextualSpacing w:val="0"/>
      </w:pPr>
      <w:r>
        <w:t>Thus, we note historical evidence of significant organizational and institutional changes that take place in the lead birth years of the omnivorous generation, and take root during their enculturation process. As the oldest members of this generation aged into their early adulthood, these transformations matured. College-educated elites among them witnessed the closure of WPA art schools and the slow decline of public murals, but also must have come to expect the presentation of African sculpture and film posters as art—the exception became the norm. We hypothesize that these changes impacted the tastes of Americans born in this era, producing a distinct Omnivorous Generation.</w:t>
      </w:r>
    </w:p>
    <w:p w14:paraId="35D2DEFD" w14:textId="77777777" w:rsidR="00C67E15" w:rsidRPr="00664181" w:rsidRDefault="007D1B8E" w:rsidP="009F0EC6">
      <w:pPr>
        <w:pStyle w:val="Heading2"/>
        <w:contextualSpacing w:val="0"/>
        <w:jc w:val="both"/>
        <w:rPr>
          <w:sz w:val="26"/>
        </w:rPr>
      </w:pPr>
      <w:bookmarkStart w:id="37" w:name="_5otyb5864xb6" w:colFirst="0" w:colLast="0"/>
      <w:bookmarkEnd w:id="37"/>
      <w:r>
        <w:rPr>
          <w:sz w:val="26"/>
          <w:szCs w:val="26"/>
        </w:rPr>
        <w:t>2.3 Supplementary Analysis</w:t>
      </w:r>
    </w:p>
    <w:p w14:paraId="75C15105" w14:textId="0E942839" w:rsidR="00C67E15" w:rsidRPr="00664181" w:rsidRDefault="007D1B8E" w:rsidP="009F0EC6">
      <w:pPr>
        <w:pStyle w:val="normal0"/>
        <w:contextualSpacing w:val="0"/>
        <w:rPr>
          <w:sz w:val="20"/>
        </w:rPr>
      </w:pPr>
      <w:r>
        <w:t>Given our argument, it is instructive to compare generational differences across consumption domains that differ both by</w:t>
      </w:r>
      <w:r w:rsidR="009F0EC6">
        <w:t xml:space="preserve"> (a) levels of </w:t>
      </w:r>
      <w:proofErr w:type="gramStart"/>
      <w:r w:rsidR="009F0EC6">
        <w:t xml:space="preserve">differentiation </w:t>
      </w:r>
      <w:r w:rsidR="00664181">
        <w:t xml:space="preserve"> </w:t>
      </w:r>
      <w:r>
        <w:t>across</w:t>
      </w:r>
      <w:proofErr w:type="gramEnd"/>
      <w:r>
        <w:t xml:space="preserve"> social strata and (b) the likelihood of being an institutional conduit for the aesthetic legitimation of American vernacular culture. Out of the eight SPPA core participation activities, attendance at Art Museums and Craft Fairs and Art Festivals provide such a substantively motivated contrast (DiMaggio and </w:t>
      </w:r>
      <w:proofErr w:type="spellStart"/>
      <w:r>
        <w:t>Mukhtar</w:t>
      </w:r>
      <w:proofErr w:type="spellEnd"/>
      <w:r>
        <w:t xml:space="preserve"> 2004; </w:t>
      </w:r>
      <w:proofErr w:type="spellStart"/>
      <w:r>
        <w:t>López-Sintas</w:t>
      </w:r>
      <w:proofErr w:type="spellEnd"/>
      <w:r>
        <w:t xml:space="preserve"> and Katz-</w:t>
      </w:r>
      <w:proofErr w:type="spellStart"/>
      <w:r>
        <w:t>Gerro</w:t>
      </w:r>
      <w:proofErr w:type="spellEnd"/>
      <w:r>
        <w:t xml:space="preserve"> 2005). If our argument is on </w:t>
      </w:r>
      <w:r>
        <w:lastRenderedPageBreak/>
        <w:t>the right track, we should find sharper cohort differentiation patterns setting apart the Omnivorous Generation from other cohorts for Craft Fair and Art Festival attendance, since the latter was a locus of state-led institutional investment and a conduit of aesthetic legitimation practices. In addition, we should find a relative lack of differentiation between persons who have garnered elite markers of status (e.g. a college degree) and those without in the generational effect for Craft Fairs and Art Festivals in comparison to Art Museum attendance.</w:t>
      </w:r>
    </w:p>
    <w:p w14:paraId="144E271A" w14:textId="77777777" w:rsidR="00C67E15" w:rsidRDefault="007D1B8E" w:rsidP="009F0EC6">
      <w:pPr>
        <w:pStyle w:val="normal0"/>
        <w:contextualSpacing w:val="0"/>
      </w:pPr>
      <w:r>
        <w:t>[Figure 2 About Here]</w:t>
      </w:r>
    </w:p>
    <w:p w14:paraId="153ED4B5" w14:textId="77777777" w:rsidR="00C67E15" w:rsidRPr="00664181" w:rsidRDefault="007D1B8E" w:rsidP="009F0EC6">
      <w:pPr>
        <w:pStyle w:val="normal0"/>
        <w:contextualSpacing w:val="0"/>
        <w:rPr>
          <w:sz w:val="20"/>
        </w:rPr>
      </w:pPr>
      <w:r>
        <w:rPr>
          <w:sz w:val="20"/>
          <w:szCs w:val="20"/>
        </w:rPr>
        <w:t xml:space="preserve"> </w:t>
      </w:r>
    </w:p>
    <w:p w14:paraId="2672E970" w14:textId="77777777" w:rsidR="00C67E15" w:rsidRDefault="007D1B8E" w:rsidP="009F0EC6">
      <w:pPr>
        <w:pStyle w:val="normal0"/>
        <w:contextualSpacing w:val="0"/>
      </w:pPr>
      <w:r>
        <w:t>[Figure 3 About Here]</w:t>
      </w:r>
    </w:p>
    <w:p w14:paraId="217244AE" w14:textId="77777777" w:rsidR="00C67E15" w:rsidRPr="00664181" w:rsidRDefault="007D1B8E" w:rsidP="009F0EC6">
      <w:pPr>
        <w:pStyle w:val="normal0"/>
        <w:contextualSpacing w:val="0"/>
        <w:rPr>
          <w:sz w:val="20"/>
        </w:rPr>
      </w:pPr>
      <w:r>
        <w:rPr>
          <w:sz w:val="20"/>
          <w:szCs w:val="20"/>
        </w:rPr>
        <w:t xml:space="preserve"> </w:t>
      </w:r>
    </w:p>
    <w:p w14:paraId="37C19CA1" w14:textId="77777777" w:rsidR="00C67E15" w:rsidRDefault="007D1B8E" w:rsidP="009F0EC6">
      <w:pPr>
        <w:pStyle w:val="normal0"/>
        <w:contextualSpacing w:val="0"/>
      </w:pPr>
      <w:r>
        <w:t xml:space="preserve">Figures 2 and 3 show the results of cohort-specific participation likelihood estimates obtained from separate random-effects HAPC models estimated for persons without and with a college education (or more) for both participation in Art Festivals/Craft Fairs and Art Museum attendance (respectively). As before, the cohort effect is the deviation in the expected probability of participation in comparison to the cohort- and group-specific (college-educated versus non-college-educated) baseline rate. Since the effects are normalized to each group’s baseline, it is not appropriate to interpret these as absolute effects across groups but only as relative effects. For instance, stronger cohort effects for non-college educated individuals born in a particular cohort do not mean that the non-college educated are more likely to attend than the college educated (the absolute rate of attendance of college educated individuals is higher for all activities in all cohorts). Instead, it means that non-college educated persons born in that group have stronger </w:t>
      </w:r>
      <w:r>
        <w:rPr>
          <w:i/>
        </w:rPr>
        <w:t>deviations</w:t>
      </w:r>
      <w:r>
        <w:t xml:space="preserve"> from the overall baseline expectation for the non-college educated than college educated people born during those years have in relation to their </w:t>
      </w:r>
      <w:r>
        <w:rPr>
          <w:i/>
        </w:rPr>
        <w:t>own</w:t>
      </w:r>
      <w:r>
        <w:t xml:space="preserve"> college educated peers. Note, however, that even a proportionally “smaller” effect among the non-college educated may imply larger absolute effects, as the college educated are a comparative minority of the U.S. population, especially in the first half of the twentieth century.</w:t>
      </w:r>
    </w:p>
    <w:p w14:paraId="19A2A907" w14:textId="77777777" w:rsidR="00C67E15" w:rsidRDefault="007D1B8E" w:rsidP="009F0EC6">
      <w:pPr>
        <w:pStyle w:val="normal0"/>
        <w:contextualSpacing w:val="0"/>
      </w:pPr>
      <w:r>
        <w:t xml:space="preserve">The results of this analysis show the Omnivorous Generation effect crosses the </w:t>
      </w:r>
      <w:r>
        <w:lastRenderedPageBreak/>
        <w:t xml:space="preserve">education divide, and it illustrates the mediation of this generation’s arts engagement by artistic form and education. First, the generational effect is of a much stronger substantive magnitude for Art Festival/Craft Fair attendance than attendance at Art Museums. Second, there are education-based differences in the cohort effect: it is stronger for </w:t>
      </w:r>
      <w:proofErr w:type="gramStart"/>
      <w:r>
        <w:t>college educated</w:t>
      </w:r>
      <w:proofErr w:type="gramEnd"/>
      <w:r>
        <w:t xml:space="preserve"> persons born between 1930 and 1950. However, the difference within this cohort between those with college educations and those without is larger for Art Museums than it for Art Festivals. Third, we can observe positive cohort effects (in relation to generational peers without a college education) among non-college educated Americans born between 1915 and 1929 when it comes to participation in Art Festivals and Craft Fairs. This suggests that less educated Americans coming of age during the Progressive Era may have benefited from cultural activation mechanisms that did not depend on access to elite cultural capital from higher-education institutions (DiMaggio 2000). This is what we would expect if the WPA programs in fact facilitated the expansion of, and broadened access to, this domain of cultural enjoyment. Art Festivals and Craft Fairs are thus among the group of participatory activities that may have functioned as gateways into other forms of arts participation, like attendance at museums, as shown by the positive cohort effects on this outcome for non-college educated individuals born during the Progressive Era (Figure 3).</w:t>
      </w:r>
      <w:r>
        <w:rPr>
          <w:vertAlign w:val="superscript"/>
        </w:rPr>
        <w:footnoteReference w:id="11"/>
      </w:r>
    </w:p>
    <w:p w14:paraId="103B3189" w14:textId="77777777" w:rsidR="00C67E15" w:rsidRDefault="007D1B8E" w:rsidP="009F0EC6">
      <w:pPr>
        <w:pStyle w:val="Heading1"/>
        <w:contextualSpacing w:val="0"/>
        <w:jc w:val="both"/>
      </w:pPr>
      <w:bookmarkStart w:id="39" w:name="_h0vbui6woko5" w:colFirst="0" w:colLast="0"/>
      <w:bookmarkEnd w:id="39"/>
      <w:r>
        <w:t xml:space="preserve">3.0 Alternative Explanations </w:t>
      </w:r>
    </w:p>
    <w:p w14:paraId="49E80CE4" w14:textId="77777777" w:rsidR="00C67E15" w:rsidRDefault="007D1B8E" w:rsidP="009F0EC6">
      <w:pPr>
        <w:pStyle w:val="normal0"/>
        <w:contextualSpacing w:val="0"/>
      </w:pPr>
      <w:r>
        <w:t xml:space="preserve">Based on an analysis of the cumulative data file covering six waves of the SPPA, our results confirm </w:t>
      </w:r>
      <w:proofErr w:type="spellStart"/>
      <w:r>
        <w:t>López-Sintas</w:t>
      </w:r>
      <w:proofErr w:type="spellEnd"/>
      <w:r>
        <w:t xml:space="preserve"> and Kats-</w:t>
      </w:r>
      <w:proofErr w:type="spellStart"/>
      <w:r>
        <w:t>Gerro</w:t>
      </w:r>
      <w:proofErr w:type="spellEnd"/>
      <w:r>
        <w:t xml:space="preserve"> (2005) and </w:t>
      </w:r>
      <w:proofErr w:type="spellStart"/>
      <w:r>
        <w:t>Rossman</w:t>
      </w:r>
      <w:proofErr w:type="spellEnd"/>
      <w:r>
        <w:t xml:space="preserve"> and Peterson’s (2015) conception of </w:t>
      </w:r>
      <w:proofErr w:type="spellStart"/>
      <w:r>
        <w:t>omnivorousness</w:t>
      </w:r>
      <w:proofErr w:type="spellEnd"/>
      <w:r>
        <w:t xml:space="preserve"> as a generational phenomenon. Prior analyses of the features of status-defining tastes in the United States have linked transformations in tastes to transformations in arts organizations and institutions (DiMaggio 1982; Peterson and Kern 1996). Based on the discovery of an omnivorous generation of Americans born in the post-Progressive Era, we hypothesize that this cohort’s exposure to a novel set of experiences in </w:t>
      </w:r>
      <w:r>
        <w:lastRenderedPageBreak/>
        <w:t>and around the American arts, as a result of New Deal arts programs and their diversification of the artistic canon, is one likely contributor.</w:t>
      </w:r>
    </w:p>
    <w:p w14:paraId="6643628A" w14:textId="77777777" w:rsidR="00C67E15" w:rsidRDefault="007D1B8E" w:rsidP="009F0EC6">
      <w:pPr>
        <w:pStyle w:val="normal0"/>
        <w:contextualSpacing w:val="0"/>
      </w:pPr>
      <w:r>
        <w:t xml:space="preserve"> The changes we link to the New Deal are not taking place in a vacuum, and might have been buttressed by other transformations noted by scholars seeking to explain the rise of </w:t>
      </w:r>
      <w:proofErr w:type="spellStart"/>
      <w:r>
        <w:t>omnivorousness</w:t>
      </w:r>
      <w:proofErr w:type="spellEnd"/>
      <w:r>
        <w:t>. Those include the “emergence of an inclusive national culture, linking local economies, identities, and lifestyles” (Hall 1984); the occlusion of administrative control of the arts from an essentially hereditary, urban elite by a large class of upwardly-mobile college graduates (DiMaggio 2000); the subsequent managerial revolution in the arts (</w:t>
      </w:r>
      <w:proofErr w:type="spellStart"/>
      <w:r>
        <w:t>Zolberg</w:t>
      </w:r>
      <w:proofErr w:type="spellEnd"/>
      <w:r>
        <w:t xml:space="preserve"> 1986; Meyer 1979; DiMaggio 1991, 2000); the expansion of art education, advocacy, and trade union and guild solidarity by artists (McDonald 1969: 345); and the expansion of public, foundation, and corporate support for the arts (</w:t>
      </w:r>
      <w:proofErr w:type="spellStart"/>
      <w:r>
        <w:t>Zolberg</w:t>
      </w:r>
      <w:proofErr w:type="spellEnd"/>
      <w:r>
        <w:t xml:space="preserve"> 1981, 1986; DiMaggio 2000). Some have also pointed toward macro-social transformations including pervasive and powerful media presentations of global culture (</w:t>
      </w:r>
      <w:proofErr w:type="spellStart"/>
      <w:r>
        <w:t>Appadurai</w:t>
      </w:r>
      <w:proofErr w:type="spellEnd"/>
      <w:r>
        <w:t xml:space="preserve"> 1996; </w:t>
      </w:r>
      <w:proofErr w:type="spellStart"/>
      <w:r>
        <w:t>Kuipers</w:t>
      </w:r>
      <w:proofErr w:type="spellEnd"/>
      <w:r>
        <w:t xml:space="preserve"> and de </w:t>
      </w:r>
      <w:proofErr w:type="spellStart"/>
      <w:r>
        <w:t>Kloet</w:t>
      </w:r>
      <w:proofErr w:type="spellEnd"/>
      <w:r>
        <w:t xml:space="preserve"> 2009; Wright, </w:t>
      </w:r>
      <w:proofErr w:type="spellStart"/>
      <w:r>
        <w:t>Purhonen</w:t>
      </w:r>
      <w:proofErr w:type="spellEnd"/>
      <w:r>
        <w:t xml:space="preserve"> and </w:t>
      </w:r>
      <w:proofErr w:type="spellStart"/>
      <w:r>
        <w:t>Heikkilä</w:t>
      </w:r>
      <w:proofErr w:type="spellEnd"/>
      <w:r>
        <w:t xml:space="preserve"> 2013), the exhaustion of the modernist aesthetic as a cultural force and the subsequent hegemony of consumer culture (Wright 2011; </w:t>
      </w:r>
      <w:proofErr w:type="spellStart"/>
      <w:r>
        <w:t>Hanquinet</w:t>
      </w:r>
      <w:proofErr w:type="spellEnd"/>
      <w:r>
        <w:t xml:space="preserve">, </w:t>
      </w:r>
      <w:proofErr w:type="spellStart"/>
      <w:r>
        <w:t>Roose</w:t>
      </w:r>
      <w:proofErr w:type="spellEnd"/>
      <w:r>
        <w:t xml:space="preserve"> and Savage 2014), and increasing social and geographic mobility (Peterson and Kern 1996; Van </w:t>
      </w:r>
      <w:proofErr w:type="spellStart"/>
      <w:r>
        <w:t>Eijck</w:t>
      </w:r>
      <w:proofErr w:type="spellEnd"/>
      <w:r>
        <w:t xml:space="preserve"> 2001; </w:t>
      </w:r>
      <w:proofErr w:type="spellStart"/>
      <w:r>
        <w:t>Daenekindt</w:t>
      </w:r>
      <w:proofErr w:type="spellEnd"/>
      <w:r>
        <w:t xml:space="preserve"> and </w:t>
      </w:r>
      <w:proofErr w:type="spellStart"/>
      <w:r>
        <w:t>Roose</w:t>
      </w:r>
      <w:proofErr w:type="spellEnd"/>
      <w:r>
        <w:t xml:space="preserve"> 2014; </w:t>
      </w:r>
      <w:proofErr w:type="spellStart"/>
      <w:r>
        <w:t>Emmison</w:t>
      </w:r>
      <w:proofErr w:type="spellEnd"/>
      <w:r>
        <w:t xml:space="preserve"> 2003).</w:t>
      </w:r>
    </w:p>
    <w:p w14:paraId="42282E8F" w14:textId="77777777" w:rsidR="00C67E15" w:rsidRDefault="007D1B8E" w:rsidP="009F0EC6">
      <w:pPr>
        <w:pStyle w:val="normal0"/>
        <w:contextualSpacing w:val="0"/>
      </w:pPr>
      <w:r>
        <w:t xml:space="preserve">While the current research is not designed to adjudicate between possible explanations for our primary finding of an Omnivorous Generation, we hypothesize that some lines of inquiry are more likely to yield results than others. Any theory that contains generative mechanisms with stable state properties, or which exert increasing influence, like social and geographic mobility, can not explain a </w:t>
      </w:r>
      <w:r>
        <w:rPr>
          <w:i/>
        </w:rPr>
        <w:t>generational</w:t>
      </w:r>
      <w:r>
        <w:t xml:space="preserve"> effect. That we witness declining arts participation and declining rates of </w:t>
      </w:r>
      <w:proofErr w:type="spellStart"/>
      <w:r>
        <w:t>omnivorousness</w:t>
      </w:r>
      <w:proofErr w:type="spellEnd"/>
      <w:r>
        <w:t xml:space="preserve"> in more recent birth cohorts, suggests that this specie of mechanism is unlikely to be present.</w:t>
      </w:r>
    </w:p>
    <w:p w14:paraId="1A8F0968" w14:textId="77777777" w:rsidR="00C67E15" w:rsidRDefault="007D1B8E" w:rsidP="009F0EC6">
      <w:pPr>
        <w:pStyle w:val="normal0"/>
        <w:contextualSpacing w:val="0"/>
      </w:pPr>
      <w:r>
        <w:t xml:space="preserve">It is reasonable to expect that the legacy of institutional work enacted during the Progressive Era would carry forward, producing multiple subsequent generations of omnivores. Yet, our results (Table 3) indicate that the cohorts born after the mid-1950s have baseline or slightly below baseline likelihoods of consuming all eight cultural forms. Why do levels of </w:t>
      </w:r>
      <w:proofErr w:type="spellStart"/>
      <w:r>
        <w:t>omnivorousness</w:t>
      </w:r>
      <w:proofErr w:type="spellEnd"/>
      <w:r>
        <w:t xml:space="preserve"> decline in the post-1950s birth cohorts? We have focused our </w:t>
      </w:r>
      <w:r>
        <w:lastRenderedPageBreak/>
        <w:t xml:space="preserve">analysis on the main finding of an omnivorous generation, but we can offer some speculation about the conditions that might have produced its apparent decline. These include the gradual decline of organizational resources, the shift of subsidy from artists to audiences, and potential drift of status-defining tastes toward forms of culture that are not captured by these data. </w:t>
      </w:r>
    </w:p>
    <w:p w14:paraId="7C688C01" w14:textId="77777777" w:rsidR="00C67E15" w:rsidRDefault="007D1B8E" w:rsidP="009F0EC6">
      <w:pPr>
        <w:pStyle w:val="normal0"/>
        <w:contextualSpacing w:val="0"/>
      </w:pPr>
      <w:r>
        <w:t xml:space="preserve"> While most additions to the canon remained, and the basic classification schema remained in place, the end of the New Deal heralded the gradual decline of other resources. Art schools closed, murals were over-painted, and comprehensive work relief for artists ended by the war years. </w:t>
      </w:r>
      <w:proofErr w:type="gramStart"/>
      <w:r>
        <w:t>Federal subsidies for individual artists were reintroduced by the National Endowment</w:t>
      </w:r>
      <w:proofErr w:type="gramEnd"/>
      <w:r>
        <w:t xml:space="preserve"> for the Arts (NEA) after it was established by Congress in 1965, but these were competitive grants programs designed to facilitate artistic excellence and innovation. When NEA individual grants were effectively ended in 1994 in the wake of controversies around funding for the so-called “NEA Four,” federal cultural policy shifted to support organizations and to increase audience access and participation (</w:t>
      </w:r>
      <w:proofErr w:type="spellStart"/>
      <w:r>
        <w:t>Chartrand</w:t>
      </w:r>
      <w:proofErr w:type="spellEnd"/>
      <w:r>
        <w:t xml:space="preserve"> and McCaughey 1989).</w:t>
      </w:r>
      <w:r>
        <w:rPr>
          <w:vertAlign w:val="superscript"/>
        </w:rPr>
        <w:footnoteReference w:id="12"/>
      </w:r>
      <w:r>
        <w:t xml:space="preserve"> Finally, while it is difficult to compare dollar-to-dollar the impact of WPA-era agencies and the NEA (due to distributed and poor record-keeping in the 1930s and 40s, and the “multiplying effect” of NEA grants which throws off estimates of their “real” value), the government was the primary supporter of the arts in the Progressive Era, but now provides only 10% of financial support for arts organizations, only 2% of which comes from the feds, and only 1% from the NEA (Cowen 2004). In short, the amount and provisioning of resources to support the arts is unique from 1931 to about 1943, and so the constellation of factors that produced the omnivorous generation were only partially (and sometimes only weakly) present for their children. However, there is demonstrable evidence to confirm our argument that there is an association between the rise of </w:t>
      </w:r>
      <w:proofErr w:type="spellStart"/>
      <w:r>
        <w:t>omnivorousness</w:t>
      </w:r>
      <w:proofErr w:type="spellEnd"/>
      <w:r>
        <w:t xml:space="preserve"> and the legitimation of new works and new genres, but not because there is a “meltdown scenario” in which the arts have begun to fail as a signal of cultural capital (DiMaggio and </w:t>
      </w:r>
      <w:proofErr w:type="spellStart"/>
      <w:r>
        <w:lastRenderedPageBreak/>
        <w:t>Mukhtar</w:t>
      </w:r>
      <w:proofErr w:type="spellEnd"/>
      <w:r>
        <w:t xml:space="preserve"> 2004).</w:t>
      </w:r>
    </w:p>
    <w:p w14:paraId="51D00F87" w14:textId="77777777" w:rsidR="00C67E15" w:rsidRDefault="007D1B8E" w:rsidP="009F0EC6">
      <w:pPr>
        <w:pStyle w:val="normal0"/>
        <w:contextualSpacing w:val="0"/>
      </w:pPr>
      <w:r>
        <w:t>To be sure, some Americans consume both vernacular culture and art. We have argued that this breadth of interest is a condition for initiating the process of artistic legitimation, the outcome of which is the expansion of artistic canons to include new works, and the broadening of definitions of art to include new genres and styles. Is there a young omnivorous generation that our analysis is missing because the art they consume is not queried by the SPPA? Scholars pursuing this result would have to identify organizational and institutional transformations in the post-War arts that led to new patterns in status-granting behavior. They would then identify multiple categories of newly legitimate arts that are independent of those queried on the SPPA. Since the core participation questions we utilize focus on some organizational sites where multiple genres of art are presented (e.g., “art museums”), it may be difficult to identify participation in newly legitimate arts that are not already being tapped by the existing questions. In other cases (e.g., graphic novels), there is scholarly consensus that the field is undergoing artistic legitimation, yet we might reasonably state respondents do not have a place to indicate their participation in this art form on the SPPA. Even when that is the case, such results are unlikely to eliminate the generational effect reported herein, as they are robust to multiple specifications</w:t>
      </w:r>
      <w:r>
        <w:rPr>
          <w:b/>
        </w:rPr>
        <w:t xml:space="preserve"> </w:t>
      </w:r>
      <w:r>
        <w:t>(see Appendix), and mainly bear on the question of whether later generations exist.</w:t>
      </w:r>
    </w:p>
    <w:p w14:paraId="35F08FFA" w14:textId="07383AF3" w:rsidR="00C67E15" w:rsidRDefault="007D1B8E" w:rsidP="009F0EC6">
      <w:pPr>
        <w:pStyle w:val="normal0"/>
        <w:contextualSpacing w:val="0"/>
      </w:pPr>
      <w:r>
        <w:t xml:space="preserve">Finally, it is important to note that some studies of </w:t>
      </w:r>
      <w:proofErr w:type="spellStart"/>
      <w:r>
        <w:t>omnivorousness</w:t>
      </w:r>
      <w:proofErr w:type="spellEnd"/>
      <w:r>
        <w:t xml:space="preserve"> have relaxed the association of the concept with taste hierarchies, and instead utilize it as a way of thinking of how cultural tastes link individuals to groups, and groups to one another. If you begin from this premise--very different from our own--that contemporary Americans have broad tastes for many kinds of culture, the SPPA will be a frustrating and dull instrument. It provides little information on participation in the many forms of contemporary, popular culture that are most broadly enjoyed (e.g., video games, NASCAR), and categories are so broadly defined as to obscure salient distinctions, especially between generations. For example, the music preference questions ask respondents if they enjoy “rock,” a style of music that has entertained multiple generations of fans who may not enjoy the same style of music in real terms, as some of them are imagining Elvis Presley and others Marilyn Manson. The re</w:t>
      </w:r>
      <w:r w:rsidR="009F0EC6">
        <w:t>-</w:t>
      </w:r>
      <w:r>
        <w:lastRenderedPageBreak/>
        <w:t xml:space="preserve">specification of the concept of </w:t>
      </w:r>
      <w:proofErr w:type="spellStart"/>
      <w:r>
        <w:t>omnivorousness</w:t>
      </w:r>
      <w:proofErr w:type="spellEnd"/>
      <w:r>
        <w:t xml:space="preserve"> to refer to “taste groups” has led to profound confusion in the field; we think it’s original use in dialogue with art genres holds the greatest potential for future research.</w:t>
      </w:r>
    </w:p>
    <w:p w14:paraId="68D02CCE" w14:textId="77777777" w:rsidR="00C67E15" w:rsidRDefault="007D1B8E" w:rsidP="009F0EC6">
      <w:pPr>
        <w:pStyle w:val="normal0"/>
        <w:contextualSpacing w:val="0"/>
      </w:pPr>
      <w:r>
        <w:t xml:space="preserve">As the literature on </w:t>
      </w:r>
      <w:proofErr w:type="spellStart"/>
      <w:r>
        <w:t>omnivorousness</w:t>
      </w:r>
      <w:proofErr w:type="spellEnd"/>
      <w:r>
        <w:t xml:space="preserve"> has grown, scholars have discovered evidence in multiple other nations, including Netherlands, France, Germany, Spain, Austria, and Australia among others (see Peterson 2015 for a review). Does global evidence of </w:t>
      </w:r>
      <w:proofErr w:type="spellStart"/>
      <w:r>
        <w:t>omnivorousness</w:t>
      </w:r>
      <w:proofErr w:type="spellEnd"/>
      <w:r>
        <w:t xml:space="preserve"> indicate our hypothesized association with organizational and institutional change in the American arts during the post-Progressive Era is a weak explanation? First, it is important to note that none of these studies, to our knowledge, seek to identify generational patterns that may be present. We hope to inspire scholars working with non-U.S. data to investigate the possibility that </w:t>
      </w:r>
      <w:proofErr w:type="spellStart"/>
      <w:r>
        <w:t>omnivorousness</w:t>
      </w:r>
      <w:proofErr w:type="spellEnd"/>
      <w:r>
        <w:t xml:space="preserve"> can function as a </w:t>
      </w:r>
      <w:r>
        <w:rPr>
          <w:i/>
        </w:rPr>
        <w:t xml:space="preserve">generational </w:t>
      </w:r>
      <w:r>
        <w:t xml:space="preserve">trait, because group-level measurement of the phenomenon is the ideal method to adjudicate these hypotheses. </w:t>
      </w:r>
    </w:p>
    <w:p w14:paraId="1553C384" w14:textId="77777777" w:rsidR="00C67E15" w:rsidRDefault="007D1B8E" w:rsidP="009F0EC6">
      <w:pPr>
        <w:pStyle w:val="normal0"/>
        <w:contextualSpacing w:val="0"/>
      </w:pPr>
      <w:r>
        <w:t>If such discoveries were made, scholars would have to explain how varied policy structures (and funding models) produced similar distributions of taste (and prestige). In the broadest sense, the factors that gave birth to the Omnivorous Generation (e.g., economic depression, state and educational expansion) were felt around the world. We expect that the capacity and orientation of federal governments to respond to those conditions with cultural policy solutions varied greatly. The timing, scale, and focus of any such investment would impact the likelihood that generational effects would result, and would resemble those we have identified in the U.S. In point of fact, the direct subsidies of the 1930s appear to have produced an Omnivorous Generation in the U.S., while reliance on third-party provision of organizational grants to encourage participation (post-1965) has not. All government support for the arts is not equal, and that logic must guide replication studies abroad.</w:t>
      </w:r>
    </w:p>
    <w:p w14:paraId="498048EA" w14:textId="77777777" w:rsidR="00C67E15" w:rsidRDefault="007D1B8E" w:rsidP="009F0EC6">
      <w:pPr>
        <w:pStyle w:val="normal0"/>
        <w:contextualSpacing w:val="0"/>
      </w:pPr>
      <w:r>
        <w:t>It is also possible that organizational and institutional transformations abroad could have resulted from isomorphic pressures exerted by changes in the U.S., without having grounding in any domestic work relief program. Whether there are broad cross-national commonalities or synchronicities in the emergence and generational location of omnivorous expression should be left as an empirical question to be answered in each national setting.</w:t>
      </w:r>
    </w:p>
    <w:p w14:paraId="597A080E" w14:textId="77777777" w:rsidR="00C67E15" w:rsidRDefault="007D1B8E" w:rsidP="009F0EC6">
      <w:pPr>
        <w:pStyle w:val="Heading1"/>
        <w:contextualSpacing w:val="0"/>
      </w:pPr>
      <w:bookmarkStart w:id="40" w:name="_3vdxr1tubkb2" w:colFirst="0" w:colLast="0"/>
      <w:bookmarkEnd w:id="40"/>
      <w:r>
        <w:lastRenderedPageBreak/>
        <w:t>4.0 Discussion and Concluding Remarks</w:t>
      </w:r>
    </w:p>
    <w:p w14:paraId="3993F321" w14:textId="77777777" w:rsidR="00C67E15" w:rsidRDefault="007D1B8E" w:rsidP="00664181">
      <w:pPr>
        <w:pStyle w:val="Heading2"/>
        <w:spacing w:before="400" w:after="200"/>
        <w:contextualSpacing w:val="0"/>
      </w:pPr>
      <w:bookmarkStart w:id="41" w:name="_4zkxdswleydh" w:colFirst="0" w:colLast="0"/>
      <w:bookmarkEnd w:id="41"/>
      <w:r>
        <w:t xml:space="preserve">4.1 Epochal shifts versus Generations: Consequences for </w:t>
      </w:r>
      <w:proofErr w:type="spellStart"/>
      <w:r>
        <w:t>Omnivorousness</w:t>
      </w:r>
      <w:proofErr w:type="spellEnd"/>
      <w:r>
        <w:t xml:space="preserve"> Research</w:t>
      </w:r>
    </w:p>
    <w:p w14:paraId="7BE2FDFE" w14:textId="133A408A" w:rsidR="00C67E15" w:rsidRDefault="007D1B8E" w:rsidP="009F0EC6">
      <w:pPr>
        <w:pStyle w:val="normal0"/>
        <w:contextualSpacing w:val="0"/>
      </w:pPr>
      <w:r>
        <w:t xml:space="preserve">We have examined the consequences for cultural consumption of a transformation in the artistic classification system. This allows us to link institutional activity around the category of American art to historically enduring dispositions in the likelihood of different generational clusters to broadly engage the arts. In this way, the current research is of relevance to work on the sources of transformation in cultural taste (DiMaggio and </w:t>
      </w:r>
      <w:proofErr w:type="spellStart"/>
      <w:r>
        <w:t>Mukhtar</w:t>
      </w:r>
      <w:proofErr w:type="spellEnd"/>
      <w:r>
        <w:t xml:space="preserve"> 2004; </w:t>
      </w:r>
      <w:proofErr w:type="spellStart"/>
      <w:r>
        <w:t>López-Sintas</w:t>
      </w:r>
      <w:proofErr w:type="spellEnd"/>
      <w:r>
        <w:t xml:space="preserve"> and Katz-</w:t>
      </w:r>
      <w:proofErr w:type="spellStart"/>
      <w:r>
        <w:t>Gerro</w:t>
      </w:r>
      <w:proofErr w:type="spellEnd"/>
      <w:r>
        <w:t xml:space="preserve"> 2005; Garcia-Alvarez, </w:t>
      </w:r>
      <w:proofErr w:type="spellStart"/>
      <w:r>
        <w:t>López-Sintas</w:t>
      </w:r>
      <w:proofErr w:type="spellEnd"/>
      <w:r>
        <w:t xml:space="preserve"> and Katz-</w:t>
      </w:r>
      <w:proofErr w:type="spellStart"/>
      <w:r>
        <w:t>Gerro</w:t>
      </w:r>
      <w:proofErr w:type="spellEnd"/>
      <w:r>
        <w:t xml:space="preserve"> 2007; Johnston and Baumann 2007; </w:t>
      </w:r>
      <w:proofErr w:type="spellStart"/>
      <w:r>
        <w:t>Rossman</w:t>
      </w:r>
      <w:proofErr w:type="spellEnd"/>
      <w:r>
        <w:t xml:space="preserve"> and Peterson 2015). Our analysis advances the literature in demonstrating the analytic payoff of taking temporality seriously for the purpose of elucidating the mechanisms that generate cultural tastes (Reeves 2015). Unlike our peers, we focus on </w:t>
      </w:r>
      <w:proofErr w:type="spellStart"/>
      <w:r>
        <w:t>omnivorousnes</w:t>
      </w:r>
      <w:r w:rsidR="009F0EC6">
        <w:t>s</w:t>
      </w:r>
      <w:proofErr w:type="spellEnd"/>
      <w:r w:rsidR="009F0EC6">
        <w:t xml:space="preserve"> as a group-level phenomenon,</w:t>
      </w:r>
      <w:r w:rsidR="00664181">
        <w:t xml:space="preserve"> </w:t>
      </w:r>
      <w:r>
        <w:t xml:space="preserve">demonstrating how </w:t>
      </w:r>
      <w:proofErr w:type="gramStart"/>
      <w:r>
        <w:t>the uptake of cultural goods previously marked as vernacular culture by art publics is conditioned by historically specific processes of institutional change, institution building, and cultural expansion</w:t>
      </w:r>
      <w:proofErr w:type="gramEnd"/>
      <w:r>
        <w:t xml:space="preserve">. Our argument addresses a key issue raised by a small but growing chorus of voices clamoring to situate the omnivore taste phenomenon in a more encompassing macro-historical context, one attentive to case-specific historical trajectories (Johnston and Baumann 2007; Fishman and </w:t>
      </w:r>
      <w:proofErr w:type="spellStart"/>
      <w:r>
        <w:t>Lizardo</w:t>
      </w:r>
      <w:proofErr w:type="spellEnd"/>
      <w:r>
        <w:t xml:space="preserve"> 2013; </w:t>
      </w:r>
      <w:proofErr w:type="spellStart"/>
      <w:r>
        <w:t>Hanquinet</w:t>
      </w:r>
      <w:proofErr w:type="spellEnd"/>
      <w:r>
        <w:t xml:space="preserve">, </w:t>
      </w:r>
      <w:proofErr w:type="spellStart"/>
      <w:r>
        <w:t>Roose</w:t>
      </w:r>
      <w:proofErr w:type="spellEnd"/>
      <w:r>
        <w:t xml:space="preserve"> and Savage 2014; </w:t>
      </w:r>
      <w:proofErr w:type="spellStart"/>
      <w:r>
        <w:t>Prieur</w:t>
      </w:r>
      <w:proofErr w:type="spellEnd"/>
      <w:r>
        <w:t xml:space="preserve"> and Savage 2013; </w:t>
      </w:r>
      <w:proofErr w:type="spellStart"/>
      <w:r>
        <w:t>Lizardo</w:t>
      </w:r>
      <w:proofErr w:type="spellEnd"/>
      <w:r>
        <w:t xml:space="preserve"> 2008; Wright 2011). </w:t>
      </w:r>
    </w:p>
    <w:p w14:paraId="4E3704A4" w14:textId="77777777" w:rsidR="00C67E15" w:rsidRDefault="007D1B8E" w:rsidP="009F0EC6">
      <w:pPr>
        <w:pStyle w:val="normal0"/>
        <w:contextualSpacing w:val="0"/>
      </w:pPr>
      <w:r>
        <w:t xml:space="preserve">We have shown that historically rooted institutional processes constituted a generation distinct in its relative openness to engagement across a wide set of artistic offerings. Our results thus point to the possibility that the accumulation of new tastes can be a group level phenomenon, emerging as a response to the dynamic expansion of the arts to include formerly vernacular or “middlebrow” fare, particularly after the mid-century. Importantly, this implies that speaking of </w:t>
      </w:r>
      <w:proofErr w:type="spellStart"/>
      <w:r>
        <w:t>omnivorousness</w:t>
      </w:r>
      <w:proofErr w:type="spellEnd"/>
      <w:r>
        <w:t xml:space="preserve"> in terms that do not take into account the specific historical conditions under which clusters of individuals come of age has its limitations. Simply put, future research needs to consider the possibility that the current focus on individual-level </w:t>
      </w:r>
      <w:proofErr w:type="spellStart"/>
      <w:r>
        <w:t>omnivorousness</w:t>
      </w:r>
      <w:proofErr w:type="spellEnd"/>
      <w:r>
        <w:t xml:space="preserve"> masks variegated, partially overlapping </w:t>
      </w:r>
      <w:r>
        <w:lastRenderedPageBreak/>
        <w:t xml:space="preserve">institutional processes of artistic valorization, whose outcomes ripple through distinct generations of art consumers in historically uneven, temporally “lumpy” ways. Some scholars have begun to test the impact of macro- and </w:t>
      </w:r>
      <w:proofErr w:type="spellStart"/>
      <w:r>
        <w:t>meso</w:t>
      </w:r>
      <w:proofErr w:type="spellEnd"/>
      <w:r>
        <w:t xml:space="preserve">-structural factors to explain the rise of </w:t>
      </w:r>
      <w:proofErr w:type="spellStart"/>
      <w:r>
        <w:t>omnivorousness</w:t>
      </w:r>
      <w:proofErr w:type="spellEnd"/>
      <w:r>
        <w:t xml:space="preserve">, to mixed results. Such investigations typically fail to reveal variation in highbrow omnivores, and scholars then discard the explanatory role of contextual factors (e.g. Lambert et al 2005). </w:t>
      </w:r>
    </w:p>
    <w:p w14:paraId="2FB9DBB9" w14:textId="77777777" w:rsidR="00C67E15" w:rsidRDefault="007D1B8E" w:rsidP="009F0EC6">
      <w:pPr>
        <w:pStyle w:val="normal0"/>
        <w:contextualSpacing w:val="0"/>
      </w:pPr>
      <w:r>
        <w:t>Our analysis does suggest that while attention to institutional, organizational, and state-led projects geared towards the expansion of the aesthetic canon is important, ultimately the “</w:t>
      </w:r>
      <w:proofErr w:type="spellStart"/>
      <w:r>
        <w:t>historicality</w:t>
      </w:r>
      <w:proofErr w:type="spellEnd"/>
      <w:r>
        <w:t>” produced by these factors must ultimately be encoded in individuals to be causally effective (Abbott 2016). In addition, because individuals carry these encodings forward over their lifetime, the effects of institutional transformations go beyond their immediate (contemporaneous) influence. Instead, culture consumption behavior may exhibit consistent heterogeneity that is not fully traceable to current opportunities and constraints (“period effects”) but which instead need to be traced to generational legacy effects (</w:t>
      </w:r>
      <w:proofErr w:type="spellStart"/>
      <w:r>
        <w:t>Greve</w:t>
      </w:r>
      <w:proofErr w:type="spellEnd"/>
      <w:r>
        <w:t xml:space="preserve"> and </w:t>
      </w:r>
      <w:proofErr w:type="spellStart"/>
      <w:r>
        <w:t>Rao</w:t>
      </w:r>
      <w:proofErr w:type="spellEnd"/>
      <w:r>
        <w:t xml:space="preserve"> 2014).  Most research in the field focuses on individual level stratification within generations, traceable to class, gender, or race.</w:t>
      </w:r>
      <w:r>
        <w:rPr>
          <w:vertAlign w:val="superscript"/>
        </w:rPr>
        <w:footnoteReference w:id="13"/>
      </w:r>
      <w:r>
        <w:t xml:space="preserve"> We argue that explanations of the existence </w:t>
      </w:r>
      <w:proofErr w:type="gramStart"/>
      <w:r>
        <w:t>of a generationally specific forms</w:t>
      </w:r>
      <w:proofErr w:type="gramEnd"/>
      <w:r>
        <w:t xml:space="preserve"> of avid engagement in the arts are enhanced by understanding major institutional and organizational transformations during the Progressive Era. We may make our explanations of heterogeneity in cultural engagement (in the U.S., abroad, or cross-nationally) more robust by linking structured differences to historical conditions of genesis rather than looking at more temporally proximate factors. This should be a focus of further research on the subject. </w:t>
      </w:r>
    </w:p>
    <w:p w14:paraId="082F2160" w14:textId="77777777" w:rsidR="00C67E15" w:rsidRDefault="007D1B8E" w:rsidP="00664181">
      <w:pPr>
        <w:pStyle w:val="Heading2"/>
        <w:spacing w:before="400" w:after="200"/>
        <w:contextualSpacing w:val="0"/>
      </w:pPr>
      <w:bookmarkStart w:id="42" w:name="_xgmh7e581y4v" w:colFirst="0" w:colLast="0"/>
      <w:bookmarkEnd w:id="42"/>
      <w:r>
        <w:t>4.2 Contributions to Comparative Cultural Policy Studies</w:t>
      </w:r>
    </w:p>
    <w:p w14:paraId="13201933" w14:textId="77777777" w:rsidR="00C67E15" w:rsidRDefault="007D1B8E" w:rsidP="009F0EC6">
      <w:pPr>
        <w:pStyle w:val="normal0"/>
        <w:contextualSpacing w:val="0"/>
      </w:pPr>
      <w:r>
        <w:t xml:space="preserve">The policy implications of both our argument and our findings are potentially quite significant, especially when thinking about the (intended and unintended) consequences of </w:t>
      </w:r>
      <w:r>
        <w:lastRenderedPageBreak/>
        <w:t xml:space="preserve">state support for the arts (DiMaggio and </w:t>
      </w:r>
      <w:proofErr w:type="spellStart"/>
      <w:r>
        <w:t>Useem</w:t>
      </w:r>
      <w:proofErr w:type="spellEnd"/>
      <w:r>
        <w:t xml:space="preserve"> 1978; Alexander 1996; Alexander and </w:t>
      </w:r>
      <w:proofErr w:type="spellStart"/>
      <w:r>
        <w:t>Rueschemeyer</w:t>
      </w:r>
      <w:proofErr w:type="spellEnd"/>
      <w:r>
        <w:t xml:space="preserve"> 2005). Our analysis suggests that government subventions to the arts, and institutional work around the aesthetic valorization of folk culture, can produce a generation of omnivores--highly engaged and broadly curious consumers--and a generation or more of creative innovators. The health and vitality of arts sectors thus depends on the existence of robust delivery systems which serve to expose incoming cohorts at the right (e.g. “coming of age”) moment in the life course. Young individuals, especially those outside of elite circles, may depend upon these delivery and exposure systems to engage the arts. The degradation of such systems via disinvestment, defunding, or retraction to class-segregated, privatized venues may result in permanent shocks including entire generations withdrawing from certain forms of cultural engagement. This is consistent with the long-standing claim that artistic producers are better off under high public support systems than market-dominated systems (Alexander and </w:t>
      </w:r>
      <w:proofErr w:type="spellStart"/>
      <w:r>
        <w:t>Rueschemeyer</w:t>
      </w:r>
      <w:proofErr w:type="spellEnd"/>
      <w:r>
        <w:t xml:space="preserve"> 2005). </w:t>
      </w:r>
    </w:p>
    <w:p w14:paraId="51736B47" w14:textId="3CCAB3D1" w:rsidR="00C67E15" w:rsidRDefault="007D1B8E" w:rsidP="009F0EC6">
      <w:pPr>
        <w:pStyle w:val="normal0"/>
        <w:contextualSpacing w:val="0"/>
      </w:pPr>
      <w:r>
        <w:t>Additionally, our results support the relatively under-explored thesis that broad, public engagement with the arts (the “demand side” of the equation) is highly dependent on how the arts are institutionally “framed” at the national level and that state action may have a lot do with this framing (Alexander 2008). Cohorts coming of age before the late 1950s were exposed to an environment in which the arts were portrayed as more class-differentiated, the supply of accessible works relatively scarcer, and the moral purpose of arts consumption less likely to be framed as serving “national” (as opposed to elite-centered) interests. It is possible that the consolida</w:t>
      </w:r>
      <w:r w:rsidR="009F0EC6">
        <w:t>tion and expansion of the avant-</w:t>
      </w:r>
      <w:r>
        <w:t xml:space="preserve">garde art world in the major American urban centers, including New York City, Chicago and San Francisco (Crane 1989), coupled with the subsequent retrenchment in public support for the arts in the Reagan-Thatcher era, may have produced a generational reversal in engagement. </w:t>
      </w:r>
    </w:p>
    <w:p w14:paraId="53E77402" w14:textId="77777777" w:rsidR="00C67E15" w:rsidRDefault="007D1B8E" w:rsidP="009F0EC6">
      <w:pPr>
        <w:pStyle w:val="normal0"/>
        <w:contextualSpacing w:val="0"/>
      </w:pPr>
      <w:r>
        <w:t xml:space="preserve">In conclusion, our results are consistent with comparative evidence (e.g. Virtanen 2003; Alexander and </w:t>
      </w:r>
      <w:proofErr w:type="spellStart"/>
      <w:r>
        <w:t>Rueschemeyer</w:t>
      </w:r>
      <w:proofErr w:type="spellEnd"/>
      <w:r>
        <w:t xml:space="preserve"> 2005): where public support for the arts is still relatively generous (e.g. Scandinavian social democracies), engagement with the arts is both more intense and less differentiated by such markers of status such as education. Our analysis suggests that the U.S. enjoyed such a “social democratic” historical moment, leaving a lasting </w:t>
      </w:r>
      <w:r>
        <w:lastRenderedPageBreak/>
        <w:t xml:space="preserve">impact on the Omnivorous Generation of art consumers, and facilitating a moment of great institutional change in which the artistic canon expanded our access to the </w:t>
      </w:r>
      <w:r>
        <w:rPr>
          <w:i/>
        </w:rPr>
        <w:t>real</w:t>
      </w:r>
      <w:r>
        <w:t xml:space="preserve"> American character. </w:t>
      </w:r>
    </w:p>
    <w:p w14:paraId="715A5C2C" w14:textId="77777777" w:rsidR="00C67E15" w:rsidRDefault="007D1B8E" w:rsidP="009F0EC6">
      <w:pPr>
        <w:pStyle w:val="Heading1"/>
        <w:contextualSpacing w:val="0"/>
      </w:pPr>
      <w:bookmarkStart w:id="43" w:name="_xwtg6dx6sw7r" w:colFirst="0" w:colLast="0"/>
      <w:bookmarkEnd w:id="43"/>
      <w:r>
        <w:t xml:space="preserve">Appendix </w:t>
      </w:r>
    </w:p>
    <w:p w14:paraId="328EEFF5" w14:textId="34F471CD" w:rsidR="00C67E15" w:rsidRDefault="007D1B8E" w:rsidP="009F0EC6">
      <w:pPr>
        <w:pStyle w:val="normal0"/>
        <w:contextualSpacing w:val="0"/>
      </w:pPr>
      <w:r>
        <w:t>As noted above, the age-period-cohort problem i</w:t>
      </w:r>
      <w:r w:rsidR="009F0EC6">
        <w:t xml:space="preserve">s ultimately one of perfect </w:t>
      </w:r>
      <w:proofErr w:type="spellStart"/>
      <w:r w:rsidR="00664181">
        <w:t>collinearity</w:t>
      </w:r>
      <w:proofErr w:type="spellEnd"/>
      <w:r>
        <w:t xml:space="preserve"> between three pieces of information, and there are no assumption</w:t>
      </w:r>
      <w:r w:rsidR="009F0EC6">
        <w:t xml:space="preserve">-free ways of resolving that </w:t>
      </w:r>
      <w:proofErr w:type="spellStart"/>
      <w:r w:rsidR="00664181">
        <w:t>collinearity</w:t>
      </w:r>
      <w:proofErr w:type="spellEnd"/>
      <w:r>
        <w:t xml:space="preserve">. The HAPC framework provides one way of tackling the issue while making reasonable, sociological assumptions (e.g. treating cohort and period clusters as overlapping “groups”). However, since we want to draw substantively meaningful empirical conclusions from this analysis, the reader may wonder how sensible such conclusions are to the assumptions embedded in the method. In this section we evaluate the robustness of the results presented earlier by ascertaining whether we can replicate the substantively similar differences between the cohort groups using alternative analytic strategies. </w:t>
      </w:r>
    </w:p>
    <w:p w14:paraId="30985A1B" w14:textId="77777777" w:rsidR="00C67E15" w:rsidRDefault="007D1B8E" w:rsidP="009F0EC6">
      <w:pPr>
        <w:pStyle w:val="Heading1"/>
        <w:contextualSpacing w:val="0"/>
      </w:pPr>
      <w:bookmarkStart w:id="44" w:name="_ffhk0vpz8v0o" w:colFirst="0" w:colLast="0"/>
      <w:bookmarkEnd w:id="44"/>
      <w:r>
        <w:t>1.0 Fixed Effects HAPC Estimator</w:t>
      </w:r>
    </w:p>
    <w:p w14:paraId="5FC577F4" w14:textId="47F33FC6" w:rsidR="00C67E15" w:rsidRDefault="007D1B8E" w:rsidP="009F0EC6">
      <w:pPr>
        <w:pStyle w:val="normal0"/>
        <w:contextualSpacing w:val="0"/>
      </w:pPr>
      <w:r>
        <w:t>One way to check the robustness of the results is to examine their resilience when we relax a key assumption of the HAPC strategy: that the cohort and period “group” effects can be parsi</w:t>
      </w:r>
      <w:r w:rsidR="009F0EC6">
        <w:t xml:space="preserve">moniously </w:t>
      </w:r>
      <w:proofErr w:type="spellStart"/>
      <w:r w:rsidR="00664181">
        <w:t>modelled</w:t>
      </w:r>
      <w:proofErr w:type="spellEnd"/>
      <w:r>
        <w:t xml:space="preserve"> as “random effects” (parametric deviations from an average effect assumed to follow a normal distribution with constant variance) rather than being specified directly (e.g. by entering vector dummy variables for each period and cohort group into the regression). As Yang and Land (2008) note, this latter “fixed effects” strategy is perfectly feasible, although they ultimately recommend the random-effects approach on the grounds of parsimony and computational efficiency. However, one possible drawback of the random-effects HAPC model is </w:t>
      </w:r>
      <w:proofErr w:type="gramStart"/>
      <w:r>
        <w:t>that certain results (e.g. large positive deviations for the 1930 to 1955 generations) may be produced by over-smoothing underlying non-linear cohort trends</w:t>
      </w:r>
      <w:proofErr w:type="gramEnd"/>
      <w:r>
        <w:t xml:space="preserve">. Yang and Land (2008) thus recommend checking results from the two estimation strategies for consistency. </w:t>
      </w:r>
    </w:p>
    <w:p w14:paraId="3597A3AF" w14:textId="77777777" w:rsidR="00C67E15" w:rsidRDefault="00C67E15" w:rsidP="009F0EC6">
      <w:pPr>
        <w:pStyle w:val="normal0"/>
        <w:contextualSpacing w:val="0"/>
      </w:pPr>
    </w:p>
    <w:p w14:paraId="156F3476" w14:textId="77777777" w:rsidR="00C67E15" w:rsidRDefault="007D1B8E" w:rsidP="009F0EC6">
      <w:pPr>
        <w:pStyle w:val="normal0"/>
        <w:contextualSpacing w:val="0"/>
        <w:jc w:val="center"/>
      </w:pPr>
      <w:r>
        <w:lastRenderedPageBreak/>
        <w:t xml:space="preserve">[Figure </w:t>
      </w:r>
      <w:proofErr w:type="gramStart"/>
      <w:r>
        <w:t>4  About</w:t>
      </w:r>
      <w:proofErr w:type="gramEnd"/>
      <w:r>
        <w:t xml:space="preserve"> Here]</w:t>
      </w:r>
    </w:p>
    <w:p w14:paraId="663C5C12" w14:textId="77777777" w:rsidR="00C67E15" w:rsidRDefault="00C67E15" w:rsidP="009F0EC6">
      <w:pPr>
        <w:pStyle w:val="normal0"/>
        <w:contextualSpacing w:val="0"/>
      </w:pPr>
    </w:p>
    <w:p w14:paraId="34A50A23" w14:textId="77777777" w:rsidR="00C67E15" w:rsidRDefault="007D1B8E" w:rsidP="009F0EC6">
      <w:pPr>
        <w:pStyle w:val="normal0"/>
        <w:contextualSpacing w:val="0"/>
      </w:pPr>
      <w:r>
        <w:t xml:space="preserve">Estimates of cohort-specific levels of engagement (at 5-year intervals) estimated from the random-effects and fixed-effects estimation approaches are shown in Figure 3. As the figure shows, both estimation strategies reveal a reverse “U” shaped cohort trend peaking between 1930 and 1950 for all eight core SPPA activities. Significantly, this analysis demonstrates that the HAPC approach actually </w:t>
      </w:r>
      <w:r>
        <w:rPr>
          <w:i/>
        </w:rPr>
        <w:t xml:space="preserve">underestimates </w:t>
      </w:r>
      <w:r>
        <w:t>the differences between the cohorts born between 1930 and 1950 especially when it comes to the key contrast with their older</w:t>
      </w:r>
      <w:r>
        <w:rPr>
          <w:i/>
        </w:rPr>
        <w:t xml:space="preserve"> </w:t>
      </w:r>
      <w:r>
        <w:t>counterparts (successors). This is true for all activities except Jazz and Classical music concerts. This is indicated by the more pronounced “peak” in the fixed-effect, cohort-specific estimates in comparison to the random-effects estimates of culture consumption activity and the much lower fixed-effects predictions for those born before 1930. These differences are more pronounced for Musicals, Art Museums, Art Festivals, and Historic Monuments. As such, it is safe to say that the random-effects HAPC models revealed the presence of an omnivorous generation in spite of the fact that, in this particular application, they turned out to be a more conservative estimation strategy especially in “smoothing” the differences between the omnivorous generation and their immediate predecessors.</w:t>
      </w:r>
    </w:p>
    <w:p w14:paraId="3A82B443" w14:textId="77777777" w:rsidR="00C67E15" w:rsidRDefault="007D1B8E" w:rsidP="009F0EC6">
      <w:pPr>
        <w:pStyle w:val="Heading1"/>
        <w:contextualSpacing w:val="0"/>
      </w:pPr>
      <w:bookmarkStart w:id="45" w:name="_8tk70z4idr3" w:colFirst="0" w:colLast="0"/>
      <w:bookmarkEnd w:id="45"/>
      <w:r>
        <w:t>2.0 Corroborating Omnivorous Generation Boundaries via the Graphical Method</w:t>
      </w:r>
    </w:p>
    <w:p w14:paraId="434A361F" w14:textId="77777777" w:rsidR="00C67E15" w:rsidRDefault="007D1B8E" w:rsidP="009F0EC6">
      <w:pPr>
        <w:pStyle w:val="normal0"/>
        <w:contextualSpacing w:val="0"/>
      </w:pPr>
      <w:r>
        <w:t xml:space="preserve">Another relatively simple (and thus undemanding of these data) strategy is the “graphical” approach for disaggregating period and cohort effects advocated by Reeves (2015) in the context of arts participation data. This is an approach </w:t>
      </w:r>
      <w:proofErr w:type="spellStart"/>
      <w:r>
        <w:t>Voas</w:t>
      </w:r>
      <w:proofErr w:type="spellEnd"/>
      <w:r>
        <w:t xml:space="preserve"> and Chaves (2016) follow when identifying cohort changes in religious participation in the U.S. Here, we use it to validate the criterion validity of the cohort boundaries delimiting the omnivorous generation.  </w:t>
      </w:r>
    </w:p>
    <w:p w14:paraId="110B1D8E" w14:textId="77777777" w:rsidR="00C67E15" w:rsidRDefault="007D1B8E" w:rsidP="009F0EC6">
      <w:pPr>
        <w:pStyle w:val="normal0"/>
        <w:contextualSpacing w:val="0"/>
      </w:pPr>
      <w:r>
        <w:t xml:space="preserve">The graphical approach consists of the visual inspection of plots with survey year on the x-axis and a given outcome on the y-axis, with separate lines (either theoretically or </w:t>
      </w:r>
      <w:r>
        <w:lastRenderedPageBreak/>
        <w:t xml:space="preserve">empirically determined) for cohort clusters. In Figure 5, we examine the probability of participation in the eight core activities for three 25-year cohort clusters: 1900 through 1925, 1930 through 1955 (the “Omnivorous Generation” according to the HAPC models), and 1960 through 1985. Note that no “estimation” is required here as these are descriptive plots, although the cohort cutoffs are derived from the HAPC estimates. The plots should be read as follows: any “horizontal” trends (e.g. upwards, downwards, flat, curvilinear) indicate the (cohort-specific) period effect; any “vertical” differences indicate a cohort effect net of period (e.g. a line standing atop another one indicates a positive effect for the first cohort). </w:t>
      </w:r>
    </w:p>
    <w:p w14:paraId="72797F57" w14:textId="77777777" w:rsidR="00C67E15" w:rsidRDefault="00C67E15" w:rsidP="009F0EC6">
      <w:pPr>
        <w:pStyle w:val="normal0"/>
        <w:contextualSpacing w:val="0"/>
      </w:pPr>
    </w:p>
    <w:p w14:paraId="3A1713A2" w14:textId="77777777" w:rsidR="00C67E15" w:rsidRDefault="007D1B8E" w:rsidP="009F0EC6">
      <w:pPr>
        <w:pStyle w:val="normal0"/>
        <w:contextualSpacing w:val="0"/>
        <w:jc w:val="center"/>
      </w:pPr>
      <w:r>
        <w:t>[Figure 5 About Here]</w:t>
      </w:r>
    </w:p>
    <w:p w14:paraId="2258FE67" w14:textId="77777777" w:rsidR="00C67E15" w:rsidRDefault="00C67E15" w:rsidP="009F0EC6">
      <w:pPr>
        <w:pStyle w:val="normal0"/>
        <w:contextualSpacing w:val="0"/>
        <w:jc w:val="center"/>
      </w:pPr>
    </w:p>
    <w:p w14:paraId="4B247302" w14:textId="77777777" w:rsidR="00C67E15" w:rsidRDefault="007D1B8E" w:rsidP="009F0EC6">
      <w:pPr>
        <w:pStyle w:val="normal0"/>
        <w:contextualSpacing w:val="0"/>
      </w:pPr>
      <w:r>
        <w:t xml:space="preserve"> These results provide strong support for the claim that there is a significant break in culture consumption behavior separating people born before 1930 from those born between 1930 and 1955. Across all </w:t>
      </w:r>
      <w:proofErr w:type="gramStart"/>
      <w:r>
        <w:t>eight core</w:t>
      </w:r>
      <w:proofErr w:type="gramEnd"/>
      <w:r>
        <w:t xml:space="preserve"> activities, members of the latter group display substantially higher levels of engagement (thick, dotted line) than the earlier birth cohort (thin, solid line). In terms of the differences between this cohort and their generational successors (thin, dotted line), the results are more equivocal but still suggestive of strong levels of generational differentiation. Members of the Omnivorous Generation display higher levels of engagement with Classical, Musicals, and Opera than their younger counterparts across all six SPPA surveys. Considering Ballet, Art Festivals (and Craft Fairs), Historical Monuments, and Art Museums, we see generational differentiation favoring members of the 1930 to 1955 generation but only in surveys taken during the 1980s and 1990s, with convergence thereafter. Jazz is the only field for which members of the Omnivorous Generation report comparable levels of engagement with other cohorts. This pattern of results may be indicative of the fact that persons born in the earlier years of the Omnivorous Generation (e.g. 1930 - 1945) may have been more distinctive in their relatively avid culture consumption, and more likely to exit the survey via mortality (after the 1990s), in relation to persons born thereafter.</w:t>
      </w:r>
    </w:p>
    <w:p w14:paraId="505CF967" w14:textId="77777777" w:rsidR="00C67E15" w:rsidRDefault="007D1B8E" w:rsidP="009F0EC6">
      <w:pPr>
        <w:pStyle w:val="Heading1"/>
        <w:contextualSpacing w:val="0"/>
      </w:pPr>
      <w:bookmarkStart w:id="46" w:name="_mordjztft53d" w:colFirst="0" w:colLast="0"/>
      <w:bookmarkEnd w:id="46"/>
      <w:r>
        <w:lastRenderedPageBreak/>
        <w:t>3.0 Was the Omnivorous Generation More Likely to Have Higher Levels of Early Exposure to the Arts?</w:t>
      </w:r>
    </w:p>
    <w:p w14:paraId="19D8D0EB" w14:textId="77777777" w:rsidR="00C67E15" w:rsidRDefault="007D1B8E" w:rsidP="009F0EC6">
      <w:pPr>
        <w:pStyle w:val="normal0"/>
        <w:contextualSpacing w:val="0"/>
      </w:pPr>
      <w:r>
        <w:t xml:space="preserve">Our results have led us to hypothesize that members of the Omnivorous Generation were more likely to be exposed to the arts as a result of state support, institutionalization, elite advocacy, and aesthetic valorization work starting during the Progressive Era. The historical evidence provides strong support for the idea that persons who came age during this period of expansion of the artistic canon and incorporation and sponsorship of American vernacular modernism had the </w:t>
      </w:r>
      <w:r>
        <w:rPr>
          <w:i/>
        </w:rPr>
        <w:t>potential</w:t>
      </w:r>
      <w:r>
        <w:t xml:space="preserve"> to have greater exposure to the arts. Is there direct evidence for this exposure? </w:t>
      </w:r>
    </w:p>
    <w:p w14:paraId="2DD37B73" w14:textId="77777777" w:rsidR="00C67E15" w:rsidRDefault="007D1B8E" w:rsidP="009F0EC6">
      <w:pPr>
        <w:pStyle w:val="normal0"/>
        <w:contextualSpacing w:val="0"/>
      </w:pPr>
      <w:r>
        <w:t>The 1973 Americans and the Arts survey (fielded by the National Research Center of the Arts) contained a series of items in which interviewees were asked about their level of exposure to the arts when they were growing up.</w:t>
      </w:r>
      <w:r>
        <w:rPr>
          <w:vertAlign w:val="superscript"/>
        </w:rPr>
        <w:footnoteReference w:id="14"/>
      </w:r>
      <w:r>
        <w:t xml:space="preserve"> Respondents were selected via a multistage, cluster random sampling design; thus, when weighted, the data are representative of the U.S. population at the time.</w:t>
      </w:r>
      <w:r>
        <w:rPr>
          <w:vertAlign w:val="superscript"/>
        </w:rPr>
        <w:footnoteReference w:id="15"/>
      </w:r>
      <w:r>
        <w:t xml:space="preserve"> </w:t>
      </w:r>
    </w:p>
    <w:p w14:paraId="2533A779" w14:textId="77777777" w:rsidR="00C67E15" w:rsidRDefault="007D1B8E" w:rsidP="009F0EC6">
      <w:pPr>
        <w:pStyle w:val="normal0"/>
        <w:contextualSpacing w:val="0"/>
      </w:pPr>
      <w:r>
        <w:t>Respondents were asked:</w:t>
      </w:r>
    </w:p>
    <w:p w14:paraId="49AC8561" w14:textId="77777777" w:rsidR="00C67E15" w:rsidRDefault="007D1B8E" w:rsidP="009F0EC6">
      <w:pPr>
        <w:pStyle w:val="normal0"/>
        <w:contextualSpacing w:val="0"/>
      </w:pPr>
      <w:r>
        <w:rPr>
          <w:i/>
        </w:rPr>
        <w:t>"When you were growing up how often did you go to [activity] with your family or with friends - often, sometimes, hardly ever, or never?"</w:t>
      </w:r>
    </w:p>
    <w:p w14:paraId="7A85AB75" w14:textId="77777777" w:rsidR="00C67E15" w:rsidRDefault="007D1B8E" w:rsidP="009F0EC6">
      <w:pPr>
        <w:pStyle w:val="normal0"/>
        <w:contextualSpacing w:val="0"/>
      </w:pPr>
      <w:r>
        <w:t>The survey (</w:t>
      </w:r>
      <w:r>
        <w:rPr>
          <w:i/>
        </w:rPr>
        <w:t xml:space="preserve">N </w:t>
      </w:r>
      <w:r>
        <w:t xml:space="preserve">= 3,005) asked this question for seven activities: 1) plays, 2) art museums, 3) concerts, 4) opera, 5) science or natural history museums, 6) historical sites, 7) ballet/modern dance. Six of these activities (excepting science museums) count as arts participation activities and resemble the core SPPA categories. In the survey, respondent’s age comes pre-coded into eight age-group categories. We calculated the respondent’s birth cohort from this variable by subtracting 1973 from the age group bounds. We address the </w:t>
      </w:r>
      <w:r>
        <w:lastRenderedPageBreak/>
        <w:t xml:space="preserve">question of whether cohort differences in early arts exposure exist by specifying an ordered </w:t>
      </w:r>
      <w:proofErr w:type="spellStart"/>
      <w:r>
        <w:t>logit</w:t>
      </w:r>
      <w:proofErr w:type="spellEnd"/>
      <w:r>
        <w:t xml:space="preserve"> model predicting exposure frequency (in the four ordered categories specified in the question wording example above, recoding all “not sure” responses to “never”) from the cohort group variable. In the models, we adjust for gender, educational attainment at the time of the survey, race, and region of residence. We allow for (expected) nonlinear trends in the cohort effect estimates by entering the cohort group term as a linear and a square term. The main set of results, in the form of the sum of expected probabilities of response categories indicating some level of exposure to the arts (e.g. “often” and “sometimes”) for each cohort/age group, are shown in Figure 6. If our combined historical-quantitative argument is on the right track, we should find that persons born between 1930 and 1955 should report greater early exposure to the arts than persons born before them.</w:t>
      </w:r>
    </w:p>
    <w:p w14:paraId="750FA3CF" w14:textId="77777777" w:rsidR="00C67E15" w:rsidRPr="00664181" w:rsidRDefault="00C67E15" w:rsidP="00E44913">
      <w:pPr>
        <w:pStyle w:val="normal0"/>
        <w:contextualSpacing w:val="0"/>
        <w:rPr>
          <w:color w:val="222222"/>
          <w:sz w:val="19"/>
          <w:highlight w:val="white"/>
        </w:rPr>
      </w:pPr>
    </w:p>
    <w:p w14:paraId="241D43F4" w14:textId="77777777" w:rsidR="00E158DF" w:rsidRDefault="00E158DF">
      <w:pPr>
        <w:pStyle w:val="normal0"/>
        <w:contextualSpacing w:val="0"/>
      </w:pPr>
    </w:p>
    <w:p w14:paraId="740C2339" w14:textId="77777777" w:rsidR="00C67E15" w:rsidRDefault="007D1B8E" w:rsidP="009F0EC6">
      <w:pPr>
        <w:pStyle w:val="normal0"/>
        <w:contextualSpacing w:val="0"/>
        <w:jc w:val="center"/>
      </w:pPr>
      <w:r>
        <w:t xml:space="preserve">[Figure </w:t>
      </w:r>
      <w:proofErr w:type="gramStart"/>
      <w:r>
        <w:t>6  About</w:t>
      </w:r>
      <w:proofErr w:type="gramEnd"/>
      <w:r>
        <w:t xml:space="preserve"> Here]</w:t>
      </w:r>
    </w:p>
    <w:p w14:paraId="10B0389F" w14:textId="77777777" w:rsidR="00C67E15" w:rsidRDefault="00C67E15" w:rsidP="009F0EC6">
      <w:pPr>
        <w:pStyle w:val="normal0"/>
        <w:contextualSpacing w:val="0"/>
      </w:pPr>
    </w:p>
    <w:p w14:paraId="5378E96D" w14:textId="77777777" w:rsidR="00C67E15" w:rsidRDefault="007D1B8E" w:rsidP="009F0EC6">
      <w:pPr>
        <w:pStyle w:val="normal0"/>
        <w:contextualSpacing w:val="0"/>
      </w:pPr>
      <w:r>
        <w:t xml:space="preserve">As Figure 6 shows, our results provide strong support for the contention that members of the Omnivorous Generation experienced higher odds of having at least some exposure to the arts when they were coming of age than members of the immediately preceding cohorts. Respondents born in the late 1930s, 1940s and the first half of the 1950s report having experienced (substantively and statistically) significantly higher levels of early life exposure to theater, ballet and modern dance, music concerts, art museums, and historical monuments than those born before 1930. </w:t>
      </w:r>
    </w:p>
    <w:p w14:paraId="609FE73E" w14:textId="77777777" w:rsidR="00C67E15" w:rsidRDefault="007D1B8E" w:rsidP="009F0EC6">
      <w:pPr>
        <w:pStyle w:val="normal0"/>
        <w:contextualSpacing w:val="0"/>
      </w:pPr>
      <w:r>
        <w:t xml:space="preserve">For instance, while somebody born in the 1910s or 1920s had less than a 30% chance of having been exposed to art museums while growing up, people born in the later 1930s to the early 1950s have closer to a 40% chance of the same outcome. Differences are starker with respect to attendance at historical monuments and sites, with those born before 1930 being almost half as likely to have enjoyed these activities while growing up. Only opera demonstrated more equivocal results, but cross-cohort differences can be observed for every other art activity, always favoring the omnivorous generation over their pre-1930 </w:t>
      </w:r>
      <w:r>
        <w:lastRenderedPageBreak/>
        <w:t>predecessors.</w:t>
      </w:r>
      <w:r>
        <w:rPr>
          <w:vertAlign w:val="superscript"/>
        </w:rPr>
        <w:footnoteReference w:id="16"/>
      </w:r>
      <w:r>
        <w:t xml:space="preserve"> In all, these results provide strong corroborating information for the underlying mechanisms suggested by the historical analysis presented above. </w:t>
      </w:r>
    </w:p>
    <w:p w14:paraId="71771DE5" w14:textId="77777777" w:rsidR="00C67E15" w:rsidRDefault="007D1B8E" w:rsidP="009F0EC6">
      <w:pPr>
        <w:pStyle w:val="Heading1"/>
        <w:contextualSpacing w:val="0"/>
      </w:pPr>
      <w:bookmarkStart w:id="47" w:name="_vd5vn1v2l8di" w:colFirst="0" w:colLast="0"/>
      <w:bookmarkEnd w:id="47"/>
      <w:r>
        <w:t>References</w:t>
      </w:r>
    </w:p>
    <w:p w14:paraId="01C2DB5F"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48" w:name="_vbpuzz74il3z" w:colFirst="0" w:colLast="0"/>
      <w:bookmarkEnd w:id="48"/>
      <w:r>
        <w:rPr>
          <w:rFonts w:ascii="Garamond" w:eastAsia="Garamond" w:hAnsi="Garamond" w:cs="Garamond"/>
          <w:color w:val="000000"/>
          <w:sz w:val="26"/>
          <w:szCs w:val="26"/>
        </w:rPr>
        <w:t xml:space="preserve">Abbott, Andrew. 2016. “The </w:t>
      </w:r>
      <w:proofErr w:type="spellStart"/>
      <w:r>
        <w:rPr>
          <w:rFonts w:ascii="Garamond" w:eastAsia="Garamond" w:hAnsi="Garamond" w:cs="Garamond"/>
          <w:color w:val="000000"/>
          <w:sz w:val="26"/>
          <w:szCs w:val="26"/>
        </w:rPr>
        <w:t>Historicality</w:t>
      </w:r>
      <w:proofErr w:type="spellEnd"/>
      <w:r>
        <w:rPr>
          <w:rFonts w:ascii="Garamond" w:eastAsia="Garamond" w:hAnsi="Garamond" w:cs="Garamond"/>
          <w:color w:val="000000"/>
          <w:sz w:val="26"/>
          <w:szCs w:val="26"/>
        </w:rPr>
        <w:t xml:space="preserve"> of Individuals.” </w:t>
      </w:r>
      <w:proofErr w:type="gramStart"/>
      <w:r>
        <w:rPr>
          <w:rFonts w:ascii="Garamond" w:eastAsia="Garamond" w:hAnsi="Garamond" w:cs="Garamond"/>
          <w:color w:val="000000"/>
          <w:sz w:val="26"/>
          <w:szCs w:val="26"/>
        </w:rPr>
        <w:t xml:space="preserve">Pp. 3-15 in </w:t>
      </w:r>
      <w:proofErr w:type="spellStart"/>
      <w:r>
        <w:rPr>
          <w:rFonts w:ascii="Garamond" w:eastAsia="Garamond" w:hAnsi="Garamond" w:cs="Garamond"/>
          <w:color w:val="000000"/>
          <w:sz w:val="26"/>
          <w:szCs w:val="26"/>
        </w:rPr>
        <w:t>Processual</w:t>
      </w:r>
      <w:proofErr w:type="spellEnd"/>
      <w:r>
        <w:rPr>
          <w:rFonts w:ascii="Garamond" w:eastAsia="Garamond" w:hAnsi="Garamond" w:cs="Garamond"/>
          <w:color w:val="000000"/>
          <w:sz w:val="26"/>
          <w:szCs w:val="26"/>
        </w:rPr>
        <w:t xml:space="preserve"> Sociology.</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University of Chicago Press.</w:t>
      </w:r>
      <w:proofErr w:type="gramEnd"/>
    </w:p>
    <w:p w14:paraId="2B6684AF"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49" w:name="_aeq8b562saho" w:colFirst="0" w:colLast="0"/>
      <w:bookmarkEnd w:id="49"/>
      <w:r>
        <w:rPr>
          <w:rFonts w:ascii="Garamond" w:eastAsia="Garamond" w:hAnsi="Garamond" w:cs="Garamond"/>
          <w:color w:val="000000"/>
          <w:sz w:val="26"/>
          <w:szCs w:val="26"/>
        </w:rPr>
        <w:t xml:space="preserve">Alexander, Victoria D. 1996. “Pictures at an Exhibition: Conflicting Pressures in Museums and the Display of Art.” </w:t>
      </w:r>
      <w:proofErr w:type="gramStart"/>
      <w:r>
        <w:rPr>
          <w:rFonts w:ascii="Garamond" w:eastAsia="Garamond" w:hAnsi="Garamond" w:cs="Garamond"/>
          <w:color w:val="000000"/>
          <w:sz w:val="26"/>
          <w:szCs w:val="26"/>
        </w:rPr>
        <w:t>American Journal of Sociology.</w:t>
      </w:r>
      <w:proofErr w:type="gramEnd"/>
      <w:r>
        <w:rPr>
          <w:rFonts w:ascii="Garamond" w:eastAsia="Garamond" w:hAnsi="Garamond" w:cs="Garamond"/>
          <w:color w:val="000000"/>
          <w:sz w:val="26"/>
          <w:szCs w:val="26"/>
        </w:rPr>
        <w:t xml:space="preserve"> Vol. 101 (4): 797-839.</w:t>
      </w:r>
    </w:p>
    <w:p w14:paraId="16FCF7C2"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50" w:name="_h8itulb4f2v6" w:colFirst="0" w:colLast="0"/>
      <w:bookmarkEnd w:id="50"/>
      <w:r>
        <w:rPr>
          <w:rFonts w:ascii="Garamond" w:eastAsia="Garamond" w:hAnsi="Garamond" w:cs="Garamond"/>
          <w:color w:val="000000"/>
          <w:sz w:val="26"/>
          <w:szCs w:val="26"/>
        </w:rPr>
        <w:t>Alexander, Victoria D. 2008. “Cultural organizations and the state: art and state support in contemporary Britain.” Sociology Compass 2(5): 1416-1430.</w:t>
      </w:r>
    </w:p>
    <w:p w14:paraId="01B99137"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51" w:name="_fev8ogzieuwx" w:colFirst="0" w:colLast="0"/>
      <w:bookmarkEnd w:id="51"/>
      <w:proofErr w:type="gramStart"/>
      <w:r>
        <w:rPr>
          <w:rFonts w:ascii="Garamond" w:eastAsia="Garamond" w:hAnsi="Garamond" w:cs="Garamond"/>
          <w:color w:val="000000"/>
          <w:sz w:val="26"/>
          <w:szCs w:val="26"/>
        </w:rPr>
        <w:t xml:space="preserve">Alexander, Victoria D. and Marilyn </w:t>
      </w:r>
      <w:proofErr w:type="spellStart"/>
      <w:r>
        <w:rPr>
          <w:rFonts w:ascii="Garamond" w:eastAsia="Garamond" w:hAnsi="Garamond" w:cs="Garamond"/>
          <w:color w:val="000000"/>
          <w:sz w:val="26"/>
          <w:szCs w:val="26"/>
        </w:rPr>
        <w:t>Rueschemeyer</w:t>
      </w:r>
      <w:proofErr w:type="spellEnd"/>
      <w:r>
        <w:rPr>
          <w:rFonts w:ascii="Garamond" w:eastAsia="Garamond" w:hAnsi="Garamond" w:cs="Garamond"/>
          <w:color w:val="000000"/>
          <w:sz w:val="26"/>
          <w:szCs w:val="26"/>
        </w:rPr>
        <w:t xml:space="preserve"> 2005.</w:t>
      </w:r>
      <w:proofErr w:type="gramEnd"/>
      <w:r>
        <w:rPr>
          <w:rFonts w:ascii="Garamond" w:eastAsia="Garamond" w:hAnsi="Garamond" w:cs="Garamond"/>
          <w:color w:val="000000"/>
          <w:sz w:val="26"/>
          <w:szCs w:val="26"/>
        </w:rPr>
        <w:t xml:space="preserve"> Art and the State: The Visual Arts in Comparative Perspective. London: Palgrave Macmillan.</w:t>
      </w:r>
    </w:p>
    <w:p w14:paraId="4704A640"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52" w:name="_an31b6dxbhhd" w:colFirst="0" w:colLast="0"/>
      <w:bookmarkEnd w:id="52"/>
      <w:r>
        <w:rPr>
          <w:rFonts w:ascii="Garamond" w:eastAsia="Garamond" w:hAnsi="Garamond" w:cs="Garamond"/>
          <w:color w:val="000000"/>
          <w:sz w:val="26"/>
          <w:szCs w:val="26"/>
        </w:rPr>
        <w:t>Allen, Michael Patrick, and Anne E Lincoln. 2004. “Critical Discourse and the Cultural Consecration of American Films.” Social Forces 82: 871-894.</w:t>
      </w:r>
    </w:p>
    <w:p w14:paraId="186AB2BB"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proofErr w:type="spellStart"/>
      <w:r>
        <w:rPr>
          <w:rFonts w:ascii="Garamond" w:eastAsia="Garamond" w:hAnsi="Garamond" w:cs="Garamond"/>
          <w:color w:val="000000"/>
          <w:sz w:val="26"/>
          <w:szCs w:val="26"/>
        </w:rPr>
        <w:t>Appadurai</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Arjun</w:t>
      </w:r>
      <w:proofErr w:type="spellEnd"/>
      <w:r>
        <w:rPr>
          <w:rFonts w:ascii="Garamond" w:eastAsia="Garamond" w:hAnsi="Garamond" w:cs="Garamond"/>
          <w:color w:val="000000"/>
          <w:sz w:val="26"/>
          <w:szCs w:val="26"/>
        </w:rPr>
        <w:t xml:space="preserve">. 1996. Modernity at Large: Cultural Dimensions of Globalization. </w:t>
      </w:r>
      <w:proofErr w:type="gramStart"/>
      <w:r>
        <w:rPr>
          <w:rFonts w:ascii="Garamond" w:eastAsia="Garamond" w:hAnsi="Garamond" w:cs="Garamond"/>
          <w:color w:val="000000"/>
          <w:sz w:val="26"/>
          <w:szCs w:val="26"/>
        </w:rPr>
        <w:t>University of Minnesota Press.</w:t>
      </w:r>
      <w:proofErr w:type="gramEnd"/>
    </w:p>
    <w:p w14:paraId="5057735E"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r>
        <w:rPr>
          <w:rFonts w:ascii="Garamond" w:eastAsia="Garamond" w:hAnsi="Garamond" w:cs="Garamond"/>
          <w:color w:val="000000"/>
          <w:sz w:val="26"/>
          <w:szCs w:val="26"/>
        </w:rPr>
        <w:t xml:space="preserve">Bacon, </w:t>
      </w:r>
      <w:proofErr w:type="spellStart"/>
      <w:r>
        <w:rPr>
          <w:rFonts w:ascii="Garamond" w:eastAsia="Garamond" w:hAnsi="Garamond" w:cs="Garamond"/>
          <w:color w:val="000000"/>
          <w:sz w:val="26"/>
          <w:szCs w:val="26"/>
        </w:rPr>
        <w:t>Mardges</w:t>
      </w:r>
      <w:proofErr w:type="spellEnd"/>
      <w:r>
        <w:rPr>
          <w:rFonts w:ascii="Garamond" w:eastAsia="Garamond" w:hAnsi="Garamond" w:cs="Garamond"/>
          <w:color w:val="000000"/>
          <w:sz w:val="26"/>
          <w:szCs w:val="26"/>
        </w:rPr>
        <w:t xml:space="preserve">. 2005. “Modernism and the Vernacular at the Museum of Modern Art, New York.” Pp. 25-52 in Vernacular Modernism: </w:t>
      </w:r>
      <w:proofErr w:type="spellStart"/>
      <w:r>
        <w:rPr>
          <w:rFonts w:ascii="Garamond" w:eastAsia="Garamond" w:hAnsi="Garamond" w:cs="Garamond"/>
          <w:color w:val="000000"/>
          <w:sz w:val="26"/>
          <w:szCs w:val="26"/>
        </w:rPr>
        <w:t>Heimat</w:t>
      </w:r>
      <w:proofErr w:type="spellEnd"/>
      <w:r>
        <w:rPr>
          <w:rFonts w:ascii="Garamond" w:eastAsia="Garamond" w:hAnsi="Garamond" w:cs="Garamond"/>
          <w:color w:val="000000"/>
          <w:sz w:val="26"/>
          <w:szCs w:val="26"/>
        </w:rPr>
        <w:t xml:space="preserve">, Globalization, and the Built Environment, </w:t>
      </w:r>
      <w:proofErr w:type="spellStart"/>
      <w:r>
        <w:rPr>
          <w:rFonts w:ascii="Garamond" w:eastAsia="Garamond" w:hAnsi="Garamond" w:cs="Garamond"/>
          <w:color w:val="000000"/>
          <w:sz w:val="26"/>
          <w:szCs w:val="26"/>
        </w:rPr>
        <w:t>Umbach</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Maiken</w:t>
      </w:r>
      <w:proofErr w:type="spellEnd"/>
      <w:r>
        <w:rPr>
          <w:rFonts w:ascii="Garamond" w:eastAsia="Garamond" w:hAnsi="Garamond" w:cs="Garamond"/>
          <w:color w:val="000000"/>
          <w:sz w:val="26"/>
          <w:szCs w:val="26"/>
        </w:rPr>
        <w:t xml:space="preserve"> and Bernd </w:t>
      </w:r>
      <w:proofErr w:type="spellStart"/>
      <w:r>
        <w:rPr>
          <w:rFonts w:ascii="Garamond" w:eastAsia="Garamond" w:hAnsi="Garamond" w:cs="Garamond"/>
          <w:color w:val="000000"/>
          <w:sz w:val="26"/>
          <w:szCs w:val="26"/>
        </w:rPr>
        <w:t>Hüppauf</w:t>
      </w:r>
      <w:proofErr w:type="spellEnd"/>
      <w:r>
        <w:rPr>
          <w:rFonts w:ascii="Garamond" w:eastAsia="Garamond" w:hAnsi="Garamond" w:cs="Garamond"/>
          <w:color w:val="000000"/>
          <w:sz w:val="26"/>
          <w:szCs w:val="26"/>
        </w:rPr>
        <w:t xml:space="preserve"> (eds.). Stanford: Stanford UP. </w:t>
      </w:r>
    </w:p>
    <w:p w14:paraId="45F1C945"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r>
        <w:rPr>
          <w:rFonts w:ascii="Garamond" w:eastAsia="Garamond" w:hAnsi="Garamond" w:cs="Garamond"/>
          <w:color w:val="000000"/>
          <w:sz w:val="26"/>
          <w:szCs w:val="26"/>
        </w:rPr>
        <w:t xml:space="preserve">Baumann, </w:t>
      </w:r>
      <w:proofErr w:type="spellStart"/>
      <w:r>
        <w:rPr>
          <w:rFonts w:ascii="Garamond" w:eastAsia="Garamond" w:hAnsi="Garamond" w:cs="Garamond"/>
          <w:color w:val="000000"/>
          <w:sz w:val="26"/>
          <w:szCs w:val="26"/>
        </w:rPr>
        <w:t>Shyon</w:t>
      </w:r>
      <w:proofErr w:type="spellEnd"/>
      <w:r>
        <w:rPr>
          <w:rFonts w:ascii="Garamond" w:eastAsia="Garamond" w:hAnsi="Garamond" w:cs="Garamond"/>
          <w:color w:val="000000"/>
          <w:sz w:val="26"/>
          <w:szCs w:val="26"/>
        </w:rPr>
        <w:t xml:space="preserve">. 2001. “Intellectualization and Art World Development: Film in the United States.” </w:t>
      </w:r>
      <w:proofErr w:type="gramStart"/>
      <w:r>
        <w:rPr>
          <w:rFonts w:ascii="Garamond" w:eastAsia="Garamond" w:hAnsi="Garamond" w:cs="Garamond"/>
          <w:color w:val="000000"/>
          <w:sz w:val="26"/>
          <w:szCs w:val="26"/>
        </w:rPr>
        <w:t>American Sociological Review.</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Vol. 66: 404-426.</w:t>
      </w:r>
      <w:proofErr w:type="gramEnd"/>
    </w:p>
    <w:p w14:paraId="67C33A06" w14:textId="59E2719C"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53" w:name="_wahy467no9r0" w:colFirst="0" w:colLast="0"/>
      <w:bookmarkEnd w:id="53"/>
      <w:r>
        <w:rPr>
          <w:rFonts w:ascii="Garamond" w:eastAsia="Garamond" w:hAnsi="Garamond" w:cs="Garamond"/>
          <w:color w:val="000000"/>
          <w:sz w:val="26"/>
          <w:szCs w:val="26"/>
        </w:rPr>
        <w:t xml:space="preserve">Biddle, George. 1939. An American Artist’s Story. </w:t>
      </w:r>
      <w:proofErr w:type="gramStart"/>
      <w:r>
        <w:rPr>
          <w:rFonts w:ascii="Garamond" w:eastAsia="Garamond" w:hAnsi="Garamond" w:cs="Garamond"/>
          <w:color w:val="000000"/>
          <w:sz w:val="26"/>
          <w:szCs w:val="26"/>
        </w:rPr>
        <w:t xml:space="preserve">Little, Brown &amp; Co. </w:t>
      </w:r>
      <w:r w:rsidR="00664181">
        <w:rPr>
          <w:rFonts w:ascii="Garamond" w:eastAsia="Garamond" w:hAnsi="Garamond" w:cs="Garamond"/>
          <w:color w:val="000000"/>
          <w:sz w:val="26"/>
          <w:szCs w:val="26"/>
        </w:rPr>
        <w:t>Boston.</w:t>
      </w:r>
      <w:proofErr w:type="gramEnd"/>
    </w:p>
    <w:p w14:paraId="4795EFD7" w14:textId="77777777" w:rsidR="00C67E15" w:rsidRDefault="007D1B8E" w:rsidP="00664181">
      <w:pPr>
        <w:pStyle w:val="normal0"/>
        <w:ind w:left="720" w:firstLine="0"/>
        <w:contextualSpacing w:val="0"/>
      </w:pPr>
      <w:r>
        <w:t xml:space="preserve">Bourdieu, Pierre. 1965. </w:t>
      </w:r>
      <w:proofErr w:type="gramStart"/>
      <w:r>
        <w:rPr>
          <w:i/>
        </w:rPr>
        <w:t>Un</w:t>
      </w:r>
      <w:proofErr w:type="gramEnd"/>
      <w:r>
        <w:rPr>
          <w:i/>
        </w:rPr>
        <w:t xml:space="preserve"> Art </w:t>
      </w:r>
      <w:proofErr w:type="spellStart"/>
      <w:r>
        <w:rPr>
          <w:i/>
        </w:rPr>
        <w:t>Moyen</w:t>
      </w:r>
      <w:proofErr w:type="spellEnd"/>
      <w:r>
        <w:rPr>
          <w:i/>
        </w:rPr>
        <w:t xml:space="preserve">: </w:t>
      </w:r>
      <w:proofErr w:type="spellStart"/>
      <w:r>
        <w:rPr>
          <w:i/>
        </w:rPr>
        <w:t>Essai</w:t>
      </w:r>
      <w:proofErr w:type="spellEnd"/>
      <w:r>
        <w:rPr>
          <w:i/>
        </w:rPr>
        <w:t xml:space="preserve"> </w:t>
      </w:r>
      <w:proofErr w:type="spellStart"/>
      <w:r>
        <w:rPr>
          <w:i/>
        </w:rPr>
        <w:t>sur</w:t>
      </w:r>
      <w:proofErr w:type="spellEnd"/>
      <w:r>
        <w:rPr>
          <w:i/>
        </w:rPr>
        <w:t xml:space="preserve"> les Usages </w:t>
      </w:r>
      <w:proofErr w:type="spellStart"/>
      <w:r>
        <w:rPr>
          <w:i/>
        </w:rPr>
        <w:t>Sociaux</w:t>
      </w:r>
      <w:proofErr w:type="spellEnd"/>
      <w:r>
        <w:rPr>
          <w:i/>
        </w:rPr>
        <w:t xml:space="preserve"> de la </w:t>
      </w:r>
      <w:proofErr w:type="spellStart"/>
      <w:r>
        <w:rPr>
          <w:i/>
        </w:rPr>
        <w:t>Photographie</w:t>
      </w:r>
      <w:proofErr w:type="spellEnd"/>
      <w:r>
        <w:t xml:space="preserve">. </w:t>
      </w:r>
      <w:r>
        <w:lastRenderedPageBreak/>
        <w:t>Paris: Editions de Minuit.</w:t>
      </w:r>
    </w:p>
    <w:p w14:paraId="5E1EE804"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r>
        <w:rPr>
          <w:rFonts w:ascii="Garamond" w:eastAsia="Garamond" w:hAnsi="Garamond" w:cs="Garamond"/>
          <w:color w:val="000000"/>
          <w:sz w:val="26"/>
          <w:szCs w:val="26"/>
        </w:rPr>
        <w:t xml:space="preserve">Bourdieu, Pierre. 1987. Distinction: A Social Critique of the </w:t>
      </w:r>
      <w:proofErr w:type="spellStart"/>
      <w:r>
        <w:rPr>
          <w:rFonts w:ascii="Garamond" w:eastAsia="Garamond" w:hAnsi="Garamond" w:cs="Garamond"/>
          <w:color w:val="000000"/>
          <w:sz w:val="26"/>
          <w:szCs w:val="26"/>
        </w:rPr>
        <w:t>Judgement</w:t>
      </w:r>
      <w:proofErr w:type="spellEnd"/>
      <w:r>
        <w:rPr>
          <w:rFonts w:ascii="Garamond" w:eastAsia="Garamond" w:hAnsi="Garamond" w:cs="Garamond"/>
          <w:color w:val="000000"/>
          <w:sz w:val="26"/>
          <w:szCs w:val="26"/>
        </w:rPr>
        <w:t xml:space="preserve"> of Taste. Cambridge: Harvard UP.</w:t>
      </w:r>
    </w:p>
    <w:p w14:paraId="62B7C448"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r>
        <w:rPr>
          <w:rFonts w:ascii="Garamond" w:eastAsia="Garamond" w:hAnsi="Garamond" w:cs="Garamond"/>
          <w:color w:val="000000"/>
          <w:sz w:val="26"/>
          <w:szCs w:val="26"/>
        </w:rPr>
        <w:t xml:space="preserve">Bourdieu, Pierre. 1993. The Field of Cultural Production. New York: Columbia University Press. </w:t>
      </w:r>
    </w:p>
    <w:p w14:paraId="3EF1EE66" w14:textId="5F2D4FFA"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r>
        <w:rPr>
          <w:rFonts w:ascii="Garamond" w:eastAsia="Garamond" w:hAnsi="Garamond" w:cs="Garamond"/>
          <w:color w:val="000000"/>
          <w:sz w:val="26"/>
          <w:szCs w:val="26"/>
        </w:rPr>
        <w:t>Bourdieu, Pierre. 1996. The Rules of Art: Genesis and Structure of t</w:t>
      </w:r>
      <w:r w:rsidR="009F0EC6">
        <w:rPr>
          <w:rFonts w:ascii="Garamond" w:eastAsia="Garamond" w:hAnsi="Garamond" w:cs="Garamond"/>
          <w:color w:val="000000"/>
          <w:sz w:val="26"/>
          <w:szCs w:val="26"/>
        </w:rPr>
        <w:t xml:space="preserve">he Literary Field. </w:t>
      </w:r>
      <w:proofErr w:type="gramStart"/>
      <w:r w:rsidR="00664181">
        <w:rPr>
          <w:rFonts w:ascii="Garamond" w:eastAsia="Garamond" w:hAnsi="Garamond" w:cs="Garamond"/>
          <w:color w:val="000000"/>
          <w:sz w:val="26"/>
          <w:szCs w:val="26"/>
        </w:rPr>
        <w:t xml:space="preserve">Polity Press, </w:t>
      </w:r>
      <w:r w:rsidR="009F0EC6">
        <w:rPr>
          <w:rFonts w:ascii="Garamond" w:eastAsia="Garamond" w:hAnsi="Garamond" w:cs="Garamond"/>
          <w:color w:val="000000"/>
          <w:sz w:val="26"/>
          <w:szCs w:val="26"/>
        </w:rPr>
        <w:t>Cambridge, UK</w:t>
      </w:r>
      <w:r>
        <w:rPr>
          <w:rFonts w:ascii="Garamond" w:eastAsia="Garamond" w:hAnsi="Garamond" w:cs="Garamond"/>
          <w:color w:val="000000"/>
          <w:sz w:val="26"/>
          <w:szCs w:val="26"/>
        </w:rPr>
        <w:t>.</w:t>
      </w:r>
      <w:proofErr w:type="gramEnd"/>
    </w:p>
    <w:p w14:paraId="62539CA3"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54" w:name="_vpu7wwtv6ex5" w:colFirst="0" w:colLast="0"/>
      <w:bookmarkEnd w:id="54"/>
      <w:proofErr w:type="spellStart"/>
      <w:r>
        <w:rPr>
          <w:rFonts w:ascii="Garamond" w:eastAsia="Garamond" w:hAnsi="Garamond" w:cs="Garamond"/>
          <w:color w:val="000000"/>
          <w:sz w:val="26"/>
          <w:szCs w:val="26"/>
        </w:rPr>
        <w:t>Chartrand</w:t>
      </w:r>
      <w:proofErr w:type="spellEnd"/>
      <w:r>
        <w:rPr>
          <w:rFonts w:ascii="Garamond" w:eastAsia="Garamond" w:hAnsi="Garamond" w:cs="Garamond"/>
          <w:color w:val="000000"/>
          <w:sz w:val="26"/>
          <w:szCs w:val="26"/>
        </w:rPr>
        <w:t>, H. and C. McCaughey. 1989. “The Arm’s Length Principle and The Arts: An International Perspective--Past, Present, and Future.” In M. Cummings and M. Schuster Eds</w:t>
      </w:r>
      <w:proofErr w:type="gramStart"/>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Who’s To Pay for the Arts? </w:t>
      </w:r>
      <w:proofErr w:type="gramStart"/>
      <w:r>
        <w:rPr>
          <w:rFonts w:ascii="Garamond" w:eastAsia="Garamond" w:hAnsi="Garamond" w:cs="Garamond"/>
          <w:color w:val="000000"/>
          <w:sz w:val="26"/>
          <w:szCs w:val="26"/>
        </w:rPr>
        <w:t>An International Search for Models of Support.</w:t>
      </w:r>
      <w:proofErr w:type="gramEnd"/>
      <w:r>
        <w:rPr>
          <w:rFonts w:ascii="Garamond" w:eastAsia="Garamond" w:hAnsi="Garamond" w:cs="Garamond"/>
          <w:color w:val="000000"/>
          <w:sz w:val="26"/>
          <w:szCs w:val="26"/>
        </w:rPr>
        <w:t xml:space="preserve"> New York: ACA Books.</w:t>
      </w:r>
    </w:p>
    <w:p w14:paraId="3CAD1466"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55" w:name="_shnk89d7vcx5" w:colFirst="0" w:colLast="0"/>
      <w:bookmarkEnd w:id="55"/>
      <w:r>
        <w:rPr>
          <w:rFonts w:ascii="Garamond" w:eastAsia="Garamond" w:hAnsi="Garamond" w:cs="Garamond"/>
          <w:color w:val="000000"/>
          <w:sz w:val="26"/>
          <w:szCs w:val="26"/>
        </w:rPr>
        <w:t>Clemens, Elisabeth S, and James M Cook. 1999. “Politics and institutionalism: Explaining durability and change.” Annual Review of Sociology 25: 441-466.</w:t>
      </w:r>
    </w:p>
    <w:p w14:paraId="56F45835"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56" w:name="_mmt4qb520hqw" w:colFirst="0" w:colLast="0"/>
      <w:bookmarkEnd w:id="56"/>
      <w:proofErr w:type="gramStart"/>
      <w:r>
        <w:rPr>
          <w:rFonts w:ascii="Garamond" w:eastAsia="Garamond" w:hAnsi="Garamond" w:cs="Garamond"/>
          <w:color w:val="000000"/>
          <w:sz w:val="26"/>
          <w:szCs w:val="26"/>
        </w:rPr>
        <w:t>Conner, Lynne.</w:t>
      </w:r>
      <w:proofErr w:type="gramEnd"/>
      <w:r>
        <w:rPr>
          <w:rFonts w:ascii="Garamond" w:eastAsia="Garamond" w:hAnsi="Garamond" w:cs="Garamond"/>
          <w:color w:val="000000"/>
          <w:sz w:val="26"/>
          <w:szCs w:val="26"/>
        </w:rPr>
        <w:t xml:space="preserve"> 2008 “In and Out of the Dark: A Theory about Audience Behavior from Sophocles to Spoken Word.” Pp. 103-124 in Engaging Art: The Next Great Transformation of America’s Cultural Life, edited by S. J. </w:t>
      </w:r>
      <w:proofErr w:type="spellStart"/>
      <w:r>
        <w:rPr>
          <w:rFonts w:ascii="Garamond" w:eastAsia="Garamond" w:hAnsi="Garamond" w:cs="Garamond"/>
          <w:color w:val="000000"/>
          <w:sz w:val="26"/>
          <w:szCs w:val="26"/>
        </w:rPr>
        <w:t>Tepper</w:t>
      </w:r>
      <w:proofErr w:type="spellEnd"/>
      <w:r>
        <w:rPr>
          <w:rFonts w:ascii="Garamond" w:eastAsia="Garamond" w:hAnsi="Garamond" w:cs="Garamond"/>
          <w:color w:val="000000"/>
          <w:sz w:val="26"/>
          <w:szCs w:val="26"/>
        </w:rPr>
        <w:t xml:space="preserve"> and B. Ivey. New York: </w:t>
      </w:r>
      <w:proofErr w:type="spellStart"/>
      <w:r>
        <w:rPr>
          <w:rFonts w:ascii="Garamond" w:eastAsia="Garamond" w:hAnsi="Garamond" w:cs="Garamond"/>
          <w:color w:val="000000"/>
          <w:sz w:val="26"/>
          <w:szCs w:val="26"/>
        </w:rPr>
        <w:t>Routledge</w:t>
      </w:r>
      <w:proofErr w:type="spellEnd"/>
      <w:r>
        <w:rPr>
          <w:rFonts w:ascii="Garamond" w:eastAsia="Garamond" w:hAnsi="Garamond" w:cs="Garamond"/>
          <w:color w:val="000000"/>
          <w:sz w:val="26"/>
          <w:szCs w:val="26"/>
        </w:rPr>
        <w:t>.</w:t>
      </w:r>
    </w:p>
    <w:p w14:paraId="76E8CA35" w14:textId="77777777" w:rsidR="00C67E15" w:rsidRDefault="007D1B8E" w:rsidP="00664181">
      <w:pPr>
        <w:pStyle w:val="Heading6"/>
        <w:keepNext w:val="0"/>
        <w:keepLines w:val="0"/>
        <w:spacing w:after="0"/>
        <w:ind w:left="720"/>
        <w:contextualSpacing w:val="0"/>
        <w:jc w:val="both"/>
      </w:pPr>
      <w:bookmarkStart w:id="57" w:name="_2ydu88vfx17x" w:colFirst="0" w:colLast="0"/>
      <w:bookmarkEnd w:id="57"/>
      <w:proofErr w:type="gramStart"/>
      <w:r>
        <w:rPr>
          <w:rFonts w:ascii="Garamond" w:eastAsia="Garamond" w:hAnsi="Garamond" w:cs="Garamond"/>
          <w:color w:val="000000"/>
          <w:sz w:val="26"/>
          <w:szCs w:val="26"/>
        </w:rPr>
        <w:t>Cowen, Tyler.</w:t>
      </w:r>
      <w:proofErr w:type="gramEnd"/>
      <w:r>
        <w:rPr>
          <w:rFonts w:ascii="Garamond" w:eastAsia="Garamond" w:hAnsi="Garamond" w:cs="Garamond"/>
          <w:color w:val="000000"/>
          <w:sz w:val="26"/>
          <w:szCs w:val="26"/>
        </w:rPr>
        <w:t xml:space="preserve"> 2004. “How the United States Funds the Arts.” Washington D.C.: National Endowment for the Arts, Office of Research and Analysis.</w:t>
      </w:r>
    </w:p>
    <w:p w14:paraId="5BA2551A" w14:textId="68620FA5"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58" w:name="_ustm8yvqr4cy" w:colFirst="0" w:colLast="0"/>
      <w:bookmarkEnd w:id="58"/>
      <w:r>
        <w:rPr>
          <w:rFonts w:ascii="Garamond" w:eastAsia="Garamond" w:hAnsi="Garamond" w:cs="Garamond"/>
          <w:color w:val="000000"/>
          <w:sz w:val="26"/>
          <w:szCs w:val="26"/>
        </w:rPr>
        <w:t xml:space="preserve">Crane, Diana. 1989. The Transformation of the Avant-Garde: The New York Art World, 1940-1985. </w:t>
      </w:r>
      <w:proofErr w:type="gramStart"/>
      <w:r>
        <w:rPr>
          <w:rFonts w:ascii="Garamond" w:eastAsia="Garamond" w:hAnsi="Garamond" w:cs="Garamond"/>
          <w:color w:val="000000"/>
          <w:sz w:val="26"/>
          <w:szCs w:val="26"/>
        </w:rPr>
        <w:t>University of Chicago Press.</w:t>
      </w:r>
      <w:proofErr w:type="gramEnd"/>
    </w:p>
    <w:p w14:paraId="7DA7BE67"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59" w:name="_o4pv4nsgtajo" w:colFirst="0" w:colLast="0"/>
      <w:bookmarkEnd w:id="59"/>
      <w:proofErr w:type="spellStart"/>
      <w:r>
        <w:rPr>
          <w:rFonts w:ascii="Garamond" w:eastAsia="Garamond" w:hAnsi="Garamond" w:cs="Garamond"/>
          <w:color w:val="000000"/>
          <w:sz w:val="26"/>
          <w:szCs w:val="26"/>
        </w:rPr>
        <w:t>Daenekindt</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Stijn</w:t>
      </w:r>
      <w:proofErr w:type="spellEnd"/>
      <w:r>
        <w:rPr>
          <w:rFonts w:ascii="Garamond" w:eastAsia="Garamond" w:hAnsi="Garamond" w:cs="Garamond"/>
          <w:color w:val="000000"/>
          <w:sz w:val="26"/>
          <w:szCs w:val="26"/>
        </w:rPr>
        <w:t xml:space="preserve"> and </w:t>
      </w:r>
      <w:proofErr w:type="spellStart"/>
      <w:r>
        <w:rPr>
          <w:rFonts w:ascii="Garamond" w:eastAsia="Garamond" w:hAnsi="Garamond" w:cs="Garamond"/>
          <w:color w:val="000000"/>
          <w:sz w:val="26"/>
          <w:szCs w:val="26"/>
        </w:rPr>
        <w:t>Henk</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Roose</w:t>
      </w:r>
      <w:proofErr w:type="spellEnd"/>
      <w:r>
        <w:rPr>
          <w:rFonts w:ascii="Garamond" w:eastAsia="Garamond" w:hAnsi="Garamond" w:cs="Garamond"/>
          <w:color w:val="000000"/>
          <w:sz w:val="26"/>
          <w:szCs w:val="26"/>
        </w:rPr>
        <w:t xml:space="preserve">. 2014. “Social Mobility and Cultural Dissonance.” </w:t>
      </w:r>
      <w:proofErr w:type="gramStart"/>
      <w:r>
        <w:rPr>
          <w:rFonts w:ascii="Garamond" w:eastAsia="Garamond" w:hAnsi="Garamond" w:cs="Garamond"/>
          <w:color w:val="000000"/>
          <w:sz w:val="26"/>
          <w:szCs w:val="26"/>
        </w:rPr>
        <w:t>Poetics 42: 82-97.</w:t>
      </w:r>
      <w:proofErr w:type="gramEnd"/>
    </w:p>
    <w:p w14:paraId="27406E34"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r>
        <w:rPr>
          <w:rFonts w:ascii="Garamond" w:eastAsia="Garamond" w:hAnsi="Garamond" w:cs="Garamond"/>
          <w:color w:val="000000"/>
          <w:sz w:val="26"/>
          <w:szCs w:val="26"/>
        </w:rPr>
        <w:t xml:space="preserve">DiMaggio, Paul. 1982. “Cultural Entrepreneurship in 19th Century Boston.”  </w:t>
      </w:r>
      <w:proofErr w:type="gramStart"/>
      <w:r>
        <w:rPr>
          <w:rFonts w:ascii="Garamond" w:eastAsia="Garamond" w:hAnsi="Garamond" w:cs="Garamond"/>
          <w:color w:val="000000"/>
          <w:sz w:val="26"/>
          <w:szCs w:val="26"/>
        </w:rPr>
        <w:t>I &amp; II, Media Culture and Society.</w:t>
      </w:r>
      <w:proofErr w:type="gramEnd"/>
      <w:r>
        <w:rPr>
          <w:rFonts w:ascii="Garamond" w:eastAsia="Garamond" w:hAnsi="Garamond" w:cs="Garamond"/>
          <w:color w:val="000000"/>
          <w:sz w:val="26"/>
          <w:szCs w:val="26"/>
        </w:rPr>
        <w:t>  4: 33-50, 303-322.</w:t>
      </w:r>
    </w:p>
    <w:p w14:paraId="6DD0933C"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60" w:name="_vyzut8hy6y30" w:colFirst="0" w:colLast="0"/>
      <w:bookmarkEnd w:id="60"/>
      <w:r>
        <w:rPr>
          <w:rFonts w:ascii="Garamond" w:eastAsia="Garamond" w:hAnsi="Garamond" w:cs="Garamond"/>
          <w:color w:val="000000"/>
          <w:sz w:val="26"/>
          <w:szCs w:val="26"/>
        </w:rPr>
        <w:t xml:space="preserve">DiMaggio, Paul. 1987. “Classification in Art.” </w:t>
      </w:r>
      <w:proofErr w:type="gramStart"/>
      <w:r>
        <w:rPr>
          <w:rFonts w:ascii="Garamond" w:eastAsia="Garamond" w:hAnsi="Garamond" w:cs="Garamond"/>
          <w:color w:val="000000"/>
          <w:sz w:val="26"/>
          <w:szCs w:val="26"/>
        </w:rPr>
        <w:t>American Sociological Review.</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52: 440-55.</w:t>
      </w:r>
      <w:proofErr w:type="gramEnd"/>
      <w:r>
        <w:rPr>
          <w:rFonts w:ascii="Garamond" w:eastAsia="Garamond" w:hAnsi="Garamond" w:cs="Garamond"/>
          <w:color w:val="000000"/>
          <w:sz w:val="26"/>
          <w:szCs w:val="26"/>
        </w:rPr>
        <w:t xml:space="preserve"> </w:t>
      </w:r>
    </w:p>
    <w:p w14:paraId="75AD5689"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61" w:name="_rjl4mfn258h2" w:colFirst="0" w:colLast="0"/>
      <w:bookmarkEnd w:id="61"/>
      <w:r>
        <w:rPr>
          <w:rFonts w:ascii="Garamond" w:eastAsia="Garamond" w:hAnsi="Garamond" w:cs="Garamond"/>
          <w:color w:val="000000"/>
          <w:sz w:val="26"/>
          <w:szCs w:val="26"/>
        </w:rPr>
        <w:t xml:space="preserve">DiMaggio, Paul. 1991. Constructing an Organizational Field as a Professional Project: </w:t>
      </w:r>
      <w:proofErr w:type="spellStart"/>
      <w:r>
        <w:rPr>
          <w:rFonts w:ascii="Garamond" w:eastAsia="Garamond" w:hAnsi="Garamond" w:cs="Garamond"/>
          <w:color w:val="000000"/>
          <w:sz w:val="26"/>
          <w:szCs w:val="26"/>
        </w:rPr>
        <w:t>U.s.</w:t>
      </w:r>
      <w:proofErr w:type="spellEnd"/>
      <w:r>
        <w:rPr>
          <w:rFonts w:ascii="Garamond" w:eastAsia="Garamond" w:hAnsi="Garamond" w:cs="Garamond"/>
          <w:color w:val="000000"/>
          <w:sz w:val="26"/>
          <w:szCs w:val="26"/>
        </w:rPr>
        <w:t xml:space="preserve"> Art Museums, 1920-1940. Pp. 267-292 in Walter W. Powell and Paul J. </w:t>
      </w:r>
      <w:r>
        <w:rPr>
          <w:rFonts w:ascii="Garamond" w:eastAsia="Garamond" w:hAnsi="Garamond" w:cs="Garamond"/>
          <w:color w:val="000000"/>
          <w:sz w:val="26"/>
          <w:szCs w:val="26"/>
        </w:rPr>
        <w:lastRenderedPageBreak/>
        <w:t>DiMaggio (eds.), The New Institutionalism in Organizational Analysis. Chicago, IL: University of Chicago Press.</w:t>
      </w:r>
    </w:p>
    <w:p w14:paraId="15DDBBC9" w14:textId="77777777" w:rsidR="00C67E15" w:rsidRDefault="007D1B8E" w:rsidP="00664181">
      <w:pPr>
        <w:pStyle w:val="normal0"/>
        <w:ind w:left="720" w:firstLine="0"/>
        <w:contextualSpacing w:val="0"/>
      </w:pPr>
      <w:r>
        <w:t xml:space="preserve">DiMaggio, Paul. 2000. “Social Structure, Institutions, and Cultural Goods: The Case of the United States.” Pp. 38-62 in Gigi Bradford, Michael Gary, and Glenn Wallach (eds.), </w:t>
      </w:r>
      <w:r>
        <w:rPr>
          <w:i/>
        </w:rPr>
        <w:t xml:space="preserve">The Politics of Culture: Policy Perspectives for Individuals, Institutions, and Communities. </w:t>
      </w:r>
      <w:r>
        <w:t xml:space="preserve">New York, NY: The New Press. </w:t>
      </w:r>
    </w:p>
    <w:p w14:paraId="7679C4CA" w14:textId="77777777" w:rsidR="00C67E15" w:rsidRDefault="007D1B8E" w:rsidP="00664181">
      <w:pPr>
        <w:pStyle w:val="normal0"/>
        <w:ind w:left="720" w:firstLine="0"/>
        <w:contextualSpacing w:val="0"/>
      </w:pPr>
      <w:r>
        <w:t xml:space="preserve">DiMaggio, Paul, and Michael </w:t>
      </w:r>
      <w:proofErr w:type="spellStart"/>
      <w:r>
        <w:t>Useem</w:t>
      </w:r>
      <w:proofErr w:type="spellEnd"/>
      <w:r>
        <w:t xml:space="preserve">. 1978. “Cultural Democracy in a Period of Cultural Expansion: The Social Composition of Arts Audiences in the United States.” </w:t>
      </w:r>
      <w:r>
        <w:rPr>
          <w:i/>
        </w:rPr>
        <w:t>Social Problems</w:t>
      </w:r>
      <w:r>
        <w:t xml:space="preserve"> 26: 179-197.</w:t>
      </w:r>
    </w:p>
    <w:p w14:paraId="387F711E"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62" w:name="_as95zpulbb3" w:colFirst="0" w:colLast="0"/>
      <w:bookmarkEnd w:id="62"/>
      <w:r>
        <w:rPr>
          <w:rFonts w:ascii="Garamond" w:eastAsia="Garamond" w:hAnsi="Garamond" w:cs="Garamond"/>
          <w:color w:val="000000"/>
          <w:sz w:val="26"/>
          <w:szCs w:val="26"/>
        </w:rPr>
        <w:t xml:space="preserve">DiMaggio, Paul and </w:t>
      </w:r>
      <w:proofErr w:type="spellStart"/>
      <w:r>
        <w:rPr>
          <w:rFonts w:ascii="Garamond" w:eastAsia="Garamond" w:hAnsi="Garamond" w:cs="Garamond"/>
          <w:color w:val="000000"/>
          <w:sz w:val="26"/>
          <w:szCs w:val="26"/>
        </w:rPr>
        <w:t>Toqir</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Mukhtar</w:t>
      </w:r>
      <w:proofErr w:type="spellEnd"/>
      <w:r>
        <w:rPr>
          <w:rFonts w:ascii="Garamond" w:eastAsia="Garamond" w:hAnsi="Garamond" w:cs="Garamond"/>
          <w:color w:val="000000"/>
          <w:sz w:val="26"/>
          <w:szCs w:val="26"/>
        </w:rPr>
        <w:t xml:space="preserve">. 2004. “Arts Participation as Cultural Capital in the United States, 1982-2002: Signs of Decline?” </w:t>
      </w:r>
      <w:r w:rsidRPr="00664181">
        <w:rPr>
          <w:rFonts w:ascii="Garamond" w:hAnsi="Garamond"/>
          <w:color w:val="000000"/>
          <w:sz w:val="26"/>
        </w:rPr>
        <w:t>Poetics</w:t>
      </w:r>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32: 169-194.</w:t>
      </w:r>
      <w:proofErr w:type="gramEnd"/>
    </w:p>
    <w:p w14:paraId="0C236FEE" w14:textId="77777777" w:rsidR="00C67E15" w:rsidRDefault="007D1B8E" w:rsidP="00664181">
      <w:pPr>
        <w:pStyle w:val="normal0"/>
        <w:ind w:left="720" w:firstLine="0"/>
        <w:contextualSpacing w:val="0"/>
      </w:pPr>
      <w:proofErr w:type="spellStart"/>
      <w:r>
        <w:t>Emmison</w:t>
      </w:r>
      <w:proofErr w:type="spellEnd"/>
      <w:r>
        <w:t xml:space="preserve">, Michael.  2003. “Social Class and Social Mobility: Reconfiguring the Cultural Omnivore Thesis.” </w:t>
      </w:r>
      <w:proofErr w:type="gramStart"/>
      <w:r>
        <w:rPr>
          <w:i/>
        </w:rPr>
        <w:t>Journal of Sociology</w:t>
      </w:r>
      <w:r>
        <w:t>.</w:t>
      </w:r>
      <w:proofErr w:type="gramEnd"/>
      <w:r>
        <w:t xml:space="preserve"> </w:t>
      </w:r>
      <w:proofErr w:type="gramStart"/>
      <w:r>
        <w:t>39: 211-230.</w:t>
      </w:r>
      <w:proofErr w:type="gramEnd"/>
    </w:p>
    <w:p w14:paraId="4689C3BE"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r>
        <w:rPr>
          <w:rFonts w:ascii="Garamond" w:eastAsia="Garamond" w:hAnsi="Garamond" w:cs="Garamond"/>
          <w:color w:val="000000"/>
          <w:sz w:val="26"/>
          <w:szCs w:val="26"/>
        </w:rPr>
        <w:t xml:space="preserve">Federal Works Agency. 1947. Final report on the WPA program, 1935-43.  </w:t>
      </w:r>
      <w:proofErr w:type="gramStart"/>
      <w:r>
        <w:rPr>
          <w:rFonts w:ascii="Garamond" w:eastAsia="Garamond" w:hAnsi="Garamond" w:cs="Garamond"/>
          <w:color w:val="000000"/>
          <w:sz w:val="26"/>
          <w:szCs w:val="26"/>
        </w:rPr>
        <w:t>U.S. Government Printing Office.</w:t>
      </w:r>
      <w:proofErr w:type="gramEnd"/>
      <w:r>
        <w:rPr>
          <w:rFonts w:ascii="Garamond" w:eastAsia="Garamond" w:hAnsi="Garamond" w:cs="Garamond"/>
          <w:color w:val="000000"/>
          <w:sz w:val="26"/>
          <w:szCs w:val="26"/>
        </w:rPr>
        <w:t xml:space="preserve"> Washington, D.C. United States. </w:t>
      </w:r>
    </w:p>
    <w:p w14:paraId="2E273866"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r>
        <w:rPr>
          <w:rFonts w:ascii="Garamond" w:eastAsia="Garamond" w:hAnsi="Garamond" w:cs="Garamond"/>
          <w:color w:val="000000"/>
          <w:sz w:val="26"/>
          <w:szCs w:val="26"/>
        </w:rPr>
        <w:t>Ferguson, Priscilla. 1998. “A Cultural Field in the Making: Gastronomy in 19</w:t>
      </w:r>
      <w:r>
        <w:rPr>
          <w:rFonts w:ascii="Garamond" w:eastAsia="Garamond" w:hAnsi="Garamond" w:cs="Garamond"/>
          <w:color w:val="000000"/>
          <w:sz w:val="26"/>
          <w:szCs w:val="26"/>
          <w:vertAlign w:val="superscript"/>
        </w:rPr>
        <w:t>th</w:t>
      </w:r>
      <w:r>
        <w:rPr>
          <w:rFonts w:ascii="Garamond" w:eastAsia="Garamond" w:hAnsi="Garamond" w:cs="Garamond"/>
          <w:color w:val="000000"/>
          <w:sz w:val="26"/>
          <w:szCs w:val="26"/>
        </w:rPr>
        <w:t xml:space="preserve">-Century France.” </w:t>
      </w:r>
      <w:proofErr w:type="gramStart"/>
      <w:r>
        <w:rPr>
          <w:rFonts w:ascii="Garamond" w:eastAsia="Garamond" w:hAnsi="Garamond" w:cs="Garamond"/>
          <w:color w:val="000000"/>
          <w:sz w:val="26"/>
          <w:szCs w:val="26"/>
        </w:rPr>
        <w:t>American Journal of Sociology.</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Vol. 104: 597-641.</w:t>
      </w:r>
      <w:proofErr w:type="gramEnd"/>
    </w:p>
    <w:p w14:paraId="31AB7BDE"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63" w:name="_3exmk99ynm9i" w:colFirst="0" w:colLast="0"/>
      <w:bookmarkEnd w:id="63"/>
      <w:proofErr w:type="gramStart"/>
      <w:r>
        <w:rPr>
          <w:rFonts w:ascii="Garamond" w:eastAsia="Garamond" w:hAnsi="Garamond" w:cs="Garamond"/>
          <w:color w:val="000000"/>
          <w:sz w:val="26"/>
          <w:szCs w:val="26"/>
        </w:rPr>
        <w:t xml:space="preserve">Fishman, Robert M, and Omar </w:t>
      </w:r>
      <w:proofErr w:type="spellStart"/>
      <w:r>
        <w:rPr>
          <w:rFonts w:ascii="Garamond" w:eastAsia="Garamond" w:hAnsi="Garamond" w:cs="Garamond"/>
          <w:color w:val="000000"/>
          <w:sz w:val="26"/>
          <w:szCs w:val="26"/>
        </w:rPr>
        <w:t>Lizardo</w:t>
      </w:r>
      <w:proofErr w:type="spellEnd"/>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2013. “How Macro-Historical Change Shapes Cultural Taste Legacies of Democratization in Spain and Portugal.” </w:t>
      </w:r>
      <w:r w:rsidRPr="00664181">
        <w:rPr>
          <w:rFonts w:ascii="Garamond" w:hAnsi="Garamond"/>
          <w:color w:val="000000"/>
          <w:sz w:val="26"/>
        </w:rPr>
        <w:t>American Sociological Review</w:t>
      </w:r>
      <w:r>
        <w:rPr>
          <w:rFonts w:ascii="Garamond" w:eastAsia="Garamond" w:hAnsi="Garamond" w:cs="Garamond"/>
          <w:color w:val="000000"/>
          <w:sz w:val="26"/>
          <w:szCs w:val="26"/>
        </w:rPr>
        <w:t xml:space="preserve"> 78: 213-239.</w:t>
      </w:r>
    </w:p>
    <w:p w14:paraId="1ABBD32F"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64" w:name="_7et5oqbz9bvn" w:colFirst="0" w:colLast="0"/>
      <w:bookmarkEnd w:id="64"/>
      <w:proofErr w:type="spellStart"/>
      <w:r>
        <w:rPr>
          <w:rFonts w:ascii="Garamond" w:eastAsia="Garamond" w:hAnsi="Garamond" w:cs="Garamond"/>
          <w:color w:val="000000"/>
          <w:sz w:val="26"/>
          <w:szCs w:val="26"/>
        </w:rPr>
        <w:t>Foushee</w:t>
      </w:r>
      <w:proofErr w:type="spellEnd"/>
      <w:r>
        <w:rPr>
          <w:rFonts w:ascii="Garamond" w:eastAsia="Garamond" w:hAnsi="Garamond" w:cs="Garamond"/>
          <w:color w:val="000000"/>
          <w:sz w:val="26"/>
          <w:szCs w:val="26"/>
        </w:rPr>
        <w:t xml:space="preserve">, Ola </w:t>
      </w:r>
      <w:proofErr w:type="spellStart"/>
      <w:r>
        <w:rPr>
          <w:rFonts w:ascii="Garamond" w:eastAsia="Garamond" w:hAnsi="Garamond" w:cs="Garamond"/>
          <w:color w:val="000000"/>
          <w:sz w:val="26"/>
          <w:szCs w:val="26"/>
        </w:rPr>
        <w:t>Maie</w:t>
      </w:r>
      <w:proofErr w:type="spellEnd"/>
      <w:r>
        <w:rPr>
          <w:rFonts w:ascii="Garamond" w:eastAsia="Garamond" w:hAnsi="Garamond" w:cs="Garamond"/>
          <w:color w:val="000000"/>
          <w:sz w:val="26"/>
          <w:szCs w:val="26"/>
        </w:rPr>
        <w:t xml:space="preserve">. 1972.  </w:t>
      </w:r>
      <w:r>
        <w:rPr>
          <w:rFonts w:ascii="Garamond" w:eastAsia="Garamond" w:hAnsi="Garamond" w:cs="Garamond"/>
          <w:i/>
          <w:color w:val="000000"/>
          <w:sz w:val="26"/>
          <w:szCs w:val="26"/>
        </w:rPr>
        <w:t>Art in North Carolina: Episodes and Development, 1585-1970</w:t>
      </w:r>
      <w:r>
        <w:rPr>
          <w:rFonts w:ascii="Garamond" w:eastAsia="Garamond" w:hAnsi="Garamond" w:cs="Garamond"/>
          <w:color w:val="000000"/>
          <w:sz w:val="26"/>
          <w:szCs w:val="26"/>
        </w:rPr>
        <w:t>. Charlotte, NC.</w:t>
      </w:r>
    </w:p>
    <w:p w14:paraId="32A17C41"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65" w:name="_g9syfy2cpkbj" w:colFirst="0" w:colLast="0"/>
      <w:bookmarkEnd w:id="65"/>
      <w:proofErr w:type="spellStart"/>
      <w:r>
        <w:rPr>
          <w:rFonts w:ascii="Garamond" w:eastAsia="Garamond" w:hAnsi="Garamond" w:cs="Garamond"/>
          <w:color w:val="000000"/>
          <w:sz w:val="26"/>
          <w:szCs w:val="26"/>
        </w:rPr>
        <w:t>Gans</w:t>
      </w:r>
      <w:proofErr w:type="spellEnd"/>
      <w:r>
        <w:rPr>
          <w:rFonts w:ascii="Garamond" w:eastAsia="Garamond" w:hAnsi="Garamond" w:cs="Garamond"/>
          <w:color w:val="000000"/>
          <w:sz w:val="26"/>
          <w:szCs w:val="26"/>
        </w:rPr>
        <w:t>, Herbert J. 1999. Popular Culture and High Culture: An Analysis and Evaluation of Taste. New York: Basic Books.</w:t>
      </w:r>
    </w:p>
    <w:p w14:paraId="78289CB5"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66" w:name="_25qb35hmg1l5" w:colFirst="0" w:colLast="0"/>
      <w:bookmarkEnd w:id="66"/>
      <w:proofErr w:type="spellStart"/>
      <w:proofErr w:type="gramStart"/>
      <w:r>
        <w:rPr>
          <w:rFonts w:ascii="Garamond" w:eastAsia="Garamond" w:hAnsi="Garamond" w:cs="Garamond"/>
          <w:color w:val="000000"/>
          <w:sz w:val="26"/>
          <w:szCs w:val="26"/>
        </w:rPr>
        <w:t>García-Álvarez</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Ercilia</w:t>
      </w:r>
      <w:proofErr w:type="spellEnd"/>
      <w:r>
        <w:rPr>
          <w:rFonts w:ascii="Garamond" w:eastAsia="Garamond" w:hAnsi="Garamond" w:cs="Garamond"/>
          <w:color w:val="000000"/>
          <w:sz w:val="26"/>
          <w:szCs w:val="26"/>
        </w:rPr>
        <w:t>, Tally Katz-</w:t>
      </w:r>
      <w:proofErr w:type="spellStart"/>
      <w:r>
        <w:rPr>
          <w:rFonts w:ascii="Garamond" w:eastAsia="Garamond" w:hAnsi="Garamond" w:cs="Garamond"/>
          <w:color w:val="000000"/>
          <w:sz w:val="26"/>
          <w:szCs w:val="26"/>
        </w:rPr>
        <w:t>Gerro</w:t>
      </w:r>
      <w:proofErr w:type="spellEnd"/>
      <w:r>
        <w:rPr>
          <w:rFonts w:ascii="Garamond" w:eastAsia="Garamond" w:hAnsi="Garamond" w:cs="Garamond"/>
          <w:color w:val="000000"/>
          <w:sz w:val="26"/>
          <w:szCs w:val="26"/>
        </w:rPr>
        <w:t xml:space="preserve">, and </w:t>
      </w:r>
      <w:proofErr w:type="spellStart"/>
      <w:r>
        <w:rPr>
          <w:rFonts w:ascii="Garamond" w:eastAsia="Garamond" w:hAnsi="Garamond" w:cs="Garamond"/>
          <w:color w:val="000000"/>
          <w:sz w:val="26"/>
          <w:szCs w:val="26"/>
        </w:rPr>
        <w:t>Jordi</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López-Sintas</w:t>
      </w:r>
      <w:proofErr w:type="spellEnd"/>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2007. “Deconstructing Cultural </w:t>
      </w:r>
      <w:proofErr w:type="spellStart"/>
      <w:r>
        <w:rPr>
          <w:rFonts w:ascii="Garamond" w:eastAsia="Garamond" w:hAnsi="Garamond" w:cs="Garamond"/>
          <w:color w:val="000000"/>
          <w:sz w:val="26"/>
          <w:szCs w:val="26"/>
        </w:rPr>
        <w:t>Omnivorousness</w:t>
      </w:r>
      <w:proofErr w:type="spellEnd"/>
      <w:r>
        <w:rPr>
          <w:rFonts w:ascii="Garamond" w:eastAsia="Garamond" w:hAnsi="Garamond" w:cs="Garamond"/>
          <w:color w:val="000000"/>
          <w:sz w:val="26"/>
          <w:szCs w:val="26"/>
        </w:rPr>
        <w:t xml:space="preserve"> 1982–2002: </w:t>
      </w:r>
      <w:proofErr w:type="spellStart"/>
      <w:r>
        <w:rPr>
          <w:rFonts w:ascii="Garamond" w:eastAsia="Garamond" w:hAnsi="Garamond" w:cs="Garamond"/>
          <w:color w:val="000000"/>
          <w:sz w:val="26"/>
          <w:szCs w:val="26"/>
        </w:rPr>
        <w:t>Heterology</w:t>
      </w:r>
      <w:proofErr w:type="spellEnd"/>
      <w:r>
        <w:rPr>
          <w:rFonts w:ascii="Garamond" w:eastAsia="Garamond" w:hAnsi="Garamond" w:cs="Garamond"/>
          <w:color w:val="000000"/>
          <w:sz w:val="26"/>
          <w:szCs w:val="26"/>
        </w:rPr>
        <w:t xml:space="preserve"> in Americans’ Musical Preferences.” </w:t>
      </w:r>
      <w:r w:rsidRPr="00664181">
        <w:rPr>
          <w:rFonts w:ascii="Garamond" w:hAnsi="Garamond"/>
          <w:color w:val="000000"/>
          <w:sz w:val="26"/>
        </w:rPr>
        <w:t xml:space="preserve">Social Forces </w:t>
      </w:r>
      <w:r>
        <w:rPr>
          <w:rFonts w:ascii="Garamond" w:eastAsia="Garamond" w:hAnsi="Garamond" w:cs="Garamond"/>
          <w:color w:val="000000"/>
          <w:sz w:val="26"/>
          <w:szCs w:val="26"/>
        </w:rPr>
        <w:t>86: 417-443.</w:t>
      </w:r>
    </w:p>
    <w:p w14:paraId="4910B674"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proofErr w:type="spellStart"/>
      <w:r>
        <w:rPr>
          <w:rFonts w:ascii="Garamond" w:eastAsia="Garamond" w:hAnsi="Garamond" w:cs="Garamond"/>
          <w:color w:val="000000"/>
          <w:sz w:val="26"/>
          <w:szCs w:val="26"/>
        </w:rPr>
        <w:t>Greengard</w:t>
      </w:r>
      <w:proofErr w:type="spellEnd"/>
      <w:r>
        <w:rPr>
          <w:rFonts w:ascii="Garamond" w:eastAsia="Garamond" w:hAnsi="Garamond" w:cs="Garamond"/>
          <w:color w:val="000000"/>
          <w:sz w:val="26"/>
          <w:szCs w:val="26"/>
        </w:rPr>
        <w:t xml:space="preserve">, Stephen N., Ellen </w:t>
      </w:r>
      <w:proofErr w:type="spellStart"/>
      <w:r>
        <w:rPr>
          <w:rFonts w:ascii="Garamond" w:eastAsia="Garamond" w:hAnsi="Garamond" w:cs="Garamond"/>
          <w:color w:val="000000"/>
          <w:sz w:val="26"/>
          <w:szCs w:val="26"/>
        </w:rPr>
        <w:t>Sragow</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Gustave</w:t>
      </w:r>
      <w:proofErr w:type="spellEnd"/>
      <w:r>
        <w:rPr>
          <w:rFonts w:ascii="Garamond" w:eastAsia="Garamond" w:hAnsi="Garamond" w:cs="Garamond"/>
          <w:color w:val="000000"/>
          <w:sz w:val="26"/>
          <w:szCs w:val="26"/>
        </w:rPr>
        <w:t xml:space="preserve"> von </w:t>
      </w:r>
      <w:proofErr w:type="spellStart"/>
      <w:r>
        <w:rPr>
          <w:rFonts w:ascii="Garamond" w:eastAsia="Garamond" w:hAnsi="Garamond" w:cs="Garamond"/>
          <w:color w:val="000000"/>
          <w:sz w:val="26"/>
          <w:szCs w:val="26"/>
        </w:rPr>
        <w:t>Groschwitz</w:t>
      </w:r>
      <w:proofErr w:type="spellEnd"/>
      <w:r>
        <w:rPr>
          <w:rFonts w:ascii="Garamond" w:eastAsia="Garamond" w:hAnsi="Garamond" w:cs="Garamond"/>
          <w:color w:val="000000"/>
          <w:sz w:val="26"/>
          <w:szCs w:val="26"/>
        </w:rPr>
        <w:t xml:space="preserve">, Jerry Roth, Riva </w:t>
      </w:r>
      <w:proofErr w:type="spellStart"/>
      <w:r>
        <w:rPr>
          <w:rFonts w:ascii="Garamond" w:eastAsia="Garamond" w:hAnsi="Garamond" w:cs="Garamond"/>
          <w:color w:val="000000"/>
          <w:sz w:val="26"/>
          <w:szCs w:val="26"/>
        </w:rPr>
        <w:t>Helfond</w:t>
      </w:r>
      <w:proofErr w:type="spellEnd"/>
      <w:r>
        <w:rPr>
          <w:rFonts w:ascii="Garamond" w:eastAsia="Garamond" w:hAnsi="Garamond" w:cs="Garamond"/>
          <w:color w:val="000000"/>
          <w:sz w:val="26"/>
          <w:szCs w:val="26"/>
        </w:rPr>
        <w:t xml:space="preserve">, Harold Lehman, </w:t>
      </w:r>
      <w:proofErr w:type="spellStart"/>
      <w:r>
        <w:rPr>
          <w:rFonts w:ascii="Garamond" w:eastAsia="Garamond" w:hAnsi="Garamond" w:cs="Garamond"/>
          <w:color w:val="000000"/>
          <w:sz w:val="26"/>
          <w:szCs w:val="26"/>
        </w:rPr>
        <w:t>Minna</w:t>
      </w:r>
      <w:proofErr w:type="spellEnd"/>
      <w:r>
        <w:rPr>
          <w:rFonts w:ascii="Garamond" w:eastAsia="Garamond" w:hAnsi="Garamond" w:cs="Garamond"/>
          <w:color w:val="000000"/>
          <w:sz w:val="26"/>
          <w:szCs w:val="26"/>
        </w:rPr>
        <w:t xml:space="preserve"> Citron, and Harry Gottlieb. 1986. “Ten Crucial </w:t>
      </w:r>
      <w:r>
        <w:rPr>
          <w:rFonts w:ascii="Garamond" w:eastAsia="Garamond" w:hAnsi="Garamond" w:cs="Garamond"/>
          <w:color w:val="000000"/>
          <w:sz w:val="26"/>
          <w:szCs w:val="26"/>
        </w:rPr>
        <w:lastRenderedPageBreak/>
        <w:t xml:space="preserve">Years: The Development of United States Government Sponsored Artists Programs 1933-1943: A Panel Discussion by Six WPA Artists. </w:t>
      </w:r>
      <w:proofErr w:type="gramStart"/>
      <w:r w:rsidRPr="00664181">
        <w:rPr>
          <w:rFonts w:ascii="Garamond" w:hAnsi="Garamond"/>
          <w:color w:val="000000"/>
          <w:sz w:val="26"/>
        </w:rPr>
        <w:t>The Journal of Decorative and Propaganda Arts</w:t>
      </w:r>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Vol. 1: 40-61.</w:t>
      </w:r>
      <w:proofErr w:type="gramEnd"/>
    </w:p>
    <w:p w14:paraId="21344CCB"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67" w:name="_vwl7xsdaegc4" w:colFirst="0" w:colLast="0"/>
      <w:bookmarkEnd w:id="67"/>
      <w:proofErr w:type="spellStart"/>
      <w:proofErr w:type="gramStart"/>
      <w:r>
        <w:rPr>
          <w:rFonts w:ascii="Garamond" w:eastAsia="Garamond" w:hAnsi="Garamond" w:cs="Garamond"/>
          <w:color w:val="000000"/>
          <w:sz w:val="26"/>
          <w:szCs w:val="26"/>
        </w:rPr>
        <w:t>Greve</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Henrich</w:t>
      </w:r>
      <w:proofErr w:type="spellEnd"/>
      <w:r>
        <w:rPr>
          <w:rFonts w:ascii="Garamond" w:eastAsia="Garamond" w:hAnsi="Garamond" w:cs="Garamond"/>
          <w:color w:val="000000"/>
          <w:sz w:val="26"/>
          <w:szCs w:val="26"/>
        </w:rPr>
        <w:t xml:space="preserve"> R and </w:t>
      </w:r>
      <w:proofErr w:type="spellStart"/>
      <w:r>
        <w:rPr>
          <w:rFonts w:ascii="Garamond" w:eastAsia="Garamond" w:hAnsi="Garamond" w:cs="Garamond"/>
          <w:color w:val="000000"/>
          <w:sz w:val="26"/>
          <w:szCs w:val="26"/>
        </w:rPr>
        <w:t>Hayagreeva</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Rao</w:t>
      </w:r>
      <w:proofErr w:type="spellEnd"/>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2014. “History and the present: Institutional legacies in communities of organizations.” </w:t>
      </w:r>
      <w:r w:rsidRPr="00664181">
        <w:rPr>
          <w:rFonts w:ascii="Garamond" w:hAnsi="Garamond"/>
          <w:color w:val="000000"/>
          <w:sz w:val="26"/>
        </w:rPr>
        <w:t>Research in Organizational Behavior</w:t>
      </w:r>
      <w:r>
        <w:rPr>
          <w:rFonts w:ascii="Garamond" w:eastAsia="Garamond" w:hAnsi="Garamond" w:cs="Garamond"/>
          <w:color w:val="000000"/>
          <w:sz w:val="26"/>
          <w:szCs w:val="26"/>
        </w:rPr>
        <w:t xml:space="preserve"> 34: 27-41.</w:t>
      </w:r>
    </w:p>
    <w:p w14:paraId="6E72DA9D" w14:textId="77777777" w:rsidR="00C67E15" w:rsidRDefault="007D1B8E" w:rsidP="00E44913">
      <w:pPr>
        <w:pStyle w:val="normal0"/>
        <w:ind w:left="720" w:firstLine="0"/>
        <w:contextualSpacing w:val="0"/>
      </w:pPr>
      <w:r>
        <w:t xml:space="preserve">Griswold, Wendy. 2016. </w:t>
      </w:r>
      <w:r>
        <w:rPr>
          <w:i/>
        </w:rPr>
        <w:t>American Guides: The Federal Writers’ Project and the Casting of American Culture.</w:t>
      </w:r>
      <w:r>
        <w:t xml:space="preserve"> Chicago: University of Chicago Press. </w:t>
      </w:r>
    </w:p>
    <w:p w14:paraId="4739B531" w14:textId="14FF2761"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68" w:name="_mx7om8l1t1tf" w:colFirst="0" w:colLast="0"/>
      <w:bookmarkEnd w:id="68"/>
      <w:r>
        <w:rPr>
          <w:rFonts w:ascii="Garamond" w:eastAsia="Garamond" w:hAnsi="Garamond" w:cs="Garamond"/>
          <w:color w:val="000000"/>
          <w:sz w:val="26"/>
          <w:szCs w:val="26"/>
        </w:rPr>
        <w:t xml:space="preserve">Hall, Peter D. 1984. </w:t>
      </w:r>
      <w:proofErr w:type="gramStart"/>
      <w:r>
        <w:rPr>
          <w:rFonts w:ascii="Garamond" w:eastAsia="Garamond" w:hAnsi="Garamond" w:cs="Garamond"/>
          <w:color w:val="000000"/>
          <w:sz w:val="26"/>
          <w:szCs w:val="26"/>
        </w:rPr>
        <w:t>The Organization of American Culture.</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New York University Press.</w:t>
      </w:r>
      <w:proofErr w:type="gramEnd"/>
    </w:p>
    <w:p w14:paraId="0BE8F1E5"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69" w:name="_3itf0iivm0mf" w:colFirst="0" w:colLast="0"/>
      <w:bookmarkEnd w:id="69"/>
      <w:proofErr w:type="spellStart"/>
      <w:r>
        <w:rPr>
          <w:rFonts w:ascii="Garamond" w:eastAsia="Garamond" w:hAnsi="Garamond" w:cs="Garamond"/>
          <w:color w:val="000000"/>
          <w:sz w:val="26"/>
          <w:szCs w:val="26"/>
        </w:rPr>
        <w:t>Hanquinet</w:t>
      </w:r>
      <w:proofErr w:type="spellEnd"/>
      <w:r>
        <w:rPr>
          <w:rFonts w:ascii="Garamond" w:eastAsia="Garamond" w:hAnsi="Garamond" w:cs="Garamond"/>
          <w:color w:val="000000"/>
          <w:sz w:val="26"/>
          <w:szCs w:val="26"/>
        </w:rPr>
        <w:t xml:space="preserve">, Laurie, </w:t>
      </w:r>
      <w:proofErr w:type="spellStart"/>
      <w:r>
        <w:rPr>
          <w:rFonts w:ascii="Garamond" w:eastAsia="Garamond" w:hAnsi="Garamond" w:cs="Garamond"/>
          <w:color w:val="000000"/>
          <w:sz w:val="26"/>
          <w:szCs w:val="26"/>
        </w:rPr>
        <w:t>Henk</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Roose</w:t>
      </w:r>
      <w:proofErr w:type="spellEnd"/>
      <w:r>
        <w:rPr>
          <w:rFonts w:ascii="Garamond" w:eastAsia="Garamond" w:hAnsi="Garamond" w:cs="Garamond"/>
          <w:color w:val="000000"/>
          <w:sz w:val="26"/>
          <w:szCs w:val="26"/>
        </w:rPr>
        <w:t xml:space="preserve">, and Mike Savage. 2014. “The eyes of the beholder: Aesthetic preferences and the remaking of cultural capital.” </w:t>
      </w:r>
      <w:proofErr w:type="gramStart"/>
      <w:r w:rsidRPr="00664181">
        <w:rPr>
          <w:rFonts w:ascii="Garamond" w:hAnsi="Garamond"/>
          <w:color w:val="000000"/>
          <w:sz w:val="26"/>
        </w:rPr>
        <w:t>Sociology</w:t>
      </w:r>
      <w:r>
        <w:rPr>
          <w:rFonts w:ascii="Garamond" w:eastAsia="Garamond" w:hAnsi="Garamond" w:cs="Garamond"/>
          <w:color w:val="000000"/>
          <w:sz w:val="26"/>
          <w:szCs w:val="26"/>
        </w:rPr>
        <w:t xml:space="preserve"> 48: 111-132.</w:t>
      </w:r>
      <w:proofErr w:type="gramEnd"/>
    </w:p>
    <w:p w14:paraId="0294908C"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r>
        <w:rPr>
          <w:rFonts w:ascii="Garamond" w:eastAsia="Garamond" w:hAnsi="Garamond" w:cs="Garamond"/>
          <w:color w:val="000000"/>
          <w:sz w:val="26"/>
          <w:szCs w:val="26"/>
        </w:rPr>
        <w:t xml:space="preserve">Johnston, </w:t>
      </w:r>
      <w:proofErr w:type="spellStart"/>
      <w:r>
        <w:rPr>
          <w:rFonts w:ascii="Garamond" w:eastAsia="Garamond" w:hAnsi="Garamond" w:cs="Garamond"/>
          <w:color w:val="000000"/>
          <w:sz w:val="26"/>
          <w:szCs w:val="26"/>
        </w:rPr>
        <w:t>Josee</w:t>
      </w:r>
      <w:proofErr w:type="spellEnd"/>
      <w:r>
        <w:rPr>
          <w:rFonts w:ascii="Garamond" w:eastAsia="Garamond" w:hAnsi="Garamond" w:cs="Garamond"/>
          <w:color w:val="000000"/>
          <w:sz w:val="26"/>
          <w:szCs w:val="26"/>
        </w:rPr>
        <w:t xml:space="preserve"> and </w:t>
      </w:r>
      <w:proofErr w:type="spellStart"/>
      <w:r>
        <w:rPr>
          <w:rFonts w:ascii="Garamond" w:eastAsia="Garamond" w:hAnsi="Garamond" w:cs="Garamond"/>
          <w:color w:val="000000"/>
          <w:sz w:val="26"/>
          <w:szCs w:val="26"/>
        </w:rPr>
        <w:t>Shyon</w:t>
      </w:r>
      <w:proofErr w:type="spellEnd"/>
      <w:r>
        <w:rPr>
          <w:rFonts w:ascii="Garamond" w:eastAsia="Garamond" w:hAnsi="Garamond" w:cs="Garamond"/>
          <w:color w:val="000000"/>
          <w:sz w:val="26"/>
          <w:szCs w:val="26"/>
        </w:rPr>
        <w:t xml:space="preserve"> Baumann. 2007. “Democracy versus Distinction: A Study of </w:t>
      </w:r>
      <w:proofErr w:type="spellStart"/>
      <w:r>
        <w:rPr>
          <w:rFonts w:ascii="Garamond" w:eastAsia="Garamond" w:hAnsi="Garamond" w:cs="Garamond"/>
          <w:color w:val="000000"/>
          <w:sz w:val="26"/>
          <w:szCs w:val="26"/>
        </w:rPr>
        <w:t>Omnivorousness</w:t>
      </w:r>
      <w:proofErr w:type="spellEnd"/>
      <w:r>
        <w:rPr>
          <w:rFonts w:ascii="Garamond" w:eastAsia="Garamond" w:hAnsi="Garamond" w:cs="Garamond"/>
          <w:color w:val="000000"/>
          <w:sz w:val="26"/>
          <w:szCs w:val="26"/>
        </w:rPr>
        <w:t xml:space="preserve"> in Gourmet Food Writing.” </w:t>
      </w:r>
      <w:proofErr w:type="gramStart"/>
      <w:r w:rsidRPr="00664181">
        <w:rPr>
          <w:rFonts w:ascii="Garamond" w:hAnsi="Garamond"/>
          <w:color w:val="000000"/>
          <w:sz w:val="26"/>
        </w:rPr>
        <w:t>American Journal of Sociology</w:t>
      </w:r>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113(1): 165-204.</w:t>
      </w:r>
    </w:p>
    <w:p w14:paraId="187A00BC"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70" w:name="_3gqvyecsdni8" w:colFirst="0" w:colLast="0"/>
      <w:bookmarkEnd w:id="70"/>
      <w:proofErr w:type="gramStart"/>
      <w:r>
        <w:rPr>
          <w:rFonts w:ascii="Garamond" w:eastAsia="Garamond" w:hAnsi="Garamond" w:cs="Garamond"/>
          <w:color w:val="000000"/>
          <w:sz w:val="26"/>
          <w:szCs w:val="26"/>
        </w:rPr>
        <w:t>Katz-</w:t>
      </w:r>
      <w:proofErr w:type="spellStart"/>
      <w:r>
        <w:rPr>
          <w:rFonts w:ascii="Garamond" w:eastAsia="Garamond" w:hAnsi="Garamond" w:cs="Garamond"/>
          <w:color w:val="000000"/>
          <w:sz w:val="26"/>
          <w:szCs w:val="26"/>
        </w:rPr>
        <w:t>Gerro</w:t>
      </w:r>
      <w:proofErr w:type="spellEnd"/>
      <w:r>
        <w:rPr>
          <w:rFonts w:ascii="Garamond" w:eastAsia="Garamond" w:hAnsi="Garamond" w:cs="Garamond"/>
          <w:color w:val="000000"/>
          <w:sz w:val="26"/>
          <w:szCs w:val="26"/>
        </w:rPr>
        <w:t>, Tally.</w:t>
      </w:r>
      <w:proofErr w:type="gramEnd"/>
      <w:r>
        <w:rPr>
          <w:rFonts w:ascii="Garamond" w:eastAsia="Garamond" w:hAnsi="Garamond" w:cs="Garamond"/>
          <w:color w:val="000000"/>
          <w:sz w:val="26"/>
          <w:szCs w:val="26"/>
        </w:rPr>
        <w:t xml:space="preserve"> 2002. “Highbrow Cultural Consumption and Class Distinction in Italy, West Germany, Sweden, and the United States.” </w:t>
      </w:r>
      <w:r w:rsidRPr="00664181">
        <w:rPr>
          <w:rFonts w:ascii="Garamond" w:hAnsi="Garamond"/>
          <w:color w:val="000000"/>
          <w:sz w:val="26"/>
        </w:rPr>
        <w:t>Social Forces</w:t>
      </w:r>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81: 207-229.</w:t>
      </w:r>
      <w:proofErr w:type="gramEnd"/>
      <w:r>
        <w:rPr>
          <w:rFonts w:ascii="Garamond" w:eastAsia="Garamond" w:hAnsi="Garamond" w:cs="Garamond"/>
          <w:color w:val="000000"/>
          <w:sz w:val="26"/>
          <w:szCs w:val="26"/>
        </w:rPr>
        <w:t xml:space="preserve"> </w:t>
      </w:r>
    </w:p>
    <w:p w14:paraId="1B7AF6C8"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71" w:name="_v0q25k5rswb1" w:colFirst="0" w:colLast="0"/>
      <w:bookmarkEnd w:id="71"/>
      <w:proofErr w:type="gramStart"/>
      <w:r>
        <w:rPr>
          <w:rFonts w:ascii="Garamond" w:eastAsia="Garamond" w:hAnsi="Garamond" w:cs="Garamond"/>
          <w:color w:val="000000"/>
          <w:sz w:val="26"/>
          <w:szCs w:val="26"/>
        </w:rPr>
        <w:t>Katz-</w:t>
      </w:r>
      <w:proofErr w:type="spellStart"/>
      <w:r>
        <w:rPr>
          <w:rFonts w:ascii="Garamond" w:eastAsia="Garamond" w:hAnsi="Garamond" w:cs="Garamond"/>
          <w:color w:val="000000"/>
          <w:sz w:val="26"/>
          <w:szCs w:val="26"/>
        </w:rPr>
        <w:t>Gerro</w:t>
      </w:r>
      <w:proofErr w:type="spellEnd"/>
      <w:r>
        <w:rPr>
          <w:rFonts w:ascii="Garamond" w:eastAsia="Garamond" w:hAnsi="Garamond" w:cs="Garamond"/>
          <w:color w:val="000000"/>
          <w:sz w:val="26"/>
          <w:szCs w:val="26"/>
        </w:rPr>
        <w:t>, Tally, Oriel Sullivan, 2005.</w:t>
      </w:r>
      <w:proofErr w:type="gramEnd"/>
      <w:r>
        <w:rPr>
          <w:rFonts w:ascii="Garamond" w:eastAsia="Garamond" w:hAnsi="Garamond" w:cs="Garamond"/>
          <w:color w:val="000000"/>
          <w:sz w:val="26"/>
          <w:szCs w:val="26"/>
        </w:rPr>
        <w:t xml:space="preserve"> “The Omnivore Thesis Revisited: Voracious Cultural Consumers.” Annual Meetings of the American Sociological Association, Philadelphia, PA</w:t>
      </w:r>
    </w:p>
    <w:p w14:paraId="575A0FE6"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72" w:name="_41tax7haa3el" w:colFirst="0" w:colLast="0"/>
      <w:bookmarkEnd w:id="72"/>
      <w:proofErr w:type="spellStart"/>
      <w:r>
        <w:rPr>
          <w:rFonts w:ascii="Garamond" w:eastAsia="Garamond" w:hAnsi="Garamond" w:cs="Garamond"/>
          <w:color w:val="000000"/>
          <w:sz w:val="26"/>
          <w:szCs w:val="26"/>
        </w:rPr>
        <w:t>Kraaykamp</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Gerbert</w:t>
      </w:r>
      <w:proofErr w:type="spellEnd"/>
      <w:r>
        <w:rPr>
          <w:rFonts w:ascii="Garamond" w:eastAsia="Garamond" w:hAnsi="Garamond" w:cs="Garamond"/>
          <w:color w:val="000000"/>
          <w:sz w:val="26"/>
          <w:szCs w:val="26"/>
        </w:rPr>
        <w:t xml:space="preserve">, and Paul </w:t>
      </w:r>
      <w:proofErr w:type="spellStart"/>
      <w:r>
        <w:rPr>
          <w:rFonts w:ascii="Garamond" w:eastAsia="Garamond" w:hAnsi="Garamond" w:cs="Garamond"/>
          <w:color w:val="000000"/>
          <w:sz w:val="26"/>
          <w:szCs w:val="26"/>
        </w:rPr>
        <w:t>Nieuwbeerta</w:t>
      </w:r>
      <w:proofErr w:type="spellEnd"/>
      <w:r>
        <w:rPr>
          <w:rFonts w:ascii="Garamond" w:eastAsia="Garamond" w:hAnsi="Garamond" w:cs="Garamond"/>
          <w:color w:val="000000"/>
          <w:sz w:val="26"/>
          <w:szCs w:val="26"/>
        </w:rPr>
        <w:t xml:space="preserve">. 2000. “Parental Background and Lifestyle Differentiation in Eastern Europe: Social, Political, and Cultural Intergenerational Transmission in Five Former Socialist Societies.” </w:t>
      </w:r>
      <w:proofErr w:type="gramStart"/>
      <w:r w:rsidRPr="00664181">
        <w:rPr>
          <w:rFonts w:ascii="Garamond" w:hAnsi="Garamond"/>
          <w:color w:val="000000"/>
          <w:sz w:val="26"/>
        </w:rPr>
        <w:t>Social Science Research</w:t>
      </w:r>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29: 92-122.</w:t>
      </w:r>
      <w:proofErr w:type="gramEnd"/>
      <w:r>
        <w:rPr>
          <w:rFonts w:ascii="Garamond" w:eastAsia="Garamond" w:hAnsi="Garamond" w:cs="Garamond"/>
          <w:color w:val="000000"/>
          <w:sz w:val="26"/>
          <w:szCs w:val="26"/>
        </w:rPr>
        <w:t xml:space="preserve"> </w:t>
      </w:r>
    </w:p>
    <w:p w14:paraId="3520E211"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73" w:name="_9zb24xeyhjhl" w:colFirst="0" w:colLast="0"/>
      <w:bookmarkEnd w:id="73"/>
      <w:proofErr w:type="spellStart"/>
      <w:r>
        <w:rPr>
          <w:rFonts w:ascii="Garamond" w:eastAsia="Garamond" w:hAnsi="Garamond" w:cs="Garamond"/>
          <w:color w:val="000000"/>
          <w:sz w:val="26"/>
          <w:szCs w:val="26"/>
        </w:rPr>
        <w:t>Kuipers</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Giselinde</w:t>
      </w:r>
      <w:proofErr w:type="spellEnd"/>
      <w:r>
        <w:rPr>
          <w:rFonts w:ascii="Garamond" w:eastAsia="Garamond" w:hAnsi="Garamond" w:cs="Garamond"/>
          <w:color w:val="000000"/>
          <w:sz w:val="26"/>
          <w:szCs w:val="26"/>
        </w:rPr>
        <w:t xml:space="preserve">, and </w:t>
      </w:r>
      <w:proofErr w:type="spellStart"/>
      <w:r>
        <w:rPr>
          <w:rFonts w:ascii="Garamond" w:eastAsia="Garamond" w:hAnsi="Garamond" w:cs="Garamond"/>
          <w:color w:val="000000"/>
          <w:sz w:val="26"/>
          <w:szCs w:val="26"/>
        </w:rPr>
        <w:t>Jeroen</w:t>
      </w:r>
      <w:proofErr w:type="spellEnd"/>
      <w:r>
        <w:rPr>
          <w:rFonts w:ascii="Garamond" w:eastAsia="Garamond" w:hAnsi="Garamond" w:cs="Garamond"/>
          <w:color w:val="000000"/>
          <w:sz w:val="26"/>
          <w:szCs w:val="26"/>
        </w:rPr>
        <w:t xml:space="preserve"> de </w:t>
      </w:r>
      <w:proofErr w:type="spellStart"/>
      <w:r>
        <w:rPr>
          <w:rFonts w:ascii="Garamond" w:eastAsia="Garamond" w:hAnsi="Garamond" w:cs="Garamond"/>
          <w:color w:val="000000"/>
          <w:sz w:val="26"/>
          <w:szCs w:val="26"/>
        </w:rPr>
        <w:t>Kloet</w:t>
      </w:r>
      <w:proofErr w:type="spellEnd"/>
      <w:r>
        <w:rPr>
          <w:rFonts w:ascii="Garamond" w:eastAsia="Garamond" w:hAnsi="Garamond" w:cs="Garamond"/>
          <w:color w:val="000000"/>
          <w:sz w:val="26"/>
          <w:szCs w:val="26"/>
        </w:rPr>
        <w:t xml:space="preserve">. 2009. “Banal Cosmopolitanism and The Lord of the Rings: The Limited Role of National Differences in Global Media Consumption.” </w:t>
      </w:r>
      <w:proofErr w:type="gramStart"/>
      <w:r w:rsidRPr="00664181">
        <w:rPr>
          <w:rFonts w:ascii="Garamond" w:hAnsi="Garamond"/>
          <w:color w:val="000000"/>
          <w:sz w:val="26"/>
        </w:rPr>
        <w:t>Poetics</w:t>
      </w:r>
      <w:r>
        <w:rPr>
          <w:rFonts w:ascii="Garamond" w:eastAsia="Garamond" w:hAnsi="Garamond" w:cs="Garamond"/>
          <w:color w:val="000000"/>
          <w:sz w:val="26"/>
          <w:szCs w:val="26"/>
        </w:rPr>
        <w:t xml:space="preserve"> 37(2): 99–118.</w:t>
      </w:r>
      <w:proofErr w:type="gramEnd"/>
    </w:p>
    <w:p w14:paraId="498D7526"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74" w:name="_a3mu4i9pq3k0" w:colFirst="0" w:colLast="0"/>
      <w:bookmarkEnd w:id="74"/>
      <w:proofErr w:type="gramStart"/>
      <w:r w:rsidRPr="00664181">
        <w:rPr>
          <w:rFonts w:ascii="Garamond" w:hAnsi="Garamond"/>
          <w:color w:val="000000"/>
          <w:sz w:val="26"/>
        </w:rPr>
        <w:t xml:space="preserve">Lambert, Paul, Bergman, Manfred Max, </w:t>
      </w:r>
      <w:proofErr w:type="spellStart"/>
      <w:r w:rsidRPr="00664181">
        <w:rPr>
          <w:rFonts w:ascii="Garamond" w:hAnsi="Garamond"/>
          <w:color w:val="000000"/>
          <w:sz w:val="26"/>
        </w:rPr>
        <w:t>Prandy</w:t>
      </w:r>
      <w:proofErr w:type="spellEnd"/>
      <w:r w:rsidRPr="00664181">
        <w:rPr>
          <w:rFonts w:ascii="Garamond" w:hAnsi="Garamond"/>
          <w:color w:val="000000"/>
          <w:sz w:val="26"/>
        </w:rPr>
        <w:t>, Ken.</w:t>
      </w:r>
      <w:proofErr w:type="gramEnd"/>
      <w:r w:rsidRPr="00664181">
        <w:rPr>
          <w:rFonts w:ascii="Garamond" w:hAnsi="Garamond"/>
          <w:color w:val="000000"/>
          <w:sz w:val="26"/>
        </w:rPr>
        <w:t xml:space="preserve"> 2005. “Leisurely Moments or Lifetimes? Contexts and the Study of Leisure, Consumption, and Stratiﬁcation.” </w:t>
      </w:r>
      <w:r w:rsidRPr="00664181">
        <w:rPr>
          <w:rFonts w:ascii="Garamond" w:hAnsi="Garamond"/>
          <w:color w:val="000000"/>
          <w:sz w:val="26"/>
        </w:rPr>
        <w:lastRenderedPageBreak/>
        <w:t>Presented at the British Household Panel Survey-2005 Research Conference, Colchester, UK.</w:t>
      </w:r>
    </w:p>
    <w:p w14:paraId="52D41DE0" w14:textId="77777777" w:rsidR="00C67E15" w:rsidRDefault="007D1B8E" w:rsidP="00664181">
      <w:pPr>
        <w:pStyle w:val="normal0"/>
        <w:ind w:left="720" w:firstLine="0"/>
        <w:contextualSpacing w:val="0"/>
      </w:pPr>
      <w:r>
        <w:rPr>
          <w:color w:val="333333"/>
          <w:highlight w:val="white"/>
        </w:rPr>
        <w:t>Lamont, Michele, 1992. Money, Morals, and Manners: The Culture of the French and the American Upper-Middle Class. Chicago: University of Chicago Press.</w:t>
      </w:r>
    </w:p>
    <w:p w14:paraId="2E8B09DF"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75" w:name="_g4gs7leo7ypn" w:colFirst="0" w:colLast="0"/>
      <w:bookmarkEnd w:id="75"/>
      <w:proofErr w:type="spellStart"/>
      <w:r>
        <w:rPr>
          <w:rFonts w:ascii="Garamond" w:eastAsia="Garamond" w:hAnsi="Garamond" w:cs="Garamond"/>
          <w:color w:val="000000"/>
          <w:sz w:val="26"/>
          <w:szCs w:val="26"/>
        </w:rPr>
        <w:t>LaGamma</w:t>
      </w:r>
      <w:proofErr w:type="spellEnd"/>
      <w:r>
        <w:rPr>
          <w:rFonts w:ascii="Garamond" w:eastAsia="Garamond" w:hAnsi="Garamond" w:cs="Garamond"/>
          <w:color w:val="000000"/>
          <w:sz w:val="26"/>
          <w:szCs w:val="26"/>
        </w:rPr>
        <w:t xml:space="preserve">, Alisa, Joanne Pillsbury, Eric </w:t>
      </w:r>
      <w:proofErr w:type="spellStart"/>
      <w:r>
        <w:rPr>
          <w:rFonts w:ascii="Garamond" w:eastAsia="Garamond" w:hAnsi="Garamond" w:cs="Garamond"/>
          <w:color w:val="000000"/>
          <w:sz w:val="26"/>
          <w:szCs w:val="26"/>
        </w:rPr>
        <w:t>Kjellgren</w:t>
      </w:r>
      <w:proofErr w:type="spellEnd"/>
      <w:r>
        <w:rPr>
          <w:rFonts w:ascii="Garamond" w:eastAsia="Garamond" w:hAnsi="Garamond" w:cs="Garamond"/>
          <w:color w:val="000000"/>
          <w:sz w:val="26"/>
          <w:szCs w:val="26"/>
        </w:rPr>
        <w:t xml:space="preserve">, and </w:t>
      </w:r>
      <w:proofErr w:type="spellStart"/>
      <w:r>
        <w:rPr>
          <w:rFonts w:ascii="Garamond" w:eastAsia="Garamond" w:hAnsi="Garamond" w:cs="Garamond"/>
          <w:color w:val="000000"/>
          <w:sz w:val="26"/>
          <w:szCs w:val="26"/>
        </w:rPr>
        <w:t>Yaelle</w:t>
      </w:r>
      <w:proofErr w:type="spellEnd"/>
      <w:r>
        <w:rPr>
          <w:rFonts w:ascii="Garamond" w:eastAsia="Garamond" w:hAnsi="Garamond" w:cs="Garamond"/>
          <w:color w:val="000000"/>
          <w:sz w:val="26"/>
          <w:szCs w:val="26"/>
        </w:rPr>
        <w:t xml:space="preserve"> Biro. 2014. “The Nelson A. Rockefeller Vision: Arts of Africa, Oceania, and the Americas.” The Metropolitan Museum of Art Bulletin, </w:t>
      </w:r>
      <w:proofErr w:type="gramStart"/>
      <w:r>
        <w:rPr>
          <w:rFonts w:ascii="Garamond" w:eastAsia="Garamond" w:hAnsi="Garamond" w:cs="Garamond"/>
          <w:color w:val="000000"/>
          <w:sz w:val="26"/>
          <w:szCs w:val="26"/>
        </w:rPr>
        <w:t>LXXII(</w:t>
      </w:r>
      <w:proofErr w:type="gramEnd"/>
      <w:r>
        <w:rPr>
          <w:rFonts w:ascii="Garamond" w:eastAsia="Garamond" w:hAnsi="Garamond" w:cs="Garamond"/>
          <w:color w:val="000000"/>
          <w:sz w:val="26"/>
          <w:szCs w:val="26"/>
        </w:rPr>
        <w:t>1). New York: The Metropolitan Museum of Art.</w:t>
      </w:r>
    </w:p>
    <w:p w14:paraId="27066E47" w14:textId="0DF8E5B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76" w:name="_k3lw6pw9rr2y" w:colFirst="0" w:colLast="0"/>
      <w:bookmarkEnd w:id="76"/>
      <w:r>
        <w:rPr>
          <w:rFonts w:ascii="Garamond" w:eastAsia="Garamond" w:hAnsi="Garamond" w:cs="Garamond"/>
          <w:color w:val="000000"/>
          <w:sz w:val="26"/>
          <w:szCs w:val="26"/>
        </w:rPr>
        <w:t xml:space="preserve">Lena, Jennifer C. 2012. Banding Together: How Communities Create Genres in Popular Culture. </w:t>
      </w:r>
      <w:r w:rsidR="00664181">
        <w:rPr>
          <w:rFonts w:ascii="Garamond" w:eastAsia="Garamond" w:hAnsi="Garamond" w:cs="Garamond"/>
          <w:color w:val="000000"/>
          <w:sz w:val="26"/>
          <w:szCs w:val="26"/>
        </w:rPr>
        <w:t xml:space="preserve">Princeton: </w:t>
      </w:r>
      <w:r>
        <w:rPr>
          <w:rFonts w:ascii="Garamond" w:eastAsia="Garamond" w:hAnsi="Garamond" w:cs="Garamond"/>
          <w:color w:val="000000"/>
          <w:sz w:val="26"/>
          <w:szCs w:val="26"/>
        </w:rPr>
        <w:t>Princeton University Press.</w:t>
      </w:r>
    </w:p>
    <w:p w14:paraId="3CC17176" w14:textId="72F0765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77" w:name="_jyy0vhxrvzrp" w:colFirst="0" w:colLast="0"/>
      <w:bookmarkEnd w:id="77"/>
      <w:r>
        <w:rPr>
          <w:rFonts w:ascii="Garamond" w:eastAsia="Garamond" w:hAnsi="Garamond" w:cs="Garamond"/>
          <w:color w:val="000000"/>
          <w:sz w:val="26"/>
          <w:szCs w:val="26"/>
        </w:rPr>
        <w:t>Levine, Lawrence W. 1988. Highbrow/Lowbrow. Cambridge: Harvard University Press.</w:t>
      </w:r>
    </w:p>
    <w:p w14:paraId="642A8346"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78" w:name="_z3q0uo2vidmw" w:colFirst="0" w:colLast="0"/>
      <w:bookmarkEnd w:id="78"/>
      <w:proofErr w:type="spellStart"/>
      <w:r>
        <w:rPr>
          <w:rFonts w:ascii="Garamond" w:eastAsia="Garamond" w:hAnsi="Garamond" w:cs="Garamond"/>
          <w:color w:val="000000"/>
          <w:sz w:val="26"/>
          <w:szCs w:val="26"/>
        </w:rPr>
        <w:t>Lizardo</w:t>
      </w:r>
      <w:proofErr w:type="spellEnd"/>
      <w:r>
        <w:rPr>
          <w:rFonts w:ascii="Garamond" w:eastAsia="Garamond" w:hAnsi="Garamond" w:cs="Garamond"/>
          <w:color w:val="000000"/>
          <w:sz w:val="26"/>
          <w:szCs w:val="26"/>
        </w:rPr>
        <w:t xml:space="preserve">, Omar. 2008. “The Question of Culture Consumption and Stratification Revisited.” </w:t>
      </w:r>
      <w:proofErr w:type="spellStart"/>
      <w:r w:rsidRPr="00664181">
        <w:rPr>
          <w:rFonts w:ascii="Garamond" w:hAnsi="Garamond"/>
          <w:color w:val="000000"/>
          <w:sz w:val="26"/>
        </w:rPr>
        <w:t>Sociologica</w:t>
      </w:r>
      <w:proofErr w:type="spellEnd"/>
      <w:r>
        <w:rPr>
          <w:rFonts w:ascii="Garamond" w:eastAsia="Garamond" w:hAnsi="Garamond" w:cs="Garamond"/>
          <w:color w:val="000000"/>
          <w:sz w:val="26"/>
          <w:szCs w:val="26"/>
        </w:rPr>
        <w:t xml:space="preserve"> 2(2): </w:t>
      </w:r>
      <w:commentRangeStart w:id="79"/>
      <w:r>
        <w:rPr>
          <w:rFonts w:ascii="Garamond" w:eastAsia="Garamond" w:hAnsi="Garamond" w:cs="Garamond"/>
          <w:color w:val="000000"/>
          <w:sz w:val="26"/>
          <w:szCs w:val="26"/>
        </w:rPr>
        <w:t>0-0</w:t>
      </w:r>
      <w:commentRangeEnd w:id="79"/>
      <w:r w:rsidR="00664181">
        <w:rPr>
          <w:rStyle w:val="CommentReference"/>
          <w:rFonts w:ascii="Garamond" w:eastAsia="Garamond" w:hAnsi="Garamond" w:cs="Garamond"/>
          <w:color w:val="000000"/>
        </w:rPr>
        <w:commentReference w:id="79"/>
      </w:r>
      <w:r>
        <w:rPr>
          <w:rFonts w:ascii="Garamond" w:eastAsia="Garamond" w:hAnsi="Garamond" w:cs="Garamond"/>
          <w:color w:val="000000"/>
          <w:sz w:val="26"/>
          <w:szCs w:val="26"/>
        </w:rPr>
        <w:t>.</w:t>
      </w:r>
    </w:p>
    <w:p w14:paraId="4DFAF23D"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proofErr w:type="spellStart"/>
      <w:r>
        <w:rPr>
          <w:rFonts w:ascii="Garamond" w:eastAsia="Garamond" w:hAnsi="Garamond" w:cs="Garamond"/>
          <w:color w:val="000000"/>
          <w:sz w:val="26"/>
          <w:szCs w:val="26"/>
        </w:rPr>
        <w:t>Lizardo</w:t>
      </w:r>
      <w:proofErr w:type="spellEnd"/>
      <w:r>
        <w:rPr>
          <w:rFonts w:ascii="Garamond" w:eastAsia="Garamond" w:hAnsi="Garamond" w:cs="Garamond"/>
          <w:color w:val="000000"/>
          <w:sz w:val="26"/>
          <w:szCs w:val="26"/>
        </w:rPr>
        <w:t xml:space="preserve">, Omar and Sara </w:t>
      </w:r>
      <w:proofErr w:type="spellStart"/>
      <w:r>
        <w:rPr>
          <w:rFonts w:ascii="Garamond" w:eastAsia="Garamond" w:hAnsi="Garamond" w:cs="Garamond"/>
          <w:color w:val="000000"/>
          <w:sz w:val="26"/>
          <w:szCs w:val="26"/>
        </w:rPr>
        <w:t>Skiles</w:t>
      </w:r>
      <w:proofErr w:type="spellEnd"/>
      <w:r>
        <w:rPr>
          <w:rFonts w:ascii="Garamond" w:eastAsia="Garamond" w:hAnsi="Garamond" w:cs="Garamond"/>
          <w:color w:val="000000"/>
          <w:sz w:val="26"/>
          <w:szCs w:val="26"/>
        </w:rPr>
        <w:t xml:space="preserve">. 2009. “Highbrow </w:t>
      </w:r>
      <w:proofErr w:type="spellStart"/>
      <w:r>
        <w:rPr>
          <w:rFonts w:ascii="Garamond" w:eastAsia="Garamond" w:hAnsi="Garamond" w:cs="Garamond"/>
          <w:color w:val="000000"/>
          <w:sz w:val="26"/>
          <w:szCs w:val="26"/>
        </w:rPr>
        <w:t>omnivorousness</w:t>
      </w:r>
      <w:proofErr w:type="spellEnd"/>
      <w:r>
        <w:rPr>
          <w:rFonts w:ascii="Garamond" w:eastAsia="Garamond" w:hAnsi="Garamond" w:cs="Garamond"/>
          <w:color w:val="000000"/>
          <w:sz w:val="26"/>
          <w:szCs w:val="26"/>
        </w:rPr>
        <w:t xml:space="preserve"> on the Small Screen? Cultural Industry Systems and Patterns of Cultural Choice in Europe.” </w:t>
      </w:r>
      <w:r w:rsidRPr="00664181">
        <w:rPr>
          <w:rFonts w:ascii="Garamond" w:hAnsi="Garamond"/>
          <w:color w:val="000000"/>
          <w:sz w:val="26"/>
        </w:rPr>
        <w:t>Poetics</w:t>
      </w:r>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37: 1-23.</w:t>
      </w:r>
      <w:proofErr w:type="gramEnd"/>
    </w:p>
    <w:p w14:paraId="2F2BF7E3"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80" w:name="_snl6a5ejvfb8" w:colFirst="0" w:colLast="0"/>
      <w:bookmarkEnd w:id="80"/>
      <w:proofErr w:type="spellStart"/>
      <w:r>
        <w:rPr>
          <w:rFonts w:ascii="Garamond" w:eastAsia="Garamond" w:hAnsi="Garamond" w:cs="Garamond"/>
          <w:color w:val="000000"/>
          <w:sz w:val="26"/>
          <w:szCs w:val="26"/>
        </w:rPr>
        <w:t>Lizardo</w:t>
      </w:r>
      <w:proofErr w:type="spellEnd"/>
      <w:r>
        <w:rPr>
          <w:rFonts w:ascii="Garamond" w:eastAsia="Garamond" w:hAnsi="Garamond" w:cs="Garamond"/>
          <w:color w:val="000000"/>
          <w:sz w:val="26"/>
          <w:szCs w:val="26"/>
        </w:rPr>
        <w:t xml:space="preserve">, Omar and Sara </w:t>
      </w:r>
      <w:proofErr w:type="spellStart"/>
      <w:r>
        <w:rPr>
          <w:rFonts w:ascii="Garamond" w:eastAsia="Garamond" w:hAnsi="Garamond" w:cs="Garamond"/>
          <w:color w:val="000000"/>
          <w:sz w:val="26"/>
          <w:szCs w:val="26"/>
        </w:rPr>
        <w:t>Skiles</w:t>
      </w:r>
      <w:proofErr w:type="spellEnd"/>
      <w:r>
        <w:rPr>
          <w:rFonts w:ascii="Garamond" w:eastAsia="Garamond" w:hAnsi="Garamond" w:cs="Garamond"/>
          <w:color w:val="000000"/>
          <w:sz w:val="26"/>
          <w:szCs w:val="26"/>
        </w:rPr>
        <w:t>. 2012. “</w:t>
      </w:r>
      <w:proofErr w:type="spellStart"/>
      <w:r>
        <w:rPr>
          <w:rFonts w:ascii="Garamond" w:eastAsia="Garamond" w:hAnsi="Garamond" w:cs="Garamond"/>
          <w:color w:val="000000"/>
          <w:sz w:val="26"/>
          <w:szCs w:val="26"/>
        </w:rPr>
        <w:t>Reconceptualizing</w:t>
      </w:r>
      <w:proofErr w:type="spellEnd"/>
      <w:r>
        <w:rPr>
          <w:rFonts w:ascii="Garamond" w:eastAsia="Garamond" w:hAnsi="Garamond" w:cs="Garamond"/>
          <w:color w:val="000000"/>
          <w:sz w:val="26"/>
          <w:szCs w:val="26"/>
        </w:rPr>
        <w:t xml:space="preserve"> and Theorizing ‘</w:t>
      </w:r>
      <w:proofErr w:type="spellStart"/>
      <w:r>
        <w:rPr>
          <w:rFonts w:ascii="Garamond" w:eastAsia="Garamond" w:hAnsi="Garamond" w:cs="Garamond"/>
          <w:color w:val="000000"/>
          <w:sz w:val="26"/>
          <w:szCs w:val="26"/>
        </w:rPr>
        <w:t>Omnivorousness</w:t>
      </w:r>
      <w:proofErr w:type="spellEnd"/>
      <w:r>
        <w:rPr>
          <w:rFonts w:ascii="Garamond" w:eastAsia="Garamond" w:hAnsi="Garamond" w:cs="Garamond"/>
          <w:color w:val="000000"/>
          <w:sz w:val="26"/>
          <w:szCs w:val="26"/>
        </w:rPr>
        <w:t xml:space="preserve">:’ Genetic and Relational Mechanisms.” </w:t>
      </w:r>
      <w:r w:rsidRPr="00664181">
        <w:rPr>
          <w:rFonts w:ascii="Garamond" w:hAnsi="Garamond"/>
          <w:color w:val="000000"/>
          <w:sz w:val="26"/>
        </w:rPr>
        <w:t>Sociological Theory</w:t>
      </w:r>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Vol. 30: 263-282.</w:t>
      </w:r>
      <w:proofErr w:type="gramEnd"/>
    </w:p>
    <w:p w14:paraId="44D17E41" w14:textId="0CE283F9"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proofErr w:type="gramStart"/>
      <w:r>
        <w:rPr>
          <w:rFonts w:ascii="Garamond" w:eastAsia="Garamond" w:hAnsi="Garamond" w:cs="Garamond"/>
          <w:color w:val="000000"/>
          <w:sz w:val="26"/>
          <w:szCs w:val="26"/>
        </w:rPr>
        <w:t>Lopes, Paul.</w:t>
      </w:r>
      <w:proofErr w:type="gramEnd"/>
      <w:r>
        <w:rPr>
          <w:rFonts w:ascii="Garamond" w:eastAsia="Garamond" w:hAnsi="Garamond" w:cs="Garamond"/>
          <w:color w:val="000000"/>
          <w:sz w:val="26"/>
          <w:szCs w:val="26"/>
        </w:rPr>
        <w:t xml:space="preserve"> 2002. The Rise of a Jazz Art World. </w:t>
      </w:r>
      <w:proofErr w:type="gramStart"/>
      <w:r>
        <w:rPr>
          <w:rFonts w:ascii="Garamond" w:eastAsia="Garamond" w:hAnsi="Garamond" w:cs="Garamond"/>
          <w:color w:val="000000"/>
          <w:sz w:val="26"/>
          <w:szCs w:val="26"/>
        </w:rPr>
        <w:t>Cambridge University Press.</w:t>
      </w:r>
      <w:proofErr w:type="gramEnd"/>
    </w:p>
    <w:p w14:paraId="33E565B2"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81" w:name="_e95kt8k5h0ga" w:colFirst="0" w:colLast="0"/>
      <w:bookmarkEnd w:id="81"/>
      <w:proofErr w:type="spellStart"/>
      <w:proofErr w:type="gramStart"/>
      <w:r>
        <w:rPr>
          <w:rFonts w:ascii="Garamond" w:eastAsia="Garamond" w:hAnsi="Garamond" w:cs="Garamond"/>
          <w:color w:val="000000"/>
          <w:sz w:val="26"/>
          <w:szCs w:val="26"/>
        </w:rPr>
        <w:t>López-Sintas</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Jordi</w:t>
      </w:r>
      <w:proofErr w:type="spellEnd"/>
      <w:r>
        <w:rPr>
          <w:rFonts w:ascii="Garamond" w:eastAsia="Garamond" w:hAnsi="Garamond" w:cs="Garamond"/>
          <w:color w:val="000000"/>
          <w:sz w:val="26"/>
          <w:szCs w:val="26"/>
        </w:rPr>
        <w:t xml:space="preserve"> and Tally Katz-</w:t>
      </w:r>
      <w:proofErr w:type="spellStart"/>
      <w:r>
        <w:rPr>
          <w:rFonts w:ascii="Garamond" w:eastAsia="Garamond" w:hAnsi="Garamond" w:cs="Garamond"/>
          <w:color w:val="000000"/>
          <w:sz w:val="26"/>
          <w:szCs w:val="26"/>
        </w:rPr>
        <w:t>Gerro</w:t>
      </w:r>
      <w:proofErr w:type="spellEnd"/>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2005. “From Exclusive to Inclusive Elitists and Further: Twenty Years of </w:t>
      </w:r>
      <w:proofErr w:type="spellStart"/>
      <w:r>
        <w:rPr>
          <w:rFonts w:ascii="Garamond" w:eastAsia="Garamond" w:hAnsi="Garamond" w:cs="Garamond"/>
          <w:color w:val="000000"/>
          <w:sz w:val="26"/>
          <w:szCs w:val="26"/>
        </w:rPr>
        <w:t>Omnivorousness</w:t>
      </w:r>
      <w:proofErr w:type="spellEnd"/>
      <w:r>
        <w:rPr>
          <w:rFonts w:ascii="Garamond" w:eastAsia="Garamond" w:hAnsi="Garamond" w:cs="Garamond"/>
          <w:color w:val="000000"/>
          <w:sz w:val="26"/>
          <w:szCs w:val="26"/>
        </w:rPr>
        <w:t xml:space="preserve"> and Cultural Diversity in Arts Participation in the USA.” </w:t>
      </w:r>
      <w:r w:rsidRPr="00664181">
        <w:rPr>
          <w:rFonts w:ascii="Garamond" w:hAnsi="Garamond"/>
          <w:color w:val="000000"/>
          <w:sz w:val="26"/>
        </w:rPr>
        <w:t>Poetics</w:t>
      </w:r>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33: 299-319.</w:t>
      </w:r>
      <w:proofErr w:type="gramEnd"/>
      <w:r>
        <w:rPr>
          <w:rFonts w:ascii="Garamond" w:eastAsia="Garamond" w:hAnsi="Garamond" w:cs="Garamond"/>
          <w:color w:val="000000"/>
          <w:sz w:val="26"/>
          <w:szCs w:val="26"/>
        </w:rPr>
        <w:t xml:space="preserve"> </w:t>
      </w:r>
    </w:p>
    <w:p w14:paraId="027B2E97" w14:textId="7F9CA623" w:rsidR="00C67E15" w:rsidRDefault="007D1B8E" w:rsidP="00664181">
      <w:pPr>
        <w:pStyle w:val="normal0"/>
        <w:contextualSpacing w:val="0"/>
      </w:pPr>
      <w:proofErr w:type="spellStart"/>
      <w:r>
        <w:rPr>
          <w:color w:val="333333"/>
          <w:highlight w:val="white"/>
        </w:rPr>
        <w:t>Lynes</w:t>
      </w:r>
      <w:proofErr w:type="spellEnd"/>
      <w:r>
        <w:rPr>
          <w:color w:val="333333"/>
          <w:highlight w:val="white"/>
        </w:rPr>
        <w:t xml:space="preserve">, Russell, 1954. </w:t>
      </w:r>
      <w:r>
        <w:rPr>
          <w:i/>
          <w:color w:val="333333"/>
          <w:highlight w:val="white"/>
        </w:rPr>
        <w:t>The Tastemakers</w:t>
      </w:r>
      <w:r>
        <w:rPr>
          <w:color w:val="333333"/>
          <w:highlight w:val="white"/>
        </w:rPr>
        <w:t xml:space="preserve">. </w:t>
      </w:r>
      <w:proofErr w:type="gramStart"/>
      <w:r w:rsidR="00664181">
        <w:rPr>
          <w:color w:val="333333"/>
          <w:highlight w:val="white"/>
        </w:rPr>
        <w:t xml:space="preserve">Harper, </w:t>
      </w:r>
      <w:r w:rsidR="009F0EC6">
        <w:rPr>
          <w:color w:val="333333"/>
          <w:highlight w:val="white"/>
        </w:rPr>
        <w:t>New York</w:t>
      </w:r>
      <w:r>
        <w:rPr>
          <w:color w:val="333333"/>
          <w:highlight w:val="white"/>
        </w:rPr>
        <w:t>.</w:t>
      </w:r>
      <w:proofErr w:type="gramEnd"/>
    </w:p>
    <w:p w14:paraId="4AB710ED" w14:textId="379E8F64"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proofErr w:type="spellStart"/>
      <w:r>
        <w:rPr>
          <w:rFonts w:ascii="Garamond" w:eastAsia="Garamond" w:hAnsi="Garamond" w:cs="Garamond"/>
          <w:color w:val="000000"/>
          <w:sz w:val="26"/>
          <w:szCs w:val="26"/>
        </w:rPr>
        <w:t>Umbach</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Maiken</w:t>
      </w:r>
      <w:proofErr w:type="spellEnd"/>
      <w:r>
        <w:rPr>
          <w:rFonts w:ascii="Garamond" w:eastAsia="Garamond" w:hAnsi="Garamond" w:cs="Garamond"/>
          <w:color w:val="000000"/>
          <w:sz w:val="26"/>
          <w:szCs w:val="26"/>
        </w:rPr>
        <w:t xml:space="preserve"> and Bernd </w:t>
      </w:r>
      <w:proofErr w:type="spellStart"/>
      <w:r>
        <w:rPr>
          <w:rFonts w:ascii="Garamond" w:eastAsia="Garamond" w:hAnsi="Garamond" w:cs="Garamond"/>
          <w:color w:val="000000"/>
          <w:sz w:val="26"/>
          <w:szCs w:val="26"/>
        </w:rPr>
        <w:t>Hüppauf</w:t>
      </w:r>
      <w:proofErr w:type="spellEnd"/>
      <w:r>
        <w:rPr>
          <w:rFonts w:ascii="Garamond" w:eastAsia="Garamond" w:hAnsi="Garamond" w:cs="Garamond"/>
          <w:color w:val="000000"/>
          <w:sz w:val="26"/>
          <w:szCs w:val="26"/>
        </w:rPr>
        <w:t>, (</w:t>
      </w:r>
      <w:proofErr w:type="spellStart"/>
      <w:r>
        <w:rPr>
          <w:rFonts w:ascii="Garamond" w:eastAsia="Garamond" w:hAnsi="Garamond" w:cs="Garamond"/>
          <w:color w:val="000000"/>
          <w:sz w:val="26"/>
          <w:szCs w:val="26"/>
        </w:rPr>
        <w:t>eds</w:t>
      </w:r>
      <w:proofErr w:type="spellEnd"/>
      <w:r>
        <w:rPr>
          <w:rFonts w:ascii="Garamond" w:eastAsia="Garamond" w:hAnsi="Garamond" w:cs="Garamond"/>
          <w:color w:val="000000"/>
          <w:sz w:val="26"/>
          <w:szCs w:val="26"/>
        </w:rPr>
        <w:t xml:space="preserve">). 2005. Vernacular Modernism: </w:t>
      </w:r>
      <w:proofErr w:type="spellStart"/>
      <w:r>
        <w:rPr>
          <w:rFonts w:ascii="Garamond" w:eastAsia="Garamond" w:hAnsi="Garamond" w:cs="Garamond"/>
          <w:color w:val="000000"/>
          <w:sz w:val="26"/>
          <w:szCs w:val="26"/>
        </w:rPr>
        <w:t>Heimat</w:t>
      </w:r>
      <w:proofErr w:type="spellEnd"/>
      <w:r>
        <w:rPr>
          <w:rFonts w:ascii="Garamond" w:eastAsia="Garamond" w:hAnsi="Garamond" w:cs="Garamond"/>
          <w:color w:val="000000"/>
          <w:sz w:val="26"/>
          <w:szCs w:val="26"/>
        </w:rPr>
        <w:t xml:space="preserve">, Globalization, and the Built Environment. </w:t>
      </w:r>
      <w:proofErr w:type="gramStart"/>
      <w:r>
        <w:rPr>
          <w:rFonts w:ascii="Garamond" w:eastAsia="Garamond" w:hAnsi="Garamond" w:cs="Garamond"/>
          <w:color w:val="000000"/>
          <w:sz w:val="26"/>
          <w:szCs w:val="26"/>
        </w:rPr>
        <w:t>Stanford University Press.</w:t>
      </w:r>
      <w:proofErr w:type="gramEnd"/>
    </w:p>
    <w:p w14:paraId="6C11252C"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82" w:name="_kuztpe8q0m9o" w:colFirst="0" w:colLast="0"/>
      <w:bookmarkEnd w:id="82"/>
      <w:r>
        <w:rPr>
          <w:rFonts w:ascii="Garamond" w:eastAsia="Garamond" w:hAnsi="Garamond" w:cs="Garamond"/>
          <w:color w:val="000000"/>
          <w:sz w:val="26"/>
          <w:szCs w:val="26"/>
        </w:rPr>
        <w:t xml:space="preserve">Mannheim, Karl. 1952. “The Problems of Generations.” In Karl Mannheim, Essays in the Sociology of Knowledge, Pp. 276-322. London, England: </w:t>
      </w:r>
      <w:proofErr w:type="spellStart"/>
      <w:r>
        <w:rPr>
          <w:rFonts w:ascii="Garamond" w:eastAsia="Garamond" w:hAnsi="Garamond" w:cs="Garamond"/>
          <w:color w:val="000000"/>
          <w:sz w:val="26"/>
          <w:szCs w:val="26"/>
        </w:rPr>
        <w:t>Routledge</w:t>
      </w:r>
      <w:proofErr w:type="spellEnd"/>
      <w:r>
        <w:rPr>
          <w:rFonts w:ascii="Garamond" w:eastAsia="Garamond" w:hAnsi="Garamond" w:cs="Garamond"/>
          <w:color w:val="000000"/>
          <w:sz w:val="26"/>
          <w:szCs w:val="26"/>
        </w:rPr>
        <w:t xml:space="preserve"> and </w:t>
      </w:r>
      <w:proofErr w:type="spellStart"/>
      <w:r>
        <w:rPr>
          <w:rFonts w:ascii="Garamond" w:eastAsia="Garamond" w:hAnsi="Garamond" w:cs="Garamond"/>
          <w:color w:val="000000"/>
          <w:sz w:val="26"/>
          <w:szCs w:val="26"/>
        </w:rPr>
        <w:lastRenderedPageBreak/>
        <w:t>Kegan</w:t>
      </w:r>
      <w:proofErr w:type="spellEnd"/>
      <w:r>
        <w:rPr>
          <w:rFonts w:ascii="Garamond" w:eastAsia="Garamond" w:hAnsi="Garamond" w:cs="Garamond"/>
          <w:color w:val="000000"/>
          <w:sz w:val="26"/>
          <w:szCs w:val="26"/>
        </w:rPr>
        <w:t xml:space="preserve"> Paul.</w:t>
      </w:r>
    </w:p>
    <w:p w14:paraId="68CBE7FE"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83" w:name="_kx9nb561xdp0" w:colFirst="0" w:colLast="0"/>
      <w:bookmarkEnd w:id="83"/>
      <w:r>
        <w:rPr>
          <w:rFonts w:ascii="Garamond" w:eastAsia="Garamond" w:hAnsi="Garamond" w:cs="Garamond"/>
          <w:color w:val="000000"/>
          <w:sz w:val="26"/>
          <w:szCs w:val="26"/>
        </w:rPr>
        <w:t xml:space="preserve">Matthews, Jane De Hart. 1975. “Arts and the People: The New Deal Quest for a Cultural Democracy.” </w:t>
      </w:r>
      <w:proofErr w:type="gramStart"/>
      <w:r w:rsidRPr="00664181">
        <w:rPr>
          <w:rFonts w:ascii="Garamond" w:hAnsi="Garamond"/>
          <w:color w:val="000000"/>
          <w:sz w:val="26"/>
        </w:rPr>
        <w:t>The Journal of American History</w:t>
      </w:r>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Vol. 62 (2): 316-339. </w:t>
      </w:r>
    </w:p>
    <w:p w14:paraId="718FE166"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84" w:name="_k9neiu1irg1i" w:colFirst="0" w:colLast="0"/>
      <w:bookmarkEnd w:id="84"/>
      <w:proofErr w:type="gramStart"/>
      <w:r>
        <w:rPr>
          <w:rFonts w:ascii="Garamond" w:eastAsia="Garamond" w:hAnsi="Garamond" w:cs="Garamond"/>
          <w:color w:val="000000"/>
          <w:sz w:val="26"/>
          <w:szCs w:val="26"/>
        </w:rPr>
        <w:t>McDonald, William F. 1969.</w:t>
      </w:r>
      <w:proofErr w:type="gramEnd"/>
      <w:r>
        <w:rPr>
          <w:rFonts w:ascii="Garamond" w:eastAsia="Garamond" w:hAnsi="Garamond" w:cs="Garamond"/>
          <w:color w:val="000000"/>
          <w:sz w:val="26"/>
          <w:szCs w:val="26"/>
        </w:rPr>
        <w:t xml:space="preserve"> Federal Relief Administration and the Arts. </w:t>
      </w:r>
      <w:proofErr w:type="gramStart"/>
      <w:r>
        <w:rPr>
          <w:rFonts w:ascii="Garamond" w:eastAsia="Garamond" w:hAnsi="Garamond" w:cs="Garamond"/>
          <w:color w:val="000000"/>
          <w:sz w:val="26"/>
          <w:szCs w:val="26"/>
        </w:rPr>
        <w:t>Ohio State University Press.</w:t>
      </w:r>
      <w:proofErr w:type="gramEnd"/>
    </w:p>
    <w:p w14:paraId="37C6F600"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85" w:name="_yc444f52mc28" w:colFirst="0" w:colLast="0"/>
      <w:bookmarkEnd w:id="85"/>
      <w:r>
        <w:rPr>
          <w:rFonts w:ascii="Garamond" w:eastAsia="Garamond" w:hAnsi="Garamond" w:cs="Garamond"/>
          <w:color w:val="000000"/>
          <w:sz w:val="26"/>
          <w:szCs w:val="26"/>
        </w:rPr>
        <w:t xml:space="preserve">Mears, Ashley. 2011. </w:t>
      </w:r>
      <w:r w:rsidRPr="00664181">
        <w:rPr>
          <w:rFonts w:ascii="Garamond" w:hAnsi="Garamond"/>
          <w:color w:val="000000"/>
          <w:sz w:val="26"/>
        </w:rPr>
        <w:t>Pricing Beauty: The Making of a Fashion Model</w:t>
      </w:r>
      <w:r>
        <w:rPr>
          <w:rFonts w:ascii="Garamond" w:eastAsia="Garamond" w:hAnsi="Garamond" w:cs="Garamond"/>
          <w:color w:val="000000"/>
          <w:sz w:val="26"/>
          <w:szCs w:val="26"/>
        </w:rPr>
        <w:t>. Berkeley: University of California Press.</w:t>
      </w:r>
    </w:p>
    <w:p w14:paraId="66D81FDC"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r>
        <w:rPr>
          <w:rFonts w:ascii="Garamond" w:eastAsia="Garamond" w:hAnsi="Garamond" w:cs="Garamond"/>
          <w:color w:val="000000"/>
          <w:sz w:val="26"/>
          <w:szCs w:val="26"/>
        </w:rPr>
        <w:t xml:space="preserve">Meyer, Karl E. 1979. </w:t>
      </w:r>
      <w:r w:rsidRPr="00664181">
        <w:rPr>
          <w:rFonts w:ascii="Garamond" w:hAnsi="Garamond"/>
          <w:color w:val="000000"/>
          <w:sz w:val="26"/>
        </w:rPr>
        <w:t xml:space="preserve">The Art Museum: Power, Money, </w:t>
      </w:r>
      <w:proofErr w:type="gramStart"/>
      <w:r w:rsidRPr="00664181">
        <w:rPr>
          <w:rFonts w:ascii="Garamond" w:hAnsi="Garamond"/>
          <w:color w:val="000000"/>
          <w:sz w:val="26"/>
        </w:rPr>
        <w:t>Ethics</w:t>
      </w:r>
      <w:proofErr w:type="gramEnd"/>
      <w:r>
        <w:rPr>
          <w:rFonts w:ascii="Garamond" w:eastAsia="Garamond" w:hAnsi="Garamond" w:cs="Garamond"/>
          <w:color w:val="000000"/>
          <w:sz w:val="26"/>
          <w:szCs w:val="26"/>
        </w:rPr>
        <w:t>. New York: William Morrow.</w:t>
      </w:r>
    </w:p>
    <w:p w14:paraId="0C4B2E2A"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86" w:name="_mnstsafhqaol" w:colFirst="0" w:colLast="0"/>
      <w:bookmarkEnd w:id="86"/>
      <w:r>
        <w:rPr>
          <w:rFonts w:ascii="Garamond" w:eastAsia="Garamond" w:hAnsi="Garamond" w:cs="Garamond"/>
          <w:color w:val="000000"/>
          <w:sz w:val="26"/>
          <w:szCs w:val="26"/>
        </w:rPr>
        <w:t xml:space="preserve">N.A. 1936. “Art: Government Inspiration.” </w:t>
      </w:r>
      <w:r w:rsidRPr="00664181">
        <w:rPr>
          <w:rFonts w:ascii="Garamond" w:hAnsi="Garamond"/>
          <w:color w:val="000000"/>
          <w:sz w:val="26"/>
        </w:rPr>
        <w:t>Time Magazine</w:t>
      </w:r>
      <w:r>
        <w:rPr>
          <w:rFonts w:ascii="Garamond" w:eastAsia="Garamond" w:hAnsi="Garamond" w:cs="Garamond"/>
          <w:color w:val="000000"/>
          <w:sz w:val="26"/>
          <w:szCs w:val="26"/>
        </w:rPr>
        <w:t xml:space="preserve">. March 2. </w:t>
      </w:r>
    </w:p>
    <w:p w14:paraId="3B36C2AC"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87" w:name="_xv8b5n93qbp1" w:colFirst="0" w:colLast="0"/>
      <w:bookmarkEnd w:id="87"/>
      <w:r>
        <w:rPr>
          <w:rFonts w:ascii="Garamond" w:eastAsia="Garamond" w:hAnsi="Garamond" w:cs="Garamond"/>
          <w:color w:val="000000"/>
          <w:sz w:val="26"/>
          <w:szCs w:val="26"/>
        </w:rPr>
        <w:t xml:space="preserve">N.A. 1936. “Music: Relief Melodies.” </w:t>
      </w:r>
      <w:r w:rsidRPr="00664181">
        <w:rPr>
          <w:rFonts w:ascii="Garamond" w:hAnsi="Garamond"/>
          <w:color w:val="000000"/>
          <w:sz w:val="26"/>
        </w:rPr>
        <w:t>Time Magazine</w:t>
      </w:r>
      <w:r>
        <w:rPr>
          <w:rFonts w:ascii="Garamond" w:eastAsia="Garamond" w:hAnsi="Garamond" w:cs="Garamond"/>
          <w:color w:val="000000"/>
          <w:sz w:val="26"/>
          <w:szCs w:val="26"/>
        </w:rPr>
        <w:t xml:space="preserve">. April 13. </w:t>
      </w:r>
    </w:p>
    <w:p w14:paraId="3ED709EA" w14:textId="58EFC0C6"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88" w:name="_poziaz3l16g1" w:colFirst="0" w:colLast="0"/>
      <w:bookmarkEnd w:id="88"/>
      <w:r>
        <w:rPr>
          <w:rFonts w:ascii="Garamond" w:eastAsia="Garamond" w:hAnsi="Garamond" w:cs="Garamond"/>
          <w:color w:val="000000"/>
          <w:sz w:val="26"/>
          <w:szCs w:val="26"/>
        </w:rPr>
        <w:t xml:space="preserve">N.A. 1963. </w:t>
      </w:r>
      <w:r>
        <w:rPr>
          <w:rFonts w:ascii="Garamond" w:eastAsia="Garamond" w:hAnsi="Garamond" w:cs="Garamond"/>
          <w:color w:val="000000"/>
          <w:sz w:val="24"/>
          <w:szCs w:val="24"/>
        </w:rPr>
        <w:t>“Background Information on Museum of Primitive Art,”</w:t>
      </w:r>
      <w:r>
        <w:rPr>
          <w:rFonts w:ascii="Garamond" w:eastAsia="Garamond" w:hAnsi="Garamond" w:cs="Garamond"/>
          <w:color w:val="000000"/>
          <w:sz w:val="26"/>
          <w:szCs w:val="26"/>
        </w:rPr>
        <w:t xml:space="preserve"> Spring 1963, </w:t>
      </w:r>
      <w:r>
        <w:rPr>
          <w:rFonts w:ascii="Garamond" w:eastAsia="Garamond" w:hAnsi="Garamond" w:cs="Garamond"/>
          <w:color w:val="000000"/>
          <w:sz w:val="24"/>
          <w:szCs w:val="24"/>
        </w:rPr>
        <w:t>Official Business</w:t>
      </w:r>
      <w:r>
        <w:rPr>
          <w:rFonts w:ascii="Garamond" w:eastAsia="Garamond" w:hAnsi="Garamond" w:cs="Garamond"/>
          <w:color w:val="000000"/>
          <w:sz w:val="26"/>
          <w:szCs w:val="26"/>
        </w:rPr>
        <w:t>, Visual Resource Archive, Department of the Arts of Af</w:t>
      </w:r>
      <w:r w:rsidR="009F0EC6">
        <w:rPr>
          <w:rFonts w:ascii="Garamond" w:eastAsia="Garamond" w:hAnsi="Garamond" w:cs="Garamond"/>
          <w:color w:val="000000"/>
          <w:sz w:val="26"/>
          <w:szCs w:val="26"/>
        </w:rPr>
        <w:t>rica, Oceania, and the Americas</w:t>
      </w:r>
      <w:r w:rsidR="00664181">
        <w:rPr>
          <w:rFonts w:ascii="Garamond" w:eastAsia="Garamond" w:hAnsi="Garamond" w:cs="Garamond"/>
          <w:color w:val="000000"/>
          <w:sz w:val="26"/>
          <w:szCs w:val="26"/>
        </w:rPr>
        <w:t>,</w:t>
      </w:r>
      <w:r w:rsidR="009F0EC6">
        <w:rPr>
          <w:rFonts w:ascii="Garamond" w:eastAsia="Garamond" w:hAnsi="Garamond" w:cs="Garamond"/>
          <w:color w:val="000000"/>
          <w:sz w:val="26"/>
          <w:szCs w:val="26"/>
        </w:rPr>
        <w:t xml:space="preserve"> </w:t>
      </w:r>
      <w:r>
        <w:rPr>
          <w:rFonts w:ascii="Garamond" w:eastAsia="Garamond" w:hAnsi="Garamond" w:cs="Garamond"/>
          <w:color w:val="000000"/>
          <w:sz w:val="26"/>
          <w:szCs w:val="26"/>
        </w:rPr>
        <w:t>The Metropolitan Museum of Art, New York.</w:t>
      </w:r>
    </w:p>
    <w:p w14:paraId="5AA43025"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89" w:name="_py8mofieig9h" w:colFirst="0" w:colLast="0"/>
      <w:bookmarkEnd w:id="89"/>
      <w:r>
        <w:rPr>
          <w:rFonts w:ascii="Garamond" w:eastAsia="Garamond" w:hAnsi="Garamond" w:cs="Garamond"/>
          <w:color w:val="000000"/>
          <w:sz w:val="26"/>
          <w:szCs w:val="26"/>
        </w:rPr>
        <w:t xml:space="preserve">N.A. 2013. “Smithsonian </w:t>
      </w:r>
      <w:proofErr w:type="spellStart"/>
      <w:r>
        <w:rPr>
          <w:rFonts w:ascii="Garamond" w:eastAsia="Garamond" w:hAnsi="Garamond" w:cs="Garamond"/>
          <w:color w:val="000000"/>
          <w:sz w:val="26"/>
          <w:szCs w:val="26"/>
        </w:rPr>
        <w:t>Folklife</w:t>
      </w:r>
      <w:proofErr w:type="spellEnd"/>
      <w:r>
        <w:rPr>
          <w:rFonts w:ascii="Garamond" w:eastAsia="Garamond" w:hAnsi="Garamond" w:cs="Garamond"/>
          <w:color w:val="000000"/>
          <w:sz w:val="26"/>
          <w:szCs w:val="26"/>
        </w:rPr>
        <w:t xml:space="preserve"> Festival: Mission and History.” </w:t>
      </w:r>
      <w:hyperlink r:id="rId14">
        <w:r>
          <w:rPr>
            <w:rFonts w:ascii="Garamond" w:eastAsia="Garamond" w:hAnsi="Garamond" w:cs="Garamond"/>
            <w:color w:val="1155CC"/>
            <w:sz w:val="26"/>
            <w:szCs w:val="26"/>
            <w:u w:val="single"/>
          </w:rPr>
          <w:t>http://www.festival.si.edu/about-us/mission-and-history/smithsonian</w:t>
        </w:r>
      </w:hyperlink>
      <w:r>
        <w:rPr>
          <w:rFonts w:ascii="Garamond" w:eastAsia="Garamond" w:hAnsi="Garamond" w:cs="Garamond"/>
          <w:color w:val="000000"/>
          <w:sz w:val="26"/>
          <w:szCs w:val="26"/>
        </w:rPr>
        <w:t>. Accessed March 30, 2016.</w:t>
      </w:r>
    </w:p>
    <w:p w14:paraId="67D7E8FC"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90" w:name="_vqywflf3snq3" w:colFirst="0" w:colLast="0"/>
      <w:bookmarkEnd w:id="90"/>
      <w:r>
        <w:rPr>
          <w:rFonts w:ascii="Garamond" w:eastAsia="Garamond" w:hAnsi="Garamond" w:cs="Garamond"/>
          <w:color w:val="000000"/>
          <w:sz w:val="26"/>
          <w:szCs w:val="26"/>
        </w:rPr>
        <w:t xml:space="preserve">The National Research Center of the Arts. Americans and the Arts. 1973. ICPSR35575-v1. Ann Arbor, MI: Inter-university Consortium for Political and Social Research [distributor], 2015-03-19. </w:t>
      </w:r>
      <w:hyperlink r:id="rId15">
        <w:r>
          <w:rPr>
            <w:rFonts w:ascii="Garamond" w:eastAsia="Garamond" w:hAnsi="Garamond" w:cs="Garamond"/>
            <w:color w:val="1155CC"/>
            <w:sz w:val="26"/>
            <w:szCs w:val="26"/>
            <w:u w:val="single"/>
          </w:rPr>
          <w:t>http://doi.org/10.3886/ICPSR35575.v1</w:t>
        </w:r>
      </w:hyperlink>
    </w:p>
    <w:p w14:paraId="6111FAD0"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r>
        <w:rPr>
          <w:rFonts w:ascii="Garamond" w:eastAsia="Garamond" w:hAnsi="Garamond" w:cs="Garamond"/>
          <w:color w:val="000000"/>
          <w:sz w:val="26"/>
          <w:szCs w:val="26"/>
        </w:rPr>
        <w:t>O’Connor, Francis. 1969. Federal Support for the Visual Arts: The New Deal and the Now. Greenwich, CT: New York Graphic Society.</w:t>
      </w:r>
    </w:p>
    <w:p w14:paraId="09CFF3A7"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91" w:name="_d2vlvm1d2x7" w:colFirst="0" w:colLast="0"/>
      <w:bookmarkEnd w:id="91"/>
      <w:proofErr w:type="spellStart"/>
      <w:r>
        <w:rPr>
          <w:rFonts w:ascii="Garamond" w:eastAsia="Garamond" w:hAnsi="Garamond" w:cs="Garamond"/>
          <w:color w:val="000000"/>
          <w:sz w:val="26"/>
          <w:szCs w:val="26"/>
        </w:rPr>
        <w:t>Ocejo</w:t>
      </w:r>
      <w:proofErr w:type="spellEnd"/>
      <w:r>
        <w:rPr>
          <w:rFonts w:ascii="Garamond" w:eastAsia="Garamond" w:hAnsi="Garamond" w:cs="Garamond"/>
          <w:color w:val="000000"/>
          <w:sz w:val="26"/>
          <w:szCs w:val="26"/>
        </w:rPr>
        <w:t xml:space="preserve">, Richard E. 2014. “Show the Animal: Constructing and Communicating New Elite Food Tastes at Upscale Butcher Shops.” Poetics. </w:t>
      </w:r>
      <w:proofErr w:type="gramStart"/>
      <w:r>
        <w:rPr>
          <w:rFonts w:ascii="Garamond" w:eastAsia="Garamond" w:hAnsi="Garamond" w:cs="Garamond"/>
          <w:color w:val="000000"/>
          <w:sz w:val="26"/>
          <w:szCs w:val="26"/>
        </w:rPr>
        <w:t>47: 106-121.</w:t>
      </w:r>
      <w:proofErr w:type="gramEnd"/>
    </w:p>
    <w:p w14:paraId="09C30B56"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92" w:name="_hwi83gmab4p3" w:colFirst="0" w:colLast="0"/>
      <w:bookmarkEnd w:id="92"/>
      <w:r>
        <w:rPr>
          <w:rFonts w:ascii="Garamond" w:eastAsia="Garamond" w:hAnsi="Garamond" w:cs="Garamond"/>
          <w:color w:val="000000"/>
          <w:sz w:val="26"/>
          <w:szCs w:val="26"/>
        </w:rPr>
        <w:t>Park, Marlene and Gerald E. Markowitz. 1984. Democratic Vistas: Post Offices and Public Art in the New Deal. Philadelphia: Temple University Press.</w:t>
      </w:r>
    </w:p>
    <w:p w14:paraId="1A96A887"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93" w:name="_9d7o0jgrdsgu" w:colFirst="0" w:colLast="0"/>
      <w:bookmarkEnd w:id="93"/>
      <w:r>
        <w:rPr>
          <w:rFonts w:ascii="Garamond" w:eastAsia="Garamond" w:hAnsi="Garamond" w:cs="Garamond"/>
          <w:color w:val="000000"/>
          <w:sz w:val="26"/>
          <w:szCs w:val="26"/>
        </w:rPr>
        <w:t xml:space="preserve">Peterson, Richard A. 2005. “Problems in Comparative Research: The Example of </w:t>
      </w:r>
      <w:proofErr w:type="spellStart"/>
      <w:r>
        <w:rPr>
          <w:rFonts w:ascii="Garamond" w:eastAsia="Garamond" w:hAnsi="Garamond" w:cs="Garamond"/>
          <w:color w:val="000000"/>
          <w:sz w:val="26"/>
          <w:szCs w:val="26"/>
        </w:rPr>
        <w:t>Omnnivorousness</w:t>
      </w:r>
      <w:proofErr w:type="spellEnd"/>
      <w:r>
        <w:rPr>
          <w:rFonts w:ascii="Garamond" w:eastAsia="Garamond" w:hAnsi="Garamond" w:cs="Garamond"/>
          <w:color w:val="000000"/>
          <w:sz w:val="26"/>
          <w:szCs w:val="26"/>
        </w:rPr>
        <w:t xml:space="preserve">.” </w:t>
      </w:r>
      <w:r w:rsidRPr="00664181">
        <w:rPr>
          <w:rFonts w:ascii="Garamond" w:hAnsi="Garamond"/>
          <w:color w:val="000000"/>
          <w:sz w:val="26"/>
        </w:rPr>
        <w:t>Poetics</w:t>
      </w:r>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33:257-282.</w:t>
      </w:r>
      <w:proofErr w:type="gramEnd"/>
    </w:p>
    <w:p w14:paraId="20CC050F"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94" w:name="_amaj7zg8n0pj" w:colFirst="0" w:colLast="0"/>
      <w:bookmarkEnd w:id="94"/>
      <w:r>
        <w:rPr>
          <w:rFonts w:ascii="Garamond" w:eastAsia="Garamond" w:hAnsi="Garamond" w:cs="Garamond"/>
          <w:color w:val="000000"/>
          <w:sz w:val="26"/>
          <w:szCs w:val="26"/>
        </w:rPr>
        <w:t xml:space="preserve">Peterson, Richard A. and Albert </w:t>
      </w:r>
      <w:proofErr w:type="spellStart"/>
      <w:r>
        <w:rPr>
          <w:rFonts w:ascii="Garamond" w:eastAsia="Garamond" w:hAnsi="Garamond" w:cs="Garamond"/>
          <w:color w:val="000000"/>
          <w:sz w:val="26"/>
          <w:szCs w:val="26"/>
        </w:rPr>
        <w:t>Simkus</w:t>
      </w:r>
      <w:proofErr w:type="spellEnd"/>
      <w:r>
        <w:rPr>
          <w:rFonts w:ascii="Garamond" w:eastAsia="Garamond" w:hAnsi="Garamond" w:cs="Garamond"/>
          <w:color w:val="000000"/>
          <w:sz w:val="26"/>
          <w:szCs w:val="26"/>
        </w:rPr>
        <w:t xml:space="preserve">. 1992. "How Musical Taste Groups Mark </w:t>
      </w:r>
      <w:r>
        <w:rPr>
          <w:rFonts w:ascii="Garamond" w:eastAsia="Garamond" w:hAnsi="Garamond" w:cs="Garamond"/>
          <w:color w:val="000000"/>
          <w:sz w:val="26"/>
          <w:szCs w:val="26"/>
        </w:rPr>
        <w:lastRenderedPageBreak/>
        <w:t>Occupational Status Groups." Pp. 152-68 in Cultivating Differences: Symbolic Boundaries and the Making of Inequality, edited by M. Lamont and M. Fournier. Chicago, IL: University of Chicago Press.</w:t>
      </w:r>
    </w:p>
    <w:p w14:paraId="4DEAC4E6"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95" w:name="_17pqamx1v5i3" w:colFirst="0" w:colLast="0"/>
      <w:bookmarkEnd w:id="95"/>
      <w:r>
        <w:rPr>
          <w:rFonts w:ascii="Garamond" w:eastAsia="Garamond" w:hAnsi="Garamond" w:cs="Garamond"/>
          <w:color w:val="000000"/>
          <w:sz w:val="26"/>
          <w:szCs w:val="26"/>
        </w:rPr>
        <w:t xml:space="preserve">Peterson, Richard A. and Roger M. Kern. 1996. “Changing Highbrow Taste: From Snob to Omnivore.” </w:t>
      </w:r>
      <w:proofErr w:type="gramStart"/>
      <w:r w:rsidRPr="00664181">
        <w:rPr>
          <w:rFonts w:ascii="Garamond" w:hAnsi="Garamond"/>
          <w:color w:val="000000"/>
          <w:sz w:val="26"/>
        </w:rPr>
        <w:t>American Sociological Review</w:t>
      </w:r>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Vol. 61: 900-907.</w:t>
      </w:r>
      <w:proofErr w:type="gramEnd"/>
    </w:p>
    <w:p w14:paraId="42908B17"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r>
        <w:rPr>
          <w:rFonts w:ascii="Garamond" w:eastAsia="Garamond" w:hAnsi="Garamond" w:cs="Garamond"/>
          <w:color w:val="000000"/>
          <w:sz w:val="26"/>
          <w:szCs w:val="26"/>
        </w:rPr>
        <w:t xml:space="preserve">Peterson, Richard A. and Gabriel </w:t>
      </w:r>
      <w:proofErr w:type="spellStart"/>
      <w:r>
        <w:rPr>
          <w:rFonts w:ascii="Garamond" w:eastAsia="Garamond" w:hAnsi="Garamond" w:cs="Garamond"/>
          <w:color w:val="000000"/>
          <w:sz w:val="26"/>
          <w:szCs w:val="26"/>
        </w:rPr>
        <w:t>Rossman</w:t>
      </w:r>
      <w:proofErr w:type="spellEnd"/>
      <w:r>
        <w:rPr>
          <w:rFonts w:ascii="Garamond" w:eastAsia="Garamond" w:hAnsi="Garamond" w:cs="Garamond"/>
          <w:color w:val="000000"/>
          <w:sz w:val="26"/>
          <w:szCs w:val="26"/>
        </w:rPr>
        <w:t xml:space="preserve">. 2008. “Changing Arts Audiences: Capitalizing on </w:t>
      </w:r>
      <w:proofErr w:type="spellStart"/>
      <w:r>
        <w:rPr>
          <w:rFonts w:ascii="Garamond" w:eastAsia="Garamond" w:hAnsi="Garamond" w:cs="Garamond"/>
          <w:color w:val="000000"/>
          <w:sz w:val="26"/>
          <w:szCs w:val="26"/>
        </w:rPr>
        <w:t>Omnivorousness</w:t>
      </w:r>
      <w:proofErr w:type="spell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 xml:space="preserve">Pp. 307-342 in Steven </w:t>
      </w:r>
      <w:proofErr w:type="spellStart"/>
      <w:r>
        <w:rPr>
          <w:rFonts w:ascii="Garamond" w:eastAsia="Garamond" w:hAnsi="Garamond" w:cs="Garamond"/>
          <w:color w:val="000000"/>
          <w:sz w:val="26"/>
          <w:szCs w:val="26"/>
        </w:rPr>
        <w:t>Tepper</w:t>
      </w:r>
      <w:proofErr w:type="spellEnd"/>
      <w:r>
        <w:rPr>
          <w:rFonts w:ascii="Garamond" w:eastAsia="Garamond" w:hAnsi="Garamond" w:cs="Garamond"/>
          <w:color w:val="000000"/>
          <w:sz w:val="26"/>
          <w:szCs w:val="26"/>
        </w:rPr>
        <w:t xml:space="preserve"> and Bill Ivey (</w:t>
      </w:r>
      <w:proofErr w:type="spellStart"/>
      <w:r>
        <w:rPr>
          <w:rFonts w:ascii="Garamond" w:eastAsia="Garamond" w:hAnsi="Garamond" w:cs="Garamond"/>
          <w:color w:val="000000"/>
          <w:sz w:val="26"/>
          <w:szCs w:val="26"/>
        </w:rPr>
        <w:t>eds</w:t>
      </w:r>
      <w:proofErr w:type="spellEnd"/>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Engaging Art: The Next Great Transformation of Americans’ Cultural Life. New York: </w:t>
      </w:r>
      <w:proofErr w:type="spellStart"/>
      <w:r>
        <w:rPr>
          <w:rFonts w:ascii="Garamond" w:eastAsia="Garamond" w:hAnsi="Garamond" w:cs="Garamond"/>
          <w:color w:val="000000"/>
          <w:sz w:val="26"/>
          <w:szCs w:val="26"/>
        </w:rPr>
        <w:t>Routledge</w:t>
      </w:r>
      <w:proofErr w:type="spellEnd"/>
      <w:r>
        <w:rPr>
          <w:rFonts w:ascii="Garamond" w:eastAsia="Garamond" w:hAnsi="Garamond" w:cs="Garamond"/>
          <w:color w:val="000000"/>
          <w:sz w:val="26"/>
          <w:szCs w:val="26"/>
        </w:rPr>
        <w:t xml:space="preserve">. </w:t>
      </w:r>
    </w:p>
    <w:p w14:paraId="3E34BB89"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96" w:name="_nk9b5mi32fmd" w:colFirst="0" w:colLast="0"/>
      <w:bookmarkEnd w:id="96"/>
      <w:proofErr w:type="spellStart"/>
      <w:r>
        <w:rPr>
          <w:rFonts w:ascii="Garamond" w:eastAsia="Garamond" w:hAnsi="Garamond" w:cs="Garamond"/>
          <w:color w:val="000000"/>
          <w:sz w:val="26"/>
          <w:szCs w:val="26"/>
        </w:rPr>
        <w:t>Prieur</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Annick</w:t>
      </w:r>
      <w:proofErr w:type="spellEnd"/>
      <w:r>
        <w:rPr>
          <w:rFonts w:ascii="Garamond" w:eastAsia="Garamond" w:hAnsi="Garamond" w:cs="Garamond"/>
          <w:color w:val="000000"/>
          <w:sz w:val="26"/>
          <w:szCs w:val="26"/>
        </w:rPr>
        <w:t xml:space="preserve">, and Mike Savage. 2013. “Emerging forms of cultural capital.” </w:t>
      </w:r>
      <w:r w:rsidRPr="00664181">
        <w:rPr>
          <w:rFonts w:ascii="Garamond" w:hAnsi="Garamond"/>
          <w:color w:val="000000"/>
          <w:sz w:val="26"/>
        </w:rPr>
        <w:t>European Societies</w:t>
      </w:r>
      <w:r>
        <w:rPr>
          <w:rFonts w:ascii="Garamond" w:eastAsia="Garamond" w:hAnsi="Garamond" w:cs="Garamond"/>
          <w:color w:val="000000"/>
          <w:sz w:val="26"/>
          <w:szCs w:val="26"/>
        </w:rPr>
        <w:t xml:space="preserve"> 15: 246-267.</w:t>
      </w:r>
    </w:p>
    <w:p w14:paraId="080B49DE"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97" w:name="_nytbgg483ao0" w:colFirst="0" w:colLast="0"/>
      <w:bookmarkEnd w:id="97"/>
      <w:proofErr w:type="spellStart"/>
      <w:proofErr w:type="gramStart"/>
      <w:r>
        <w:rPr>
          <w:rFonts w:ascii="Garamond" w:eastAsia="Garamond" w:hAnsi="Garamond" w:cs="Garamond"/>
          <w:color w:val="000000"/>
          <w:sz w:val="26"/>
          <w:szCs w:val="26"/>
        </w:rPr>
        <w:t>Rabe-Hesketh</w:t>
      </w:r>
      <w:proofErr w:type="spellEnd"/>
      <w:r>
        <w:rPr>
          <w:rFonts w:ascii="Garamond" w:eastAsia="Garamond" w:hAnsi="Garamond" w:cs="Garamond"/>
          <w:color w:val="000000"/>
          <w:sz w:val="26"/>
          <w:szCs w:val="26"/>
        </w:rPr>
        <w:t xml:space="preserve">, Sophia and Anders </w:t>
      </w:r>
      <w:proofErr w:type="spellStart"/>
      <w:r>
        <w:rPr>
          <w:rFonts w:ascii="Garamond" w:eastAsia="Garamond" w:hAnsi="Garamond" w:cs="Garamond"/>
          <w:color w:val="000000"/>
          <w:sz w:val="26"/>
          <w:szCs w:val="26"/>
        </w:rPr>
        <w:t>Skrondal</w:t>
      </w:r>
      <w:proofErr w:type="spellEnd"/>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2008. Multilevel and longitudinal modeling using </w:t>
      </w:r>
      <w:proofErr w:type="spellStart"/>
      <w:r>
        <w:rPr>
          <w:rFonts w:ascii="Garamond" w:eastAsia="Garamond" w:hAnsi="Garamond" w:cs="Garamond"/>
          <w:color w:val="000000"/>
          <w:sz w:val="26"/>
          <w:szCs w:val="26"/>
        </w:rPr>
        <w:t>Stata</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Stata</w:t>
      </w:r>
      <w:proofErr w:type="spellEnd"/>
      <w:r>
        <w:rPr>
          <w:rFonts w:ascii="Garamond" w:eastAsia="Garamond" w:hAnsi="Garamond" w:cs="Garamond"/>
          <w:color w:val="000000"/>
          <w:sz w:val="26"/>
          <w:szCs w:val="26"/>
        </w:rPr>
        <w:t xml:space="preserve"> Press.</w:t>
      </w:r>
    </w:p>
    <w:p w14:paraId="341D8DFC"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98" w:name="_ghfzkj1qfs0g" w:colFirst="0" w:colLast="0"/>
      <w:bookmarkEnd w:id="98"/>
      <w:proofErr w:type="gramStart"/>
      <w:r>
        <w:rPr>
          <w:rFonts w:ascii="Garamond" w:eastAsia="Garamond" w:hAnsi="Garamond" w:cs="Garamond"/>
          <w:color w:val="000000"/>
          <w:sz w:val="26"/>
          <w:szCs w:val="26"/>
        </w:rPr>
        <w:t>Reeves, Aaron.</w:t>
      </w:r>
      <w:proofErr w:type="gramEnd"/>
      <w:r>
        <w:rPr>
          <w:rFonts w:ascii="Garamond" w:eastAsia="Garamond" w:hAnsi="Garamond" w:cs="Garamond"/>
          <w:color w:val="000000"/>
          <w:sz w:val="26"/>
          <w:szCs w:val="26"/>
        </w:rPr>
        <w:t xml:space="preserve"> 2015. “Age-period-cohort and cultural engagement.” </w:t>
      </w:r>
      <w:proofErr w:type="gramStart"/>
      <w:r>
        <w:rPr>
          <w:rFonts w:ascii="Garamond" w:eastAsia="Garamond" w:hAnsi="Garamond" w:cs="Garamond"/>
          <w:color w:val="000000"/>
          <w:sz w:val="26"/>
          <w:szCs w:val="26"/>
        </w:rPr>
        <w:t xml:space="preserve">Pp. 116-131 in L. </w:t>
      </w:r>
      <w:proofErr w:type="spellStart"/>
      <w:r>
        <w:rPr>
          <w:rFonts w:ascii="Garamond" w:eastAsia="Garamond" w:hAnsi="Garamond" w:cs="Garamond"/>
          <w:color w:val="000000"/>
          <w:sz w:val="26"/>
          <w:szCs w:val="26"/>
        </w:rPr>
        <w:t>Hanquinet</w:t>
      </w:r>
      <w:proofErr w:type="spellEnd"/>
      <w:r>
        <w:rPr>
          <w:rFonts w:ascii="Garamond" w:eastAsia="Garamond" w:hAnsi="Garamond" w:cs="Garamond"/>
          <w:color w:val="000000"/>
          <w:sz w:val="26"/>
          <w:szCs w:val="26"/>
        </w:rPr>
        <w:t xml:space="preserve"> and M. Savage (</w:t>
      </w:r>
      <w:proofErr w:type="spellStart"/>
      <w:r>
        <w:rPr>
          <w:rFonts w:ascii="Garamond" w:eastAsia="Garamond" w:hAnsi="Garamond" w:cs="Garamond"/>
          <w:color w:val="000000"/>
          <w:sz w:val="26"/>
          <w:szCs w:val="26"/>
        </w:rPr>
        <w:t>Eds</w:t>
      </w:r>
      <w:proofErr w:type="spellEnd"/>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w:t>
      </w:r>
      <w:proofErr w:type="spellStart"/>
      <w:proofErr w:type="gramStart"/>
      <w:r>
        <w:rPr>
          <w:rFonts w:ascii="Garamond" w:eastAsia="Garamond" w:hAnsi="Garamond" w:cs="Garamond"/>
          <w:color w:val="000000"/>
          <w:sz w:val="26"/>
          <w:szCs w:val="26"/>
        </w:rPr>
        <w:t>Routledge</w:t>
      </w:r>
      <w:proofErr w:type="spellEnd"/>
      <w:r>
        <w:rPr>
          <w:rFonts w:ascii="Garamond" w:eastAsia="Garamond" w:hAnsi="Garamond" w:cs="Garamond"/>
          <w:color w:val="000000"/>
          <w:sz w:val="26"/>
          <w:szCs w:val="26"/>
        </w:rPr>
        <w:t xml:space="preserve"> International Handbook of the Sociology of Art and Culture.</w:t>
      </w:r>
      <w:proofErr w:type="gramEnd"/>
      <w:r>
        <w:rPr>
          <w:rFonts w:ascii="Garamond" w:eastAsia="Garamond" w:hAnsi="Garamond" w:cs="Garamond"/>
          <w:color w:val="000000"/>
          <w:sz w:val="26"/>
          <w:szCs w:val="26"/>
        </w:rPr>
        <w:t xml:space="preserve"> London: </w:t>
      </w:r>
      <w:proofErr w:type="spellStart"/>
      <w:r>
        <w:rPr>
          <w:rFonts w:ascii="Garamond" w:eastAsia="Garamond" w:hAnsi="Garamond" w:cs="Garamond"/>
          <w:color w:val="000000"/>
          <w:sz w:val="26"/>
          <w:szCs w:val="26"/>
        </w:rPr>
        <w:t>Routledge</w:t>
      </w:r>
      <w:proofErr w:type="spellEnd"/>
      <w:r>
        <w:rPr>
          <w:rFonts w:ascii="Garamond" w:eastAsia="Garamond" w:hAnsi="Garamond" w:cs="Garamond"/>
          <w:color w:val="000000"/>
          <w:sz w:val="26"/>
          <w:szCs w:val="26"/>
        </w:rPr>
        <w:t xml:space="preserve">. </w:t>
      </w:r>
    </w:p>
    <w:p w14:paraId="6CDCC932" w14:textId="00C356C8"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99" w:name="_5jjvt49js0m9" w:colFirst="0" w:colLast="0"/>
      <w:bookmarkEnd w:id="99"/>
      <w:proofErr w:type="spellStart"/>
      <w:r>
        <w:rPr>
          <w:rFonts w:ascii="Garamond" w:eastAsia="Garamond" w:hAnsi="Garamond" w:cs="Garamond"/>
          <w:color w:val="000000"/>
          <w:sz w:val="26"/>
          <w:szCs w:val="26"/>
        </w:rPr>
        <w:t>Rossman</w:t>
      </w:r>
      <w:proofErr w:type="spellEnd"/>
      <w:r>
        <w:rPr>
          <w:rFonts w:ascii="Garamond" w:eastAsia="Garamond" w:hAnsi="Garamond" w:cs="Garamond"/>
          <w:color w:val="000000"/>
          <w:sz w:val="26"/>
          <w:szCs w:val="26"/>
        </w:rPr>
        <w:t xml:space="preserve">, Gabriel. 2012 Climbing The Charts: What Radio Airplay Tells Us About The Diffusion of Innovation. </w:t>
      </w:r>
      <w:proofErr w:type="gramStart"/>
      <w:r>
        <w:rPr>
          <w:rFonts w:ascii="Garamond" w:eastAsia="Garamond" w:hAnsi="Garamond" w:cs="Garamond"/>
          <w:color w:val="000000"/>
          <w:sz w:val="26"/>
          <w:szCs w:val="26"/>
        </w:rPr>
        <w:t>Princeton University Press.</w:t>
      </w:r>
      <w:proofErr w:type="gramEnd"/>
    </w:p>
    <w:p w14:paraId="6D1F7C65"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100" w:name="_wxnmtraci6va" w:colFirst="0" w:colLast="0"/>
      <w:bookmarkEnd w:id="100"/>
      <w:proofErr w:type="spellStart"/>
      <w:r>
        <w:rPr>
          <w:rFonts w:ascii="Garamond" w:eastAsia="Garamond" w:hAnsi="Garamond" w:cs="Garamond"/>
          <w:color w:val="000000"/>
          <w:sz w:val="26"/>
          <w:szCs w:val="26"/>
        </w:rPr>
        <w:t>Rossman</w:t>
      </w:r>
      <w:proofErr w:type="spellEnd"/>
      <w:r>
        <w:rPr>
          <w:rFonts w:ascii="Garamond" w:eastAsia="Garamond" w:hAnsi="Garamond" w:cs="Garamond"/>
          <w:color w:val="000000"/>
          <w:sz w:val="26"/>
          <w:szCs w:val="26"/>
        </w:rPr>
        <w:t xml:space="preserve">, Gabriel and Richard A. Peterson. 2015. “The Instability of Omnivorous Cultural Taste Over Time.” </w:t>
      </w:r>
      <w:proofErr w:type="gramStart"/>
      <w:r w:rsidRPr="00664181">
        <w:rPr>
          <w:rFonts w:ascii="Garamond" w:hAnsi="Garamond"/>
          <w:color w:val="000000"/>
          <w:sz w:val="26"/>
        </w:rPr>
        <w:t>Poetics</w:t>
      </w:r>
      <w:r>
        <w:rPr>
          <w:rFonts w:ascii="Garamond" w:eastAsia="Garamond" w:hAnsi="Garamond" w:cs="Garamond"/>
          <w:color w:val="000000"/>
          <w:sz w:val="26"/>
          <w:szCs w:val="26"/>
        </w:rPr>
        <w:t xml:space="preserve"> 52: 139-153.</w:t>
      </w:r>
      <w:proofErr w:type="gramEnd"/>
    </w:p>
    <w:p w14:paraId="6BF42AFF"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101" w:name="_bize2zkrdm1v" w:colFirst="0" w:colLast="0"/>
      <w:bookmarkEnd w:id="101"/>
      <w:proofErr w:type="gramStart"/>
      <w:r>
        <w:rPr>
          <w:rFonts w:ascii="Garamond" w:eastAsia="Garamond" w:hAnsi="Garamond" w:cs="Garamond"/>
          <w:color w:val="000000"/>
          <w:sz w:val="26"/>
          <w:szCs w:val="26"/>
        </w:rPr>
        <w:t>Ryder, Norman B. 1965.</w:t>
      </w:r>
      <w:proofErr w:type="gramEnd"/>
      <w:r>
        <w:rPr>
          <w:rFonts w:ascii="Garamond" w:eastAsia="Garamond" w:hAnsi="Garamond" w:cs="Garamond"/>
          <w:color w:val="000000"/>
          <w:sz w:val="26"/>
          <w:szCs w:val="26"/>
        </w:rPr>
        <w:t xml:space="preserve"> “The cohort as a Concept in the Study of Social Change.” </w:t>
      </w:r>
      <w:r w:rsidRPr="00664181">
        <w:rPr>
          <w:rFonts w:ascii="Garamond" w:hAnsi="Garamond"/>
          <w:color w:val="000000"/>
          <w:sz w:val="26"/>
        </w:rPr>
        <w:t>American Sociological Review</w:t>
      </w:r>
      <w:r>
        <w:rPr>
          <w:rFonts w:ascii="Garamond" w:eastAsia="Garamond" w:hAnsi="Garamond" w:cs="Garamond"/>
          <w:color w:val="000000"/>
          <w:sz w:val="26"/>
          <w:szCs w:val="26"/>
        </w:rPr>
        <w:t xml:space="preserve"> 30 (6): 843-861.</w:t>
      </w:r>
    </w:p>
    <w:p w14:paraId="11225FAB"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102" w:name="_lmond96c3ke8" w:colFirst="0" w:colLast="0"/>
      <w:bookmarkEnd w:id="102"/>
      <w:r>
        <w:rPr>
          <w:rFonts w:ascii="Garamond" w:eastAsia="Garamond" w:hAnsi="Garamond" w:cs="Garamond"/>
          <w:color w:val="000000"/>
          <w:sz w:val="26"/>
          <w:szCs w:val="26"/>
        </w:rPr>
        <w:t xml:space="preserve">Saito, </w:t>
      </w:r>
      <w:proofErr w:type="spellStart"/>
      <w:r>
        <w:rPr>
          <w:rFonts w:ascii="Garamond" w:eastAsia="Garamond" w:hAnsi="Garamond" w:cs="Garamond"/>
          <w:color w:val="000000"/>
          <w:sz w:val="26"/>
          <w:szCs w:val="26"/>
        </w:rPr>
        <w:t>Hiro</w:t>
      </w:r>
      <w:proofErr w:type="spellEnd"/>
      <w:r>
        <w:rPr>
          <w:rFonts w:ascii="Garamond" w:eastAsia="Garamond" w:hAnsi="Garamond" w:cs="Garamond"/>
          <w:color w:val="000000"/>
          <w:sz w:val="26"/>
          <w:szCs w:val="26"/>
        </w:rPr>
        <w:t xml:space="preserve">. 2011. “An Actor-Network Theory of Cosmopolitanism.” </w:t>
      </w:r>
      <w:r w:rsidRPr="00664181">
        <w:rPr>
          <w:rFonts w:ascii="Garamond" w:hAnsi="Garamond"/>
          <w:color w:val="000000"/>
          <w:sz w:val="26"/>
        </w:rPr>
        <w:t>Sociological Theory</w:t>
      </w:r>
      <w:r>
        <w:rPr>
          <w:rFonts w:ascii="Garamond" w:eastAsia="Garamond" w:hAnsi="Garamond" w:cs="Garamond"/>
          <w:color w:val="000000"/>
          <w:sz w:val="26"/>
          <w:szCs w:val="26"/>
        </w:rPr>
        <w:t xml:space="preserve"> 29(2): 124-149.</w:t>
      </w:r>
    </w:p>
    <w:p w14:paraId="6EBCCD4E"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103" w:name="_8kbv1m4zwrcf" w:colFirst="0" w:colLast="0"/>
      <w:bookmarkEnd w:id="103"/>
      <w:r>
        <w:rPr>
          <w:rFonts w:ascii="Garamond" w:eastAsia="Garamond" w:hAnsi="Garamond" w:cs="Garamond"/>
          <w:color w:val="000000"/>
          <w:sz w:val="26"/>
          <w:szCs w:val="26"/>
        </w:rPr>
        <w:t xml:space="preserve">Schuman, Howard, and Cheryl </w:t>
      </w:r>
      <w:proofErr w:type="spellStart"/>
      <w:r>
        <w:rPr>
          <w:rFonts w:ascii="Garamond" w:eastAsia="Garamond" w:hAnsi="Garamond" w:cs="Garamond"/>
          <w:color w:val="000000"/>
          <w:sz w:val="26"/>
          <w:szCs w:val="26"/>
        </w:rPr>
        <w:t>Rieger</w:t>
      </w:r>
      <w:proofErr w:type="spellEnd"/>
      <w:r>
        <w:rPr>
          <w:rFonts w:ascii="Garamond" w:eastAsia="Garamond" w:hAnsi="Garamond" w:cs="Garamond"/>
          <w:color w:val="000000"/>
          <w:sz w:val="26"/>
          <w:szCs w:val="26"/>
        </w:rPr>
        <w:t xml:space="preserve">. 1992. “Historical analogies, generational effects, and attitudes toward war.” </w:t>
      </w:r>
      <w:r w:rsidRPr="00664181">
        <w:rPr>
          <w:rFonts w:ascii="Garamond" w:hAnsi="Garamond"/>
          <w:color w:val="000000"/>
          <w:sz w:val="26"/>
        </w:rPr>
        <w:t>American Sociological Review</w:t>
      </w:r>
      <w:r>
        <w:rPr>
          <w:rFonts w:ascii="Garamond" w:eastAsia="Garamond" w:hAnsi="Garamond" w:cs="Garamond"/>
          <w:color w:val="000000"/>
          <w:sz w:val="26"/>
          <w:szCs w:val="26"/>
        </w:rPr>
        <w:t xml:space="preserve"> 57: 315-326.</w:t>
      </w:r>
    </w:p>
    <w:p w14:paraId="5C1D0D4A"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104" w:name="_cuwdzsmrt5er" w:colFirst="0" w:colLast="0"/>
      <w:bookmarkEnd w:id="104"/>
      <w:r>
        <w:rPr>
          <w:rFonts w:ascii="Garamond" w:eastAsia="Garamond" w:hAnsi="Garamond" w:cs="Garamond"/>
          <w:color w:val="000000"/>
          <w:sz w:val="26"/>
          <w:szCs w:val="26"/>
        </w:rPr>
        <w:t>Schuman, Howard, and Amy D Corning. 2000. “Collective Knowledge of Public Events: The Soviet Era From The Great Purge to Glasnost.” American Journal of Sociology 105: 913-956.</w:t>
      </w:r>
    </w:p>
    <w:p w14:paraId="6193B5B5"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105" w:name="_a2hxvexbwcg2" w:colFirst="0" w:colLast="0"/>
      <w:bookmarkEnd w:id="105"/>
      <w:proofErr w:type="spellStart"/>
      <w:r>
        <w:rPr>
          <w:rFonts w:ascii="Garamond" w:eastAsia="Garamond" w:hAnsi="Garamond" w:cs="Garamond"/>
          <w:color w:val="000000"/>
          <w:sz w:val="26"/>
          <w:szCs w:val="26"/>
        </w:rPr>
        <w:lastRenderedPageBreak/>
        <w:t>Schneiberg</w:t>
      </w:r>
      <w:proofErr w:type="spellEnd"/>
      <w:r>
        <w:rPr>
          <w:rFonts w:ascii="Garamond" w:eastAsia="Garamond" w:hAnsi="Garamond" w:cs="Garamond"/>
          <w:color w:val="000000"/>
          <w:sz w:val="26"/>
          <w:szCs w:val="26"/>
        </w:rPr>
        <w:t>, Marc, and Elisabeth S. Clemens. 2006. “The Typical Tools for the Job: Research Strategies in Institutional Analysis.” Sociological Theory 24: 195-227.</w:t>
      </w:r>
    </w:p>
    <w:p w14:paraId="7AAEDB2F"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106" w:name="_cj5vq3tqnumn" w:colFirst="0" w:colLast="0"/>
      <w:bookmarkEnd w:id="106"/>
      <w:proofErr w:type="spellStart"/>
      <w:r>
        <w:rPr>
          <w:rFonts w:ascii="Garamond" w:eastAsia="Garamond" w:hAnsi="Garamond" w:cs="Garamond"/>
          <w:color w:val="000000"/>
          <w:sz w:val="26"/>
          <w:szCs w:val="26"/>
        </w:rPr>
        <w:t>Shils</w:t>
      </w:r>
      <w:proofErr w:type="spellEnd"/>
      <w:r>
        <w:rPr>
          <w:rFonts w:ascii="Garamond" w:eastAsia="Garamond" w:hAnsi="Garamond" w:cs="Garamond"/>
          <w:color w:val="000000"/>
          <w:sz w:val="26"/>
          <w:szCs w:val="26"/>
        </w:rPr>
        <w:t>, Edward, 1958. “Mass society and its culture.” Daedalus: Journal of the American Academy of Arts and Sciences 89, 2.</w:t>
      </w:r>
    </w:p>
    <w:p w14:paraId="211B92A3"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107" w:name="_6ere1injkm5x" w:colFirst="0" w:colLast="0"/>
      <w:bookmarkEnd w:id="107"/>
      <w:proofErr w:type="spellStart"/>
      <w:r>
        <w:rPr>
          <w:rFonts w:ascii="Garamond" w:eastAsia="Garamond" w:hAnsi="Garamond" w:cs="Garamond"/>
          <w:color w:val="000000"/>
          <w:sz w:val="26"/>
          <w:szCs w:val="26"/>
        </w:rPr>
        <w:t>Spillman</w:t>
      </w:r>
      <w:proofErr w:type="spellEnd"/>
      <w:r>
        <w:rPr>
          <w:rFonts w:ascii="Garamond" w:eastAsia="Garamond" w:hAnsi="Garamond" w:cs="Garamond"/>
          <w:color w:val="000000"/>
          <w:sz w:val="26"/>
          <w:szCs w:val="26"/>
        </w:rPr>
        <w:t>, Lyn. 2014. “Mixed Methods and the Logic of Qualitative Inference.” Qualitative Sociology 37(2): 189-205.</w:t>
      </w:r>
    </w:p>
    <w:p w14:paraId="39D534BB"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108" w:name="_vegdibt66ya5" w:colFirst="0" w:colLast="0"/>
      <w:bookmarkEnd w:id="108"/>
      <w:proofErr w:type="gramStart"/>
      <w:r>
        <w:rPr>
          <w:rFonts w:ascii="Garamond" w:eastAsia="Garamond" w:hAnsi="Garamond" w:cs="Garamond"/>
          <w:color w:val="000000"/>
          <w:sz w:val="26"/>
          <w:szCs w:val="26"/>
        </w:rPr>
        <w:t>van</w:t>
      </w:r>
      <w:proofErr w:type="gram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Eijck</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Koen</w:t>
      </w:r>
      <w:proofErr w:type="spellEnd"/>
      <w:r>
        <w:rPr>
          <w:rFonts w:ascii="Garamond" w:eastAsia="Garamond" w:hAnsi="Garamond" w:cs="Garamond"/>
          <w:color w:val="000000"/>
          <w:sz w:val="26"/>
          <w:szCs w:val="26"/>
        </w:rPr>
        <w:t>. 2001. “Social Differentiation in Musical Taste Patterns.” Social Forces 79(3): 1163-1185.</w:t>
      </w:r>
    </w:p>
    <w:p w14:paraId="4354C8A5"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109" w:name="_jksp7uceo4gx" w:colFirst="0" w:colLast="0"/>
      <w:bookmarkEnd w:id="109"/>
      <w:r>
        <w:rPr>
          <w:rFonts w:ascii="Garamond" w:eastAsia="Garamond" w:hAnsi="Garamond" w:cs="Garamond"/>
          <w:color w:val="000000"/>
          <w:sz w:val="26"/>
          <w:szCs w:val="26"/>
        </w:rPr>
        <w:t xml:space="preserve">Weber, William. 1977. “Mass culture and the reshaping of European musical taste, 1770-1870.” </w:t>
      </w:r>
      <w:proofErr w:type="gramStart"/>
      <w:r>
        <w:rPr>
          <w:rFonts w:ascii="Garamond" w:eastAsia="Garamond" w:hAnsi="Garamond" w:cs="Garamond"/>
          <w:color w:val="000000"/>
          <w:sz w:val="26"/>
          <w:szCs w:val="26"/>
        </w:rPr>
        <w:t>International Review of The Aesthetics and Sociology of Music 8: 5-22.</w:t>
      </w:r>
      <w:proofErr w:type="gramEnd"/>
    </w:p>
    <w:p w14:paraId="26A22C32"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110" w:name="_74zcxn2z5g3o" w:colFirst="0" w:colLast="0"/>
      <w:bookmarkEnd w:id="110"/>
      <w:r>
        <w:rPr>
          <w:rFonts w:ascii="Garamond" w:eastAsia="Garamond" w:hAnsi="Garamond" w:cs="Garamond"/>
          <w:color w:val="000000"/>
          <w:sz w:val="26"/>
          <w:szCs w:val="26"/>
        </w:rPr>
        <w:t xml:space="preserve">Wright, David, Semi </w:t>
      </w:r>
      <w:proofErr w:type="spellStart"/>
      <w:r>
        <w:rPr>
          <w:rFonts w:ascii="Garamond" w:eastAsia="Garamond" w:hAnsi="Garamond" w:cs="Garamond"/>
          <w:color w:val="000000"/>
          <w:sz w:val="26"/>
          <w:szCs w:val="26"/>
        </w:rPr>
        <w:t>Purhonen</w:t>
      </w:r>
      <w:proofErr w:type="spellEnd"/>
      <w:r>
        <w:rPr>
          <w:rFonts w:ascii="Garamond" w:eastAsia="Garamond" w:hAnsi="Garamond" w:cs="Garamond"/>
          <w:color w:val="000000"/>
          <w:sz w:val="26"/>
          <w:szCs w:val="26"/>
        </w:rPr>
        <w:t xml:space="preserve">, and </w:t>
      </w:r>
      <w:proofErr w:type="spellStart"/>
      <w:r>
        <w:rPr>
          <w:rFonts w:ascii="Garamond" w:eastAsia="Garamond" w:hAnsi="Garamond" w:cs="Garamond"/>
          <w:color w:val="000000"/>
          <w:sz w:val="26"/>
          <w:szCs w:val="26"/>
        </w:rPr>
        <w:t>Riie</w:t>
      </w:r>
      <w:proofErr w:type="spellEnd"/>
      <w:r>
        <w:rPr>
          <w:rFonts w:ascii="Garamond" w:eastAsia="Garamond" w:hAnsi="Garamond" w:cs="Garamond"/>
          <w:color w:val="000000"/>
          <w:sz w:val="26"/>
          <w:szCs w:val="26"/>
        </w:rPr>
        <w:t xml:space="preserve"> </w:t>
      </w:r>
      <w:proofErr w:type="spellStart"/>
      <w:r>
        <w:rPr>
          <w:rFonts w:ascii="Garamond" w:eastAsia="Garamond" w:hAnsi="Garamond" w:cs="Garamond"/>
          <w:color w:val="000000"/>
          <w:sz w:val="26"/>
          <w:szCs w:val="26"/>
        </w:rPr>
        <w:t>Heikkilä</w:t>
      </w:r>
      <w:proofErr w:type="spellEnd"/>
      <w:r>
        <w:rPr>
          <w:rFonts w:ascii="Garamond" w:eastAsia="Garamond" w:hAnsi="Garamond" w:cs="Garamond"/>
          <w:color w:val="000000"/>
          <w:sz w:val="26"/>
          <w:szCs w:val="26"/>
        </w:rPr>
        <w:t xml:space="preserve">. 2013. “Comparing ‘Cosmopolitanism’: Taste, Nation and Global Culture in Finland and the UK.” </w:t>
      </w:r>
      <w:proofErr w:type="gramStart"/>
      <w:r>
        <w:rPr>
          <w:rFonts w:ascii="Garamond" w:eastAsia="Garamond" w:hAnsi="Garamond" w:cs="Garamond"/>
          <w:color w:val="000000"/>
          <w:sz w:val="26"/>
          <w:szCs w:val="26"/>
        </w:rPr>
        <w:t>Comparative Sociology 12(3): 330–60.</w:t>
      </w:r>
      <w:proofErr w:type="gramEnd"/>
    </w:p>
    <w:p w14:paraId="3686543B" w14:textId="77777777"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111" w:name="_hip4hgz77wl8" w:colFirst="0" w:colLast="0"/>
      <w:bookmarkEnd w:id="111"/>
      <w:r>
        <w:rPr>
          <w:rFonts w:ascii="Garamond" w:eastAsia="Garamond" w:hAnsi="Garamond" w:cs="Garamond"/>
          <w:color w:val="000000"/>
          <w:sz w:val="26"/>
          <w:szCs w:val="26"/>
        </w:rPr>
        <w:t xml:space="preserve">Wright, David. 2011. “Making Tastes for Everything: </w:t>
      </w:r>
      <w:proofErr w:type="spellStart"/>
      <w:r>
        <w:rPr>
          <w:rFonts w:ascii="Garamond" w:eastAsia="Garamond" w:hAnsi="Garamond" w:cs="Garamond"/>
          <w:color w:val="000000"/>
          <w:sz w:val="26"/>
          <w:szCs w:val="26"/>
        </w:rPr>
        <w:t>Omnivorousness</w:t>
      </w:r>
      <w:proofErr w:type="spellEnd"/>
      <w:r>
        <w:rPr>
          <w:rFonts w:ascii="Garamond" w:eastAsia="Garamond" w:hAnsi="Garamond" w:cs="Garamond"/>
          <w:color w:val="000000"/>
          <w:sz w:val="26"/>
          <w:szCs w:val="26"/>
        </w:rPr>
        <w:t xml:space="preserve"> and Cultural Abundance.” Journal for Cultural Research 15: 355-371.</w:t>
      </w:r>
    </w:p>
    <w:p w14:paraId="5A5A1BA5" w14:textId="27B29E1D" w:rsidR="00C67E15" w:rsidRPr="00664181" w:rsidRDefault="007D1B8E" w:rsidP="00664181">
      <w:pPr>
        <w:pStyle w:val="Heading6"/>
        <w:keepNext w:val="0"/>
        <w:keepLines w:val="0"/>
        <w:spacing w:after="0"/>
        <w:ind w:left="720"/>
        <w:contextualSpacing w:val="0"/>
        <w:jc w:val="both"/>
        <w:rPr>
          <w:rFonts w:ascii="Garamond" w:hAnsi="Garamond"/>
          <w:color w:val="000000"/>
          <w:sz w:val="26"/>
        </w:rPr>
      </w:pPr>
      <w:bookmarkStart w:id="112" w:name="_qy8edy9uuowm" w:colFirst="0" w:colLast="0"/>
      <w:bookmarkEnd w:id="112"/>
      <w:proofErr w:type="gramStart"/>
      <w:r>
        <w:rPr>
          <w:rFonts w:ascii="Garamond" w:eastAsia="Garamond" w:hAnsi="Garamond" w:cs="Garamond"/>
          <w:color w:val="000000"/>
          <w:sz w:val="26"/>
          <w:szCs w:val="26"/>
        </w:rPr>
        <w:t>Yang, Yang and Kenneth C Land.</w:t>
      </w:r>
      <w:proofErr w:type="gramEnd"/>
      <w:r>
        <w:rPr>
          <w:rFonts w:ascii="Garamond" w:eastAsia="Garamond" w:hAnsi="Garamond" w:cs="Garamond"/>
          <w:color w:val="000000"/>
          <w:sz w:val="26"/>
          <w:szCs w:val="26"/>
        </w:rPr>
        <w:t xml:space="preserve"> 2006. “A Mixed Models Approach to the Age</w:t>
      </w:r>
      <w:r w:rsidR="00E44913">
        <w:rPr>
          <w:rFonts w:ascii="Garamond" w:eastAsia="Garamond" w:hAnsi="Garamond" w:cs="Garamond"/>
          <w:color w:val="000000"/>
          <w:sz w:val="26"/>
          <w:szCs w:val="26"/>
        </w:rPr>
        <w:t>-period-</w:t>
      </w:r>
      <w:r>
        <w:rPr>
          <w:rFonts w:ascii="Garamond" w:eastAsia="Garamond" w:hAnsi="Garamond" w:cs="Garamond"/>
          <w:color w:val="000000"/>
          <w:sz w:val="26"/>
          <w:szCs w:val="26"/>
        </w:rPr>
        <w:t>co</w:t>
      </w:r>
      <w:r w:rsidR="00E44913">
        <w:rPr>
          <w:rFonts w:ascii="Garamond" w:eastAsia="Garamond" w:hAnsi="Garamond" w:cs="Garamond"/>
          <w:color w:val="000000"/>
          <w:sz w:val="26"/>
          <w:szCs w:val="26"/>
        </w:rPr>
        <w:t>hort Analysis of Repeated Cross-</w:t>
      </w:r>
      <w:r>
        <w:rPr>
          <w:rFonts w:ascii="Garamond" w:eastAsia="Garamond" w:hAnsi="Garamond" w:cs="Garamond"/>
          <w:color w:val="000000"/>
          <w:sz w:val="26"/>
          <w:szCs w:val="26"/>
        </w:rPr>
        <w:t>section Surveys, With an Application to Data on Trends in Verbal Test Scores.” Sociological Methodology 36: 75-97.</w:t>
      </w:r>
    </w:p>
    <w:p w14:paraId="4DE37C55" w14:textId="77777777" w:rsidR="00C67E15" w:rsidRPr="00E44913" w:rsidRDefault="007D1B8E" w:rsidP="00664181">
      <w:pPr>
        <w:pStyle w:val="Heading6"/>
        <w:keepNext w:val="0"/>
        <w:keepLines w:val="0"/>
        <w:spacing w:after="0"/>
        <w:ind w:left="720"/>
        <w:contextualSpacing w:val="0"/>
        <w:jc w:val="both"/>
        <w:rPr>
          <w:rFonts w:ascii="Garamond" w:hAnsi="Garamond"/>
          <w:color w:val="000000"/>
          <w:sz w:val="26"/>
        </w:rPr>
      </w:pPr>
      <w:bookmarkStart w:id="113" w:name="_v15nhjd6063j" w:colFirst="0" w:colLast="0"/>
      <w:bookmarkEnd w:id="113"/>
      <w:proofErr w:type="gramStart"/>
      <w:r>
        <w:rPr>
          <w:rFonts w:ascii="Garamond" w:eastAsia="Garamond" w:hAnsi="Garamond" w:cs="Garamond"/>
          <w:color w:val="000000"/>
          <w:sz w:val="26"/>
          <w:szCs w:val="26"/>
        </w:rPr>
        <w:t>Yang, Yang, and Kenneth C Land.</w:t>
      </w:r>
      <w:proofErr w:type="gramEnd"/>
      <w:r>
        <w:rPr>
          <w:rFonts w:ascii="Garamond" w:eastAsia="Garamond" w:hAnsi="Garamond" w:cs="Garamond"/>
          <w:color w:val="000000"/>
          <w:sz w:val="26"/>
          <w:szCs w:val="26"/>
        </w:rPr>
        <w:t xml:space="preserve"> 2008. “Age–Period–Cohort Analysis of Repeated Cross-Section Surveys: Fixed or Random Effects</w:t>
      </w:r>
      <w:proofErr w:type="gramStart"/>
      <w:r>
        <w:rPr>
          <w:rFonts w:ascii="Garamond" w:eastAsia="Garamond" w:hAnsi="Garamond" w:cs="Garamond"/>
          <w:color w:val="000000"/>
          <w:sz w:val="26"/>
          <w:szCs w:val="26"/>
        </w:rPr>
        <w:t>?.</w:t>
      </w:r>
      <w:proofErr w:type="gramEnd"/>
      <w:r>
        <w:rPr>
          <w:rFonts w:ascii="Garamond" w:eastAsia="Garamond" w:hAnsi="Garamond" w:cs="Garamond"/>
          <w:color w:val="000000"/>
          <w:sz w:val="26"/>
          <w:szCs w:val="26"/>
        </w:rPr>
        <w:t xml:space="preserve">” </w:t>
      </w:r>
      <w:proofErr w:type="gramStart"/>
      <w:r>
        <w:rPr>
          <w:rFonts w:ascii="Garamond" w:eastAsia="Garamond" w:hAnsi="Garamond" w:cs="Garamond"/>
          <w:color w:val="000000"/>
          <w:sz w:val="26"/>
          <w:szCs w:val="26"/>
        </w:rPr>
        <w:t>Sociological methods &amp; research 36:  297-326.</w:t>
      </w:r>
      <w:proofErr w:type="gramEnd"/>
    </w:p>
    <w:p w14:paraId="2B25983B" w14:textId="77777777" w:rsidR="00C67E15" w:rsidRPr="00E44913" w:rsidRDefault="007D1B8E" w:rsidP="00664181">
      <w:pPr>
        <w:pStyle w:val="Heading6"/>
        <w:keepNext w:val="0"/>
        <w:keepLines w:val="0"/>
        <w:spacing w:after="0"/>
        <w:ind w:left="720"/>
        <w:contextualSpacing w:val="0"/>
        <w:jc w:val="both"/>
        <w:rPr>
          <w:rFonts w:ascii="Garamond" w:hAnsi="Garamond"/>
          <w:color w:val="000000"/>
          <w:sz w:val="26"/>
        </w:rPr>
      </w:pPr>
      <w:bookmarkStart w:id="114" w:name="_to9zfswsxhli" w:colFirst="0" w:colLast="0"/>
      <w:bookmarkEnd w:id="114"/>
      <w:proofErr w:type="spellStart"/>
      <w:r>
        <w:rPr>
          <w:rFonts w:ascii="Garamond" w:eastAsia="Garamond" w:hAnsi="Garamond" w:cs="Garamond"/>
          <w:color w:val="000000"/>
          <w:sz w:val="26"/>
          <w:szCs w:val="26"/>
        </w:rPr>
        <w:t>Zolberg</w:t>
      </w:r>
      <w:proofErr w:type="spellEnd"/>
      <w:r>
        <w:rPr>
          <w:rFonts w:ascii="Garamond" w:eastAsia="Garamond" w:hAnsi="Garamond" w:cs="Garamond"/>
          <w:color w:val="000000"/>
          <w:sz w:val="26"/>
          <w:szCs w:val="26"/>
        </w:rPr>
        <w:t xml:space="preserve">, Vera. 1981. “Conflicting Visions in American Art Museums.” </w:t>
      </w:r>
      <w:proofErr w:type="gramStart"/>
      <w:r>
        <w:rPr>
          <w:rFonts w:ascii="Garamond" w:eastAsia="Garamond" w:hAnsi="Garamond" w:cs="Garamond"/>
          <w:color w:val="000000"/>
          <w:sz w:val="26"/>
          <w:szCs w:val="26"/>
        </w:rPr>
        <w:t>Theory and Society.</w:t>
      </w:r>
      <w:proofErr w:type="gramEnd"/>
      <w:r>
        <w:rPr>
          <w:rFonts w:ascii="Garamond" w:eastAsia="Garamond" w:hAnsi="Garamond" w:cs="Garamond"/>
          <w:color w:val="000000"/>
          <w:sz w:val="26"/>
          <w:szCs w:val="26"/>
        </w:rPr>
        <w:t xml:space="preserve"> Vol. 10 (1): 103-125.</w:t>
      </w:r>
    </w:p>
    <w:p w14:paraId="5C4DD09F" w14:textId="77777777" w:rsidR="00C67E15" w:rsidRPr="00E44913" w:rsidRDefault="007D1B8E" w:rsidP="00664181">
      <w:pPr>
        <w:pStyle w:val="Heading6"/>
        <w:keepNext w:val="0"/>
        <w:keepLines w:val="0"/>
        <w:spacing w:after="0"/>
        <w:ind w:left="720"/>
        <w:contextualSpacing w:val="0"/>
        <w:jc w:val="both"/>
        <w:rPr>
          <w:rFonts w:ascii="Garamond" w:hAnsi="Garamond"/>
          <w:color w:val="000000"/>
          <w:sz w:val="26"/>
        </w:rPr>
      </w:pPr>
      <w:bookmarkStart w:id="115" w:name="_i4pkse17a72a" w:colFirst="0" w:colLast="0"/>
      <w:bookmarkEnd w:id="115"/>
      <w:proofErr w:type="spellStart"/>
      <w:r>
        <w:rPr>
          <w:rFonts w:ascii="Garamond" w:eastAsia="Garamond" w:hAnsi="Garamond" w:cs="Garamond"/>
          <w:color w:val="000000"/>
          <w:sz w:val="26"/>
          <w:szCs w:val="26"/>
        </w:rPr>
        <w:t>Zolberg</w:t>
      </w:r>
      <w:proofErr w:type="spellEnd"/>
      <w:r>
        <w:rPr>
          <w:rFonts w:ascii="Garamond" w:eastAsia="Garamond" w:hAnsi="Garamond" w:cs="Garamond"/>
          <w:color w:val="000000"/>
          <w:sz w:val="26"/>
          <w:szCs w:val="26"/>
        </w:rPr>
        <w:t>, Vera L. 1984. “American Art Museums: Sanctuary or Free-For-All?” Social Forces 63 (2): 377-392.</w:t>
      </w:r>
    </w:p>
    <w:p w14:paraId="30493EA7" w14:textId="77777777" w:rsidR="00C67E15" w:rsidRPr="00E44913" w:rsidRDefault="007D1B8E" w:rsidP="00664181">
      <w:pPr>
        <w:pStyle w:val="Heading6"/>
        <w:keepNext w:val="0"/>
        <w:keepLines w:val="0"/>
        <w:spacing w:after="0"/>
        <w:ind w:left="720"/>
        <w:contextualSpacing w:val="0"/>
        <w:jc w:val="both"/>
        <w:rPr>
          <w:rFonts w:ascii="Garamond" w:hAnsi="Garamond"/>
          <w:color w:val="000000"/>
          <w:sz w:val="26"/>
        </w:rPr>
      </w:pPr>
      <w:bookmarkStart w:id="116" w:name="_ixe4fu3rutwd" w:colFirst="0" w:colLast="0"/>
      <w:bookmarkEnd w:id="116"/>
      <w:proofErr w:type="spellStart"/>
      <w:r>
        <w:rPr>
          <w:rFonts w:ascii="Garamond" w:eastAsia="Garamond" w:hAnsi="Garamond" w:cs="Garamond"/>
          <w:color w:val="000000"/>
          <w:sz w:val="26"/>
          <w:szCs w:val="26"/>
        </w:rPr>
        <w:t>Zolberg</w:t>
      </w:r>
      <w:proofErr w:type="spellEnd"/>
      <w:r>
        <w:rPr>
          <w:rFonts w:ascii="Garamond" w:eastAsia="Garamond" w:hAnsi="Garamond" w:cs="Garamond"/>
          <w:color w:val="000000"/>
          <w:sz w:val="26"/>
          <w:szCs w:val="26"/>
        </w:rPr>
        <w:t>, Vera. 1986. “Tensions of Mission in American Art Museums.” Pp. 184-198 in Paul DiMaggio (ed.), Nonprofit Enterprise in the Arts: Studies in Mission and Constraint. New York: Oxford University Press.</w:t>
      </w:r>
    </w:p>
    <w:p w14:paraId="04F54CCF" w14:textId="77777777" w:rsidR="00C67E15" w:rsidRPr="00E44913" w:rsidRDefault="00C67E15" w:rsidP="009F0EC6">
      <w:pPr>
        <w:pStyle w:val="Heading6"/>
        <w:keepNext w:val="0"/>
        <w:keepLines w:val="0"/>
        <w:spacing w:after="0"/>
        <w:contextualSpacing w:val="0"/>
        <w:jc w:val="both"/>
        <w:rPr>
          <w:rFonts w:ascii="Garamond" w:hAnsi="Garamond"/>
          <w:b/>
          <w:color w:val="000000"/>
          <w:sz w:val="26"/>
        </w:rPr>
      </w:pPr>
      <w:bookmarkStart w:id="117" w:name="_8k2aqc5h38ux" w:colFirst="0" w:colLast="0"/>
      <w:bookmarkEnd w:id="117"/>
    </w:p>
    <w:p w14:paraId="51906742" w14:textId="77777777" w:rsidR="00C67E15" w:rsidRDefault="007D1B8E" w:rsidP="009F0EC6">
      <w:pPr>
        <w:pStyle w:val="normal0"/>
      </w:pPr>
      <w:r>
        <w:lastRenderedPageBreak/>
        <w:br w:type="page"/>
      </w:r>
    </w:p>
    <w:p w14:paraId="2BD62273" w14:textId="77777777" w:rsidR="00C67E15" w:rsidRPr="00E44913" w:rsidRDefault="00C67E15" w:rsidP="009F0EC6">
      <w:pPr>
        <w:pStyle w:val="Heading6"/>
        <w:keepNext w:val="0"/>
        <w:keepLines w:val="0"/>
        <w:spacing w:after="0"/>
        <w:contextualSpacing w:val="0"/>
        <w:jc w:val="both"/>
        <w:rPr>
          <w:rFonts w:ascii="Garamond" w:hAnsi="Garamond"/>
          <w:b/>
          <w:color w:val="000000"/>
          <w:sz w:val="26"/>
        </w:rPr>
      </w:pPr>
      <w:bookmarkStart w:id="118" w:name="_av4cds1mrvnx" w:colFirst="0" w:colLast="0"/>
      <w:bookmarkEnd w:id="118"/>
    </w:p>
    <w:p w14:paraId="50F45697" w14:textId="77777777" w:rsidR="00C67E15" w:rsidRPr="00E44913" w:rsidRDefault="007D1B8E" w:rsidP="009F0EC6">
      <w:pPr>
        <w:pStyle w:val="Heading6"/>
        <w:keepNext w:val="0"/>
        <w:keepLines w:val="0"/>
        <w:spacing w:after="0"/>
        <w:contextualSpacing w:val="0"/>
        <w:jc w:val="both"/>
        <w:rPr>
          <w:rFonts w:ascii="Garamond" w:hAnsi="Garamond"/>
          <w:b/>
          <w:color w:val="000000"/>
          <w:sz w:val="26"/>
        </w:rPr>
      </w:pPr>
      <w:bookmarkStart w:id="119" w:name="_c680sncii7y" w:colFirst="0" w:colLast="0"/>
      <w:bookmarkEnd w:id="119"/>
      <w:r>
        <w:rPr>
          <w:rFonts w:ascii="Garamond" w:eastAsia="Garamond" w:hAnsi="Garamond" w:cs="Garamond"/>
          <w:b/>
          <w:color w:val="000000"/>
          <w:sz w:val="26"/>
          <w:szCs w:val="26"/>
        </w:rPr>
        <w:t xml:space="preserve">Table 1. </w:t>
      </w:r>
      <w:proofErr w:type="gramStart"/>
      <w:r>
        <w:rPr>
          <w:rFonts w:ascii="Garamond" w:eastAsia="Garamond" w:hAnsi="Garamond" w:cs="Garamond"/>
          <w:b/>
          <w:color w:val="000000"/>
          <w:sz w:val="26"/>
          <w:szCs w:val="26"/>
        </w:rPr>
        <w:t>Percentage of respondents who report engaging in each SPPA core activity by year.</w:t>
      </w:r>
      <w:proofErr w:type="gramEnd"/>
      <w:r>
        <w:rPr>
          <w:rFonts w:ascii="Garamond" w:eastAsia="Garamond" w:hAnsi="Garamond" w:cs="Garamond"/>
          <w:b/>
          <w:color w:val="000000"/>
          <w:sz w:val="26"/>
          <w:szCs w:val="26"/>
        </w:rPr>
        <w:t xml:space="preserve"> </w:t>
      </w:r>
      <w:proofErr w:type="gramStart"/>
      <w:r>
        <w:rPr>
          <w:rFonts w:ascii="Garamond" w:eastAsia="Garamond" w:hAnsi="Garamond" w:cs="Garamond"/>
          <w:b/>
          <w:color w:val="000000"/>
          <w:sz w:val="26"/>
          <w:szCs w:val="26"/>
        </w:rPr>
        <w:t>Number of respondents in each below the corresponding cell.</w:t>
      </w:r>
      <w:proofErr w:type="gramEnd"/>
      <w:r>
        <w:rPr>
          <w:rFonts w:ascii="Garamond" w:eastAsia="Garamond" w:hAnsi="Garamond" w:cs="Garamond"/>
          <w:b/>
          <w:color w:val="000000"/>
          <w:sz w:val="26"/>
          <w:szCs w:val="26"/>
        </w:rPr>
        <w:t xml:space="preserve"> Last column of the table shows the overall percentage and sample size for the cumulative data file for that activity.  </w:t>
      </w:r>
    </w:p>
    <w:tbl>
      <w:tblPr>
        <w:tblW w:w="9400" w:type="dxa"/>
        <w:tblLayout w:type="fixed"/>
        <w:tblLook w:val="0600" w:firstRow="0" w:lastRow="0" w:firstColumn="0" w:lastColumn="0" w:noHBand="1" w:noVBand="1"/>
      </w:tblPr>
      <w:tblGrid>
        <w:gridCol w:w="2400"/>
        <w:gridCol w:w="1000"/>
        <w:gridCol w:w="1000"/>
        <w:gridCol w:w="1000"/>
        <w:gridCol w:w="1000"/>
        <w:gridCol w:w="1000"/>
        <w:gridCol w:w="1000"/>
        <w:gridCol w:w="1000"/>
      </w:tblGrid>
      <w:tr w:rsidR="00C67E15" w14:paraId="4931059C" w14:textId="77777777" w:rsidTr="00E44913">
        <w:tc>
          <w:tcPr>
            <w:tcW w:w="2400" w:type="dxa"/>
          </w:tcPr>
          <w:p w14:paraId="48AABD44" w14:textId="77777777" w:rsidR="00C67E15" w:rsidRPr="00E44913" w:rsidRDefault="00C67E15" w:rsidP="009F0EC6">
            <w:pPr>
              <w:pStyle w:val="normal0"/>
              <w:spacing w:before="0" w:line="240" w:lineRule="auto"/>
              <w:ind w:firstLine="0"/>
              <w:contextualSpacing w:val="0"/>
              <w:rPr>
                <w:b/>
                <w:color w:val="FFFFFF"/>
              </w:rPr>
            </w:pPr>
          </w:p>
        </w:tc>
        <w:tc>
          <w:tcPr>
            <w:tcW w:w="1000" w:type="dxa"/>
          </w:tcPr>
          <w:p w14:paraId="592BAE72" w14:textId="77777777" w:rsidR="00C67E15" w:rsidRPr="00E44913" w:rsidRDefault="007D1B8E" w:rsidP="009F0EC6">
            <w:pPr>
              <w:pStyle w:val="normal0"/>
              <w:spacing w:before="0" w:line="240" w:lineRule="auto"/>
              <w:ind w:firstLine="0"/>
              <w:contextualSpacing w:val="0"/>
              <w:rPr>
                <w:b/>
                <w:color w:val="FFFFFF"/>
              </w:rPr>
            </w:pPr>
            <w:r>
              <w:rPr>
                <w:b/>
                <w:color w:val="FFFFFF"/>
              </w:rPr>
              <w:t>1982</w:t>
            </w:r>
          </w:p>
        </w:tc>
        <w:tc>
          <w:tcPr>
            <w:tcW w:w="1000" w:type="dxa"/>
          </w:tcPr>
          <w:p w14:paraId="7BD035F5" w14:textId="77777777" w:rsidR="00C67E15" w:rsidRPr="00E44913" w:rsidRDefault="007D1B8E" w:rsidP="009F0EC6">
            <w:pPr>
              <w:pStyle w:val="normal0"/>
              <w:spacing w:before="0" w:line="240" w:lineRule="auto"/>
              <w:ind w:firstLine="0"/>
              <w:contextualSpacing w:val="0"/>
              <w:rPr>
                <w:b/>
                <w:color w:val="FFFFFF"/>
              </w:rPr>
            </w:pPr>
            <w:r>
              <w:rPr>
                <w:b/>
                <w:color w:val="FFFFFF"/>
              </w:rPr>
              <w:t>1985</w:t>
            </w:r>
          </w:p>
        </w:tc>
        <w:tc>
          <w:tcPr>
            <w:tcW w:w="1000" w:type="dxa"/>
          </w:tcPr>
          <w:p w14:paraId="7DB30371" w14:textId="77777777" w:rsidR="00C67E15" w:rsidRPr="00E44913" w:rsidRDefault="007D1B8E" w:rsidP="009F0EC6">
            <w:pPr>
              <w:pStyle w:val="normal0"/>
              <w:spacing w:before="0" w:line="240" w:lineRule="auto"/>
              <w:ind w:firstLine="0"/>
              <w:contextualSpacing w:val="0"/>
              <w:rPr>
                <w:b/>
                <w:color w:val="FFFFFF"/>
              </w:rPr>
            </w:pPr>
            <w:r>
              <w:rPr>
                <w:b/>
                <w:color w:val="FFFFFF"/>
              </w:rPr>
              <w:t>1992</w:t>
            </w:r>
          </w:p>
        </w:tc>
        <w:tc>
          <w:tcPr>
            <w:tcW w:w="1000" w:type="dxa"/>
          </w:tcPr>
          <w:p w14:paraId="5798079A" w14:textId="77777777" w:rsidR="00C67E15" w:rsidRPr="00E44913" w:rsidRDefault="007D1B8E" w:rsidP="009F0EC6">
            <w:pPr>
              <w:pStyle w:val="normal0"/>
              <w:spacing w:before="0" w:line="240" w:lineRule="auto"/>
              <w:ind w:firstLine="0"/>
              <w:contextualSpacing w:val="0"/>
              <w:rPr>
                <w:b/>
                <w:color w:val="FFFFFF"/>
              </w:rPr>
            </w:pPr>
            <w:r>
              <w:rPr>
                <w:b/>
                <w:color w:val="FFFFFF"/>
              </w:rPr>
              <w:t>2002</w:t>
            </w:r>
          </w:p>
        </w:tc>
        <w:tc>
          <w:tcPr>
            <w:tcW w:w="1000" w:type="dxa"/>
          </w:tcPr>
          <w:p w14:paraId="7E687B07" w14:textId="77777777" w:rsidR="00C67E15" w:rsidRPr="00E44913" w:rsidRDefault="007D1B8E" w:rsidP="009F0EC6">
            <w:pPr>
              <w:pStyle w:val="normal0"/>
              <w:spacing w:before="0" w:line="240" w:lineRule="auto"/>
              <w:ind w:firstLine="0"/>
              <w:contextualSpacing w:val="0"/>
              <w:rPr>
                <w:b/>
                <w:color w:val="FFFFFF"/>
              </w:rPr>
            </w:pPr>
            <w:r>
              <w:rPr>
                <w:b/>
                <w:color w:val="FFFFFF"/>
              </w:rPr>
              <w:t>2008</w:t>
            </w:r>
          </w:p>
        </w:tc>
        <w:tc>
          <w:tcPr>
            <w:tcW w:w="1000" w:type="dxa"/>
          </w:tcPr>
          <w:p w14:paraId="0944C4D1" w14:textId="77777777" w:rsidR="00C67E15" w:rsidRPr="00E44913" w:rsidRDefault="007D1B8E" w:rsidP="009F0EC6">
            <w:pPr>
              <w:pStyle w:val="normal0"/>
              <w:spacing w:before="0" w:line="240" w:lineRule="auto"/>
              <w:ind w:firstLine="0"/>
              <w:contextualSpacing w:val="0"/>
              <w:rPr>
                <w:b/>
                <w:color w:val="FFFFFF"/>
              </w:rPr>
            </w:pPr>
            <w:r>
              <w:rPr>
                <w:b/>
                <w:color w:val="FFFFFF"/>
              </w:rPr>
              <w:t>2012</w:t>
            </w:r>
          </w:p>
        </w:tc>
        <w:tc>
          <w:tcPr>
            <w:tcW w:w="1000" w:type="dxa"/>
          </w:tcPr>
          <w:p w14:paraId="2E3F3069" w14:textId="77777777" w:rsidR="00C67E15" w:rsidRPr="00E44913" w:rsidRDefault="007D1B8E" w:rsidP="009F0EC6">
            <w:pPr>
              <w:pStyle w:val="normal0"/>
              <w:spacing w:before="0" w:line="240" w:lineRule="auto"/>
              <w:ind w:firstLine="0"/>
              <w:contextualSpacing w:val="0"/>
              <w:rPr>
                <w:b/>
                <w:color w:val="FFFFFF"/>
              </w:rPr>
            </w:pPr>
            <w:r>
              <w:rPr>
                <w:b/>
                <w:color w:val="FFFFFF"/>
              </w:rPr>
              <w:t>Total</w:t>
            </w:r>
          </w:p>
        </w:tc>
      </w:tr>
      <w:tr w:rsidR="00C67E15" w14:paraId="2E24E259" w14:textId="77777777" w:rsidTr="00E44913">
        <w:tc>
          <w:tcPr>
            <w:tcW w:w="2400" w:type="dxa"/>
          </w:tcPr>
          <w:p w14:paraId="78B106DD" w14:textId="77777777" w:rsidR="00C67E15" w:rsidRDefault="00C67E15" w:rsidP="009F0EC6">
            <w:pPr>
              <w:pStyle w:val="normal0"/>
              <w:spacing w:before="0" w:line="240" w:lineRule="auto"/>
              <w:ind w:firstLine="0"/>
              <w:contextualSpacing w:val="0"/>
            </w:pPr>
          </w:p>
        </w:tc>
        <w:tc>
          <w:tcPr>
            <w:tcW w:w="1000" w:type="dxa"/>
          </w:tcPr>
          <w:p w14:paraId="3A613A48" w14:textId="77777777" w:rsidR="00C67E15" w:rsidRDefault="007D1B8E" w:rsidP="009F0EC6">
            <w:pPr>
              <w:pStyle w:val="normal0"/>
              <w:spacing w:before="0" w:line="240" w:lineRule="auto"/>
              <w:ind w:firstLine="0"/>
              <w:contextualSpacing w:val="0"/>
            </w:pPr>
            <w:r>
              <w:t>% / N</w:t>
            </w:r>
          </w:p>
        </w:tc>
        <w:tc>
          <w:tcPr>
            <w:tcW w:w="1000" w:type="dxa"/>
          </w:tcPr>
          <w:p w14:paraId="3F05A882" w14:textId="77777777" w:rsidR="00C67E15" w:rsidRDefault="007D1B8E" w:rsidP="009F0EC6">
            <w:pPr>
              <w:pStyle w:val="normal0"/>
              <w:spacing w:before="0" w:line="240" w:lineRule="auto"/>
              <w:ind w:firstLine="0"/>
              <w:contextualSpacing w:val="0"/>
            </w:pPr>
            <w:r>
              <w:t>% / N</w:t>
            </w:r>
          </w:p>
        </w:tc>
        <w:tc>
          <w:tcPr>
            <w:tcW w:w="1000" w:type="dxa"/>
          </w:tcPr>
          <w:p w14:paraId="571E6096" w14:textId="77777777" w:rsidR="00C67E15" w:rsidRDefault="007D1B8E" w:rsidP="009F0EC6">
            <w:pPr>
              <w:pStyle w:val="normal0"/>
              <w:spacing w:before="0" w:line="240" w:lineRule="auto"/>
              <w:ind w:firstLine="0"/>
              <w:contextualSpacing w:val="0"/>
            </w:pPr>
            <w:r>
              <w:t>% / N</w:t>
            </w:r>
          </w:p>
        </w:tc>
        <w:tc>
          <w:tcPr>
            <w:tcW w:w="1000" w:type="dxa"/>
          </w:tcPr>
          <w:p w14:paraId="436C40C5" w14:textId="77777777" w:rsidR="00C67E15" w:rsidRDefault="007D1B8E" w:rsidP="009F0EC6">
            <w:pPr>
              <w:pStyle w:val="normal0"/>
              <w:spacing w:before="0" w:line="240" w:lineRule="auto"/>
              <w:ind w:firstLine="0"/>
              <w:contextualSpacing w:val="0"/>
            </w:pPr>
            <w:r>
              <w:t>% / N</w:t>
            </w:r>
          </w:p>
        </w:tc>
        <w:tc>
          <w:tcPr>
            <w:tcW w:w="1000" w:type="dxa"/>
          </w:tcPr>
          <w:p w14:paraId="2AFD9D16" w14:textId="77777777" w:rsidR="00C67E15" w:rsidRDefault="007D1B8E" w:rsidP="009F0EC6">
            <w:pPr>
              <w:pStyle w:val="normal0"/>
              <w:spacing w:before="0" w:line="240" w:lineRule="auto"/>
              <w:ind w:firstLine="0"/>
              <w:contextualSpacing w:val="0"/>
            </w:pPr>
            <w:r>
              <w:t>% / N</w:t>
            </w:r>
          </w:p>
        </w:tc>
        <w:tc>
          <w:tcPr>
            <w:tcW w:w="1000" w:type="dxa"/>
          </w:tcPr>
          <w:p w14:paraId="5E800E76" w14:textId="77777777" w:rsidR="00C67E15" w:rsidRDefault="007D1B8E" w:rsidP="009F0EC6">
            <w:pPr>
              <w:pStyle w:val="normal0"/>
              <w:spacing w:before="0" w:line="240" w:lineRule="auto"/>
              <w:ind w:firstLine="0"/>
              <w:contextualSpacing w:val="0"/>
            </w:pPr>
            <w:r>
              <w:t>% / N</w:t>
            </w:r>
          </w:p>
        </w:tc>
        <w:tc>
          <w:tcPr>
            <w:tcW w:w="1000" w:type="dxa"/>
          </w:tcPr>
          <w:p w14:paraId="71B7AAEB" w14:textId="77777777" w:rsidR="00C67E15" w:rsidRDefault="007D1B8E" w:rsidP="009F0EC6">
            <w:pPr>
              <w:pStyle w:val="normal0"/>
              <w:spacing w:before="0" w:line="240" w:lineRule="auto"/>
              <w:ind w:firstLine="0"/>
              <w:contextualSpacing w:val="0"/>
            </w:pPr>
            <w:r>
              <w:t>% / N</w:t>
            </w:r>
          </w:p>
        </w:tc>
      </w:tr>
      <w:tr w:rsidR="00C67E15" w14:paraId="7C6C1426" w14:textId="77777777" w:rsidTr="00E44913">
        <w:tc>
          <w:tcPr>
            <w:tcW w:w="2400" w:type="dxa"/>
          </w:tcPr>
          <w:p w14:paraId="580C363D" w14:textId="77777777" w:rsidR="00C67E15" w:rsidRDefault="007D1B8E" w:rsidP="009F0EC6">
            <w:pPr>
              <w:pStyle w:val="normal0"/>
              <w:spacing w:before="0" w:line="240" w:lineRule="auto"/>
              <w:ind w:firstLine="0"/>
              <w:contextualSpacing w:val="0"/>
            </w:pPr>
            <w:r>
              <w:t>Jazz</w:t>
            </w:r>
          </w:p>
        </w:tc>
        <w:tc>
          <w:tcPr>
            <w:tcW w:w="1000" w:type="dxa"/>
          </w:tcPr>
          <w:p w14:paraId="6789AE0E" w14:textId="77777777" w:rsidR="00C67E15" w:rsidRDefault="007D1B8E" w:rsidP="009F0EC6">
            <w:pPr>
              <w:pStyle w:val="normal0"/>
              <w:spacing w:before="0" w:line="240" w:lineRule="auto"/>
              <w:ind w:firstLine="0"/>
              <w:contextualSpacing w:val="0"/>
            </w:pPr>
            <w:r>
              <w:t>9.4</w:t>
            </w:r>
          </w:p>
        </w:tc>
        <w:tc>
          <w:tcPr>
            <w:tcW w:w="1000" w:type="dxa"/>
          </w:tcPr>
          <w:p w14:paraId="27E73E82" w14:textId="77777777" w:rsidR="00C67E15" w:rsidRDefault="007D1B8E" w:rsidP="009F0EC6">
            <w:pPr>
              <w:pStyle w:val="normal0"/>
              <w:spacing w:before="0" w:line="240" w:lineRule="auto"/>
              <w:ind w:firstLine="0"/>
              <w:contextualSpacing w:val="0"/>
            </w:pPr>
            <w:r>
              <w:t>9.5</w:t>
            </w:r>
          </w:p>
        </w:tc>
        <w:tc>
          <w:tcPr>
            <w:tcW w:w="1000" w:type="dxa"/>
          </w:tcPr>
          <w:p w14:paraId="6D55B885" w14:textId="77777777" w:rsidR="00C67E15" w:rsidRDefault="007D1B8E" w:rsidP="009F0EC6">
            <w:pPr>
              <w:pStyle w:val="normal0"/>
              <w:spacing w:before="0" w:line="240" w:lineRule="auto"/>
              <w:ind w:firstLine="0"/>
              <w:contextualSpacing w:val="0"/>
            </w:pPr>
            <w:r>
              <w:t>10.3</w:t>
            </w:r>
          </w:p>
        </w:tc>
        <w:tc>
          <w:tcPr>
            <w:tcW w:w="1000" w:type="dxa"/>
          </w:tcPr>
          <w:p w14:paraId="0C94C878" w14:textId="77777777" w:rsidR="00C67E15" w:rsidRDefault="007D1B8E" w:rsidP="009F0EC6">
            <w:pPr>
              <w:pStyle w:val="normal0"/>
              <w:spacing w:before="0" w:line="240" w:lineRule="auto"/>
              <w:ind w:firstLine="0"/>
              <w:contextualSpacing w:val="0"/>
            </w:pPr>
            <w:r>
              <w:t>10.4</w:t>
            </w:r>
          </w:p>
        </w:tc>
        <w:tc>
          <w:tcPr>
            <w:tcW w:w="1000" w:type="dxa"/>
          </w:tcPr>
          <w:p w14:paraId="42DB6AB3" w14:textId="77777777" w:rsidR="00C67E15" w:rsidRDefault="007D1B8E" w:rsidP="009F0EC6">
            <w:pPr>
              <w:pStyle w:val="normal0"/>
              <w:spacing w:before="0" w:line="240" w:lineRule="auto"/>
              <w:ind w:firstLine="0"/>
              <w:contextualSpacing w:val="0"/>
            </w:pPr>
            <w:r>
              <w:t>8.4</w:t>
            </w:r>
          </w:p>
        </w:tc>
        <w:tc>
          <w:tcPr>
            <w:tcW w:w="1000" w:type="dxa"/>
          </w:tcPr>
          <w:p w14:paraId="76993D53" w14:textId="77777777" w:rsidR="00C67E15" w:rsidRDefault="007D1B8E" w:rsidP="009F0EC6">
            <w:pPr>
              <w:pStyle w:val="normal0"/>
              <w:spacing w:before="0" w:line="240" w:lineRule="auto"/>
              <w:ind w:firstLine="0"/>
              <w:contextualSpacing w:val="0"/>
            </w:pPr>
            <w:r>
              <w:t>8.6</w:t>
            </w:r>
          </w:p>
        </w:tc>
        <w:tc>
          <w:tcPr>
            <w:tcW w:w="1000" w:type="dxa"/>
          </w:tcPr>
          <w:p w14:paraId="6FD2935C" w14:textId="77777777" w:rsidR="00C67E15" w:rsidRDefault="007D1B8E" w:rsidP="009F0EC6">
            <w:pPr>
              <w:pStyle w:val="normal0"/>
              <w:spacing w:before="0" w:line="240" w:lineRule="auto"/>
              <w:ind w:firstLine="0"/>
              <w:contextualSpacing w:val="0"/>
            </w:pPr>
            <w:r>
              <w:t>9.4</w:t>
            </w:r>
          </w:p>
        </w:tc>
      </w:tr>
      <w:tr w:rsidR="00C67E15" w14:paraId="03DA20DF" w14:textId="77777777" w:rsidTr="00E44913">
        <w:tc>
          <w:tcPr>
            <w:tcW w:w="2400" w:type="dxa"/>
          </w:tcPr>
          <w:p w14:paraId="594DED04" w14:textId="77777777" w:rsidR="00C67E15" w:rsidRDefault="00C67E15" w:rsidP="009F0EC6">
            <w:pPr>
              <w:pStyle w:val="normal0"/>
              <w:spacing w:before="0" w:line="240" w:lineRule="auto"/>
              <w:ind w:firstLine="0"/>
              <w:contextualSpacing w:val="0"/>
            </w:pPr>
          </w:p>
        </w:tc>
        <w:tc>
          <w:tcPr>
            <w:tcW w:w="1000" w:type="dxa"/>
          </w:tcPr>
          <w:p w14:paraId="1D8A8BFF" w14:textId="77777777" w:rsidR="00C67E15" w:rsidRDefault="007D1B8E" w:rsidP="009F0EC6">
            <w:pPr>
              <w:pStyle w:val="normal0"/>
              <w:spacing w:before="0" w:line="240" w:lineRule="auto"/>
              <w:ind w:firstLine="0"/>
              <w:contextualSpacing w:val="0"/>
            </w:pPr>
            <w:r>
              <w:t>17223</w:t>
            </w:r>
          </w:p>
        </w:tc>
        <w:tc>
          <w:tcPr>
            <w:tcW w:w="1000" w:type="dxa"/>
          </w:tcPr>
          <w:p w14:paraId="67296B6F" w14:textId="77777777" w:rsidR="00C67E15" w:rsidRDefault="007D1B8E" w:rsidP="009F0EC6">
            <w:pPr>
              <w:pStyle w:val="normal0"/>
              <w:spacing w:before="0" w:line="240" w:lineRule="auto"/>
              <w:ind w:firstLine="0"/>
              <w:contextualSpacing w:val="0"/>
            </w:pPr>
            <w:r>
              <w:t>13654</w:t>
            </w:r>
          </w:p>
        </w:tc>
        <w:tc>
          <w:tcPr>
            <w:tcW w:w="1000" w:type="dxa"/>
          </w:tcPr>
          <w:p w14:paraId="3B0B6B33" w14:textId="77777777" w:rsidR="00C67E15" w:rsidRDefault="007D1B8E" w:rsidP="009F0EC6">
            <w:pPr>
              <w:pStyle w:val="normal0"/>
              <w:spacing w:before="0" w:line="240" w:lineRule="auto"/>
              <w:ind w:firstLine="0"/>
              <w:contextualSpacing w:val="0"/>
            </w:pPr>
            <w:r>
              <w:t>12728</w:t>
            </w:r>
          </w:p>
        </w:tc>
        <w:tc>
          <w:tcPr>
            <w:tcW w:w="1000" w:type="dxa"/>
          </w:tcPr>
          <w:p w14:paraId="401C5041" w14:textId="77777777" w:rsidR="00C67E15" w:rsidRDefault="007D1B8E" w:rsidP="009F0EC6">
            <w:pPr>
              <w:pStyle w:val="normal0"/>
              <w:spacing w:before="0" w:line="240" w:lineRule="auto"/>
              <w:ind w:firstLine="0"/>
              <w:contextualSpacing w:val="0"/>
            </w:pPr>
            <w:r>
              <w:t>17075</w:t>
            </w:r>
          </w:p>
        </w:tc>
        <w:tc>
          <w:tcPr>
            <w:tcW w:w="1000" w:type="dxa"/>
          </w:tcPr>
          <w:p w14:paraId="193FA774" w14:textId="77777777" w:rsidR="00C67E15" w:rsidRDefault="007D1B8E" w:rsidP="009F0EC6">
            <w:pPr>
              <w:pStyle w:val="normal0"/>
              <w:spacing w:before="0" w:line="240" w:lineRule="auto"/>
              <w:ind w:firstLine="0"/>
              <w:contextualSpacing w:val="0"/>
            </w:pPr>
            <w:r>
              <w:t>18390</w:t>
            </w:r>
          </w:p>
        </w:tc>
        <w:tc>
          <w:tcPr>
            <w:tcW w:w="1000" w:type="dxa"/>
          </w:tcPr>
          <w:p w14:paraId="3A07DED0" w14:textId="77777777" w:rsidR="00C67E15" w:rsidRDefault="007D1B8E" w:rsidP="009F0EC6">
            <w:pPr>
              <w:pStyle w:val="normal0"/>
              <w:spacing w:before="0" w:line="240" w:lineRule="auto"/>
              <w:ind w:firstLine="0"/>
              <w:contextualSpacing w:val="0"/>
            </w:pPr>
            <w:r>
              <w:t>17987</w:t>
            </w:r>
          </w:p>
        </w:tc>
        <w:tc>
          <w:tcPr>
            <w:tcW w:w="1000" w:type="dxa"/>
          </w:tcPr>
          <w:p w14:paraId="5AFBAAF3" w14:textId="77777777" w:rsidR="00C67E15" w:rsidRDefault="007D1B8E" w:rsidP="009F0EC6">
            <w:pPr>
              <w:pStyle w:val="normal0"/>
              <w:spacing w:before="0" w:line="240" w:lineRule="auto"/>
              <w:ind w:firstLine="0"/>
              <w:contextualSpacing w:val="0"/>
            </w:pPr>
            <w:r>
              <w:t>97057</w:t>
            </w:r>
          </w:p>
        </w:tc>
      </w:tr>
      <w:tr w:rsidR="00C67E15" w14:paraId="0C83470D" w14:textId="77777777" w:rsidTr="00E44913">
        <w:tc>
          <w:tcPr>
            <w:tcW w:w="2400" w:type="dxa"/>
          </w:tcPr>
          <w:p w14:paraId="622BB066" w14:textId="77777777" w:rsidR="00C67E15" w:rsidRDefault="007D1B8E" w:rsidP="009F0EC6">
            <w:pPr>
              <w:pStyle w:val="normal0"/>
              <w:spacing w:before="0" w:line="240" w:lineRule="auto"/>
              <w:ind w:firstLine="0"/>
              <w:contextualSpacing w:val="0"/>
            </w:pPr>
            <w:r>
              <w:t>Classical</w:t>
            </w:r>
          </w:p>
        </w:tc>
        <w:tc>
          <w:tcPr>
            <w:tcW w:w="1000" w:type="dxa"/>
          </w:tcPr>
          <w:p w14:paraId="411B2B65" w14:textId="77777777" w:rsidR="00C67E15" w:rsidRDefault="007D1B8E" w:rsidP="009F0EC6">
            <w:pPr>
              <w:pStyle w:val="normal0"/>
              <w:spacing w:before="0" w:line="240" w:lineRule="auto"/>
              <w:ind w:firstLine="0"/>
              <w:contextualSpacing w:val="0"/>
            </w:pPr>
            <w:r>
              <w:t>13.2</w:t>
            </w:r>
          </w:p>
        </w:tc>
        <w:tc>
          <w:tcPr>
            <w:tcW w:w="1000" w:type="dxa"/>
          </w:tcPr>
          <w:p w14:paraId="4A5CA293" w14:textId="77777777" w:rsidR="00C67E15" w:rsidRDefault="007D1B8E" w:rsidP="009F0EC6">
            <w:pPr>
              <w:pStyle w:val="normal0"/>
              <w:spacing w:before="0" w:line="240" w:lineRule="auto"/>
              <w:ind w:firstLine="0"/>
              <w:contextualSpacing w:val="0"/>
            </w:pPr>
            <w:r>
              <w:t>13.3</w:t>
            </w:r>
          </w:p>
        </w:tc>
        <w:tc>
          <w:tcPr>
            <w:tcW w:w="1000" w:type="dxa"/>
          </w:tcPr>
          <w:p w14:paraId="5ED5B5EB" w14:textId="77777777" w:rsidR="00C67E15" w:rsidRDefault="007D1B8E" w:rsidP="009F0EC6">
            <w:pPr>
              <w:pStyle w:val="normal0"/>
              <w:spacing w:before="0" w:line="240" w:lineRule="auto"/>
              <w:ind w:firstLine="0"/>
              <w:contextualSpacing w:val="0"/>
            </w:pPr>
            <w:r>
              <w:t>12.6</w:t>
            </w:r>
          </w:p>
        </w:tc>
        <w:tc>
          <w:tcPr>
            <w:tcW w:w="1000" w:type="dxa"/>
          </w:tcPr>
          <w:p w14:paraId="47B0F461" w14:textId="77777777" w:rsidR="00C67E15" w:rsidRDefault="007D1B8E" w:rsidP="009F0EC6">
            <w:pPr>
              <w:pStyle w:val="normal0"/>
              <w:spacing w:before="0" w:line="240" w:lineRule="auto"/>
              <w:ind w:firstLine="0"/>
              <w:contextualSpacing w:val="0"/>
            </w:pPr>
            <w:r>
              <w:t>11.8</w:t>
            </w:r>
          </w:p>
        </w:tc>
        <w:tc>
          <w:tcPr>
            <w:tcW w:w="1000" w:type="dxa"/>
          </w:tcPr>
          <w:p w14:paraId="6A9BF850" w14:textId="77777777" w:rsidR="00C67E15" w:rsidRDefault="007D1B8E" w:rsidP="009F0EC6">
            <w:pPr>
              <w:pStyle w:val="normal0"/>
              <w:spacing w:before="0" w:line="240" w:lineRule="auto"/>
              <w:ind w:firstLine="0"/>
              <w:contextualSpacing w:val="0"/>
            </w:pPr>
            <w:r>
              <w:t>10.1</w:t>
            </w:r>
          </w:p>
        </w:tc>
        <w:tc>
          <w:tcPr>
            <w:tcW w:w="1000" w:type="dxa"/>
          </w:tcPr>
          <w:p w14:paraId="7C921569" w14:textId="77777777" w:rsidR="00C67E15" w:rsidRDefault="007D1B8E" w:rsidP="009F0EC6">
            <w:pPr>
              <w:pStyle w:val="normal0"/>
              <w:spacing w:before="0" w:line="240" w:lineRule="auto"/>
              <w:ind w:firstLine="0"/>
              <w:contextualSpacing w:val="0"/>
            </w:pPr>
            <w:r>
              <w:t>10.0</w:t>
            </w:r>
          </w:p>
        </w:tc>
        <w:tc>
          <w:tcPr>
            <w:tcW w:w="1000" w:type="dxa"/>
          </w:tcPr>
          <w:p w14:paraId="0B4C631F" w14:textId="77777777" w:rsidR="00C67E15" w:rsidRDefault="007D1B8E" w:rsidP="009F0EC6">
            <w:pPr>
              <w:pStyle w:val="normal0"/>
              <w:spacing w:before="0" w:line="240" w:lineRule="auto"/>
              <w:ind w:firstLine="0"/>
              <w:contextualSpacing w:val="0"/>
            </w:pPr>
            <w:r>
              <w:t>11.7</w:t>
            </w:r>
          </w:p>
        </w:tc>
      </w:tr>
      <w:tr w:rsidR="00C67E15" w14:paraId="51DAD4D0" w14:textId="77777777" w:rsidTr="00E44913">
        <w:tc>
          <w:tcPr>
            <w:tcW w:w="2400" w:type="dxa"/>
          </w:tcPr>
          <w:p w14:paraId="23496656" w14:textId="77777777" w:rsidR="00C67E15" w:rsidRDefault="00C67E15" w:rsidP="009F0EC6">
            <w:pPr>
              <w:pStyle w:val="normal0"/>
              <w:spacing w:before="0" w:line="240" w:lineRule="auto"/>
              <w:ind w:firstLine="0"/>
              <w:contextualSpacing w:val="0"/>
            </w:pPr>
          </w:p>
        </w:tc>
        <w:tc>
          <w:tcPr>
            <w:tcW w:w="1000" w:type="dxa"/>
          </w:tcPr>
          <w:p w14:paraId="51E7B5F3" w14:textId="77777777" w:rsidR="00C67E15" w:rsidRDefault="007D1B8E" w:rsidP="009F0EC6">
            <w:pPr>
              <w:pStyle w:val="normal0"/>
              <w:spacing w:before="0" w:line="240" w:lineRule="auto"/>
              <w:ind w:firstLine="0"/>
              <w:contextualSpacing w:val="0"/>
            </w:pPr>
            <w:r>
              <w:t>17245</w:t>
            </w:r>
          </w:p>
        </w:tc>
        <w:tc>
          <w:tcPr>
            <w:tcW w:w="1000" w:type="dxa"/>
          </w:tcPr>
          <w:p w14:paraId="413C1AC5" w14:textId="77777777" w:rsidR="00C67E15" w:rsidRDefault="007D1B8E" w:rsidP="009F0EC6">
            <w:pPr>
              <w:pStyle w:val="normal0"/>
              <w:spacing w:before="0" w:line="240" w:lineRule="auto"/>
              <w:ind w:firstLine="0"/>
              <w:contextualSpacing w:val="0"/>
            </w:pPr>
            <w:r>
              <w:t>13669</w:t>
            </w:r>
          </w:p>
        </w:tc>
        <w:tc>
          <w:tcPr>
            <w:tcW w:w="1000" w:type="dxa"/>
          </w:tcPr>
          <w:p w14:paraId="39DBDC32" w14:textId="77777777" w:rsidR="00C67E15" w:rsidRDefault="007D1B8E" w:rsidP="009F0EC6">
            <w:pPr>
              <w:pStyle w:val="normal0"/>
              <w:spacing w:before="0" w:line="240" w:lineRule="auto"/>
              <w:ind w:firstLine="0"/>
              <w:contextualSpacing w:val="0"/>
            </w:pPr>
            <w:r>
              <w:t>12724</w:t>
            </w:r>
          </w:p>
        </w:tc>
        <w:tc>
          <w:tcPr>
            <w:tcW w:w="1000" w:type="dxa"/>
          </w:tcPr>
          <w:p w14:paraId="429B41D5" w14:textId="77777777" w:rsidR="00C67E15" w:rsidRDefault="007D1B8E" w:rsidP="009F0EC6">
            <w:pPr>
              <w:pStyle w:val="normal0"/>
              <w:spacing w:before="0" w:line="240" w:lineRule="auto"/>
              <w:ind w:firstLine="0"/>
              <w:contextualSpacing w:val="0"/>
            </w:pPr>
            <w:r>
              <w:t>17074</w:t>
            </w:r>
          </w:p>
        </w:tc>
        <w:tc>
          <w:tcPr>
            <w:tcW w:w="1000" w:type="dxa"/>
          </w:tcPr>
          <w:p w14:paraId="59394FC9" w14:textId="77777777" w:rsidR="00C67E15" w:rsidRDefault="007D1B8E" w:rsidP="009F0EC6">
            <w:pPr>
              <w:pStyle w:val="normal0"/>
              <w:spacing w:before="0" w:line="240" w:lineRule="auto"/>
              <w:ind w:firstLine="0"/>
              <w:contextualSpacing w:val="0"/>
            </w:pPr>
            <w:r>
              <w:t>18343</w:t>
            </w:r>
          </w:p>
        </w:tc>
        <w:tc>
          <w:tcPr>
            <w:tcW w:w="1000" w:type="dxa"/>
          </w:tcPr>
          <w:p w14:paraId="06B6AFD5" w14:textId="77777777" w:rsidR="00C67E15" w:rsidRDefault="007D1B8E" w:rsidP="009F0EC6">
            <w:pPr>
              <w:pStyle w:val="normal0"/>
              <w:spacing w:before="0" w:line="240" w:lineRule="auto"/>
              <w:ind w:firstLine="0"/>
              <w:contextualSpacing w:val="0"/>
            </w:pPr>
            <w:r>
              <w:t>17917</w:t>
            </w:r>
          </w:p>
        </w:tc>
        <w:tc>
          <w:tcPr>
            <w:tcW w:w="1000" w:type="dxa"/>
          </w:tcPr>
          <w:p w14:paraId="298441BE" w14:textId="77777777" w:rsidR="00C67E15" w:rsidRDefault="007D1B8E" w:rsidP="009F0EC6">
            <w:pPr>
              <w:pStyle w:val="normal0"/>
              <w:spacing w:before="0" w:line="240" w:lineRule="auto"/>
              <w:ind w:firstLine="0"/>
              <w:contextualSpacing w:val="0"/>
            </w:pPr>
            <w:r>
              <w:t>96972</w:t>
            </w:r>
          </w:p>
        </w:tc>
      </w:tr>
      <w:tr w:rsidR="00C67E15" w14:paraId="7CBC53F6" w14:textId="77777777" w:rsidTr="00E44913">
        <w:tc>
          <w:tcPr>
            <w:tcW w:w="2400" w:type="dxa"/>
          </w:tcPr>
          <w:p w14:paraId="532311A5" w14:textId="77777777" w:rsidR="00C67E15" w:rsidRDefault="007D1B8E" w:rsidP="009F0EC6">
            <w:pPr>
              <w:pStyle w:val="normal0"/>
              <w:spacing w:before="0" w:line="240" w:lineRule="auto"/>
              <w:ind w:firstLine="0"/>
              <w:contextualSpacing w:val="0"/>
            </w:pPr>
            <w:r>
              <w:t>Opera</w:t>
            </w:r>
          </w:p>
        </w:tc>
        <w:tc>
          <w:tcPr>
            <w:tcW w:w="1000" w:type="dxa"/>
          </w:tcPr>
          <w:p w14:paraId="0368B7DE" w14:textId="77777777" w:rsidR="00C67E15" w:rsidRDefault="007D1B8E" w:rsidP="009F0EC6">
            <w:pPr>
              <w:pStyle w:val="normal0"/>
              <w:spacing w:before="0" w:line="240" w:lineRule="auto"/>
              <w:ind w:firstLine="0"/>
              <w:contextualSpacing w:val="0"/>
            </w:pPr>
            <w:r>
              <w:t>3.1</w:t>
            </w:r>
          </w:p>
        </w:tc>
        <w:tc>
          <w:tcPr>
            <w:tcW w:w="1000" w:type="dxa"/>
          </w:tcPr>
          <w:p w14:paraId="636279B7" w14:textId="77777777" w:rsidR="00C67E15" w:rsidRDefault="007D1B8E" w:rsidP="009F0EC6">
            <w:pPr>
              <w:pStyle w:val="normal0"/>
              <w:spacing w:before="0" w:line="240" w:lineRule="auto"/>
              <w:ind w:firstLine="0"/>
              <w:contextualSpacing w:val="0"/>
            </w:pPr>
            <w:r>
              <w:t>2.8</w:t>
            </w:r>
          </w:p>
        </w:tc>
        <w:tc>
          <w:tcPr>
            <w:tcW w:w="1000" w:type="dxa"/>
          </w:tcPr>
          <w:p w14:paraId="53E458EA" w14:textId="77777777" w:rsidR="00C67E15" w:rsidRDefault="007D1B8E" w:rsidP="009F0EC6">
            <w:pPr>
              <w:pStyle w:val="normal0"/>
              <w:spacing w:before="0" w:line="240" w:lineRule="auto"/>
              <w:ind w:firstLine="0"/>
              <w:contextualSpacing w:val="0"/>
            </w:pPr>
            <w:r>
              <w:t>3.4</w:t>
            </w:r>
          </w:p>
        </w:tc>
        <w:tc>
          <w:tcPr>
            <w:tcW w:w="1000" w:type="dxa"/>
          </w:tcPr>
          <w:p w14:paraId="7A33F760" w14:textId="77777777" w:rsidR="00C67E15" w:rsidRDefault="007D1B8E" w:rsidP="009F0EC6">
            <w:pPr>
              <w:pStyle w:val="normal0"/>
              <w:spacing w:before="0" w:line="240" w:lineRule="auto"/>
              <w:ind w:firstLine="0"/>
              <w:contextualSpacing w:val="0"/>
            </w:pPr>
            <w:r>
              <w:t>3.0</w:t>
            </w:r>
          </w:p>
        </w:tc>
        <w:tc>
          <w:tcPr>
            <w:tcW w:w="1000" w:type="dxa"/>
          </w:tcPr>
          <w:p w14:paraId="36A60D12" w14:textId="77777777" w:rsidR="00C67E15" w:rsidRDefault="007D1B8E" w:rsidP="009F0EC6">
            <w:pPr>
              <w:pStyle w:val="normal0"/>
              <w:spacing w:before="0" w:line="240" w:lineRule="auto"/>
              <w:ind w:firstLine="0"/>
              <w:contextualSpacing w:val="0"/>
            </w:pPr>
            <w:r>
              <w:t>2.3</w:t>
            </w:r>
          </w:p>
        </w:tc>
        <w:tc>
          <w:tcPr>
            <w:tcW w:w="1000" w:type="dxa"/>
          </w:tcPr>
          <w:p w14:paraId="1B50344C" w14:textId="77777777" w:rsidR="00C67E15" w:rsidRDefault="007D1B8E" w:rsidP="009F0EC6">
            <w:pPr>
              <w:pStyle w:val="normal0"/>
              <w:spacing w:before="0" w:line="240" w:lineRule="auto"/>
              <w:ind w:firstLine="0"/>
              <w:contextualSpacing w:val="0"/>
            </w:pPr>
            <w:r>
              <w:t>2.3</w:t>
            </w:r>
          </w:p>
        </w:tc>
        <w:tc>
          <w:tcPr>
            <w:tcW w:w="1000" w:type="dxa"/>
          </w:tcPr>
          <w:p w14:paraId="6EF30965" w14:textId="77777777" w:rsidR="00C67E15" w:rsidRDefault="007D1B8E" w:rsidP="009F0EC6">
            <w:pPr>
              <w:pStyle w:val="normal0"/>
              <w:spacing w:before="0" w:line="240" w:lineRule="auto"/>
              <w:ind w:firstLine="0"/>
              <w:contextualSpacing w:val="0"/>
            </w:pPr>
            <w:r>
              <w:t>2.8</w:t>
            </w:r>
          </w:p>
        </w:tc>
      </w:tr>
      <w:tr w:rsidR="00C67E15" w14:paraId="746E23C0" w14:textId="77777777" w:rsidTr="00E44913">
        <w:tc>
          <w:tcPr>
            <w:tcW w:w="2400" w:type="dxa"/>
          </w:tcPr>
          <w:p w14:paraId="5FEDF056" w14:textId="77777777" w:rsidR="00C67E15" w:rsidRDefault="00C67E15" w:rsidP="009F0EC6">
            <w:pPr>
              <w:pStyle w:val="normal0"/>
              <w:spacing w:before="0" w:line="240" w:lineRule="auto"/>
              <w:ind w:firstLine="0"/>
              <w:contextualSpacing w:val="0"/>
            </w:pPr>
          </w:p>
        </w:tc>
        <w:tc>
          <w:tcPr>
            <w:tcW w:w="1000" w:type="dxa"/>
          </w:tcPr>
          <w:p w14:paraId="462A09B4" w14:textId="77777777" w:rsidR="00C67E15" w:rsidRDefault="007D1B8E" w:rsidP="009F0EC6">
            <w:pPr>
              <w:pStyle w:val="normal0"/>
              <w:spacing w:before="0" w:line="240" w:lineRule="auto"/>
              <w:ind w:firstLine="0"/>
              <w:contextualSpacing w:val="0"/>
            </w:pPr>
            <w:r>
              <w:t>17234</w:t>
            </w:r>
          </w:p>
        </w:tc>
        <w:tc>
          <w:tcPr>
            <w:tcW w:w="1000" w:type="dxa"/>
          </w:tcPr>
          <w:p w14:paraId="55C31EE6" w14:textId="77777777" w:rsidR="00C67E15" w:rsidRDefault="007D1B8E" w:rsidP="009F0EC6">
            <w:pPr>
              <w:pStyle w:val="normal0"/>
              <w:spacing w:before="0" w:line="240" w:lineRule="auto"/>
              <w:ind w:firstLine="0"/>
              <w:contextualSpacing w:val="0"/>
            </w:pPr>
            <w:r>
              <w:t>13654</w:t>
            </w:r>
          </w:p>
        </w:tc>
        <w:tc>
          <w:tcPr>
            <w:tcW w:w="1000" w:type="dxa"/>
          </w:tcPr>
          <w:p w14:paraId="39853599" w14:textId="77777777" w:rsidR="00C67E15" w:rsidRDefault="007D1B8E" w:rsidP="009F0EC6">
            <w:pPr>
              <w:pStyle w:val="normal0"/>
              <w:spacing w:before="0" w:line="240" w:lineRule="auto"/>
              <w:ind w:firstLine="0"/>
              <w:contextualSpacing w:val="0"/>
            </w:pPr>
            <w:r>
              <w:t>12724</w:t>
            </w:r>
          </w:p>
        </w:tc>
        <w:tc>
          <w:tcPr>
            <w:tcW w:w="1000" w:type="dxa"/>
          </w:tcPr>
          <w:p w14:paraId="4665F278" w14:textId="77777777" w:rsidR="00C67E15" w:rsidRDefault="007D1B8E" w:rsidP="009F0EC6">
            <w:pPr>
              <w:pStyle w:val="normal0"/>
              <w:spacing w:before="0" w:line="240" w:lineRule="auto"/>
              <w:ind w:firstLine="0"/>
              <w:contextualSpacing w:val="0"/>
            </w:pPr>
            <w:r>
              <w:t>17082</w:t>
            </w:r>
          </w:p>
        </w:tc>
        <w:tc>
          <w:tcPr>
            <w:tcW w:w="1000" w:type="dxa"/>
          </w:tcPr>
          <w:p w14:paraId="5013AECC" w14:textId="77777777" w:rsidR="00C67E15" w:rsidRDefault="007D1B8E" w:rsidP="009F0EC6">
            <w:pPr>
              <w:pStyle w:val="normal0"/>
              <w:spacing w:before="0" w:line="240" w:lineRule="auto"/>
              <w:ind w:firstLine="0"/>
              <w:contextualSpacing w:val="0"/>
            </w:pPr>
            <w:r>
              <w:t>18341</w:t>
            </w:r>
          </w:p>
        </w:tc>
        <w:tc>
          <w:tcPr>
            <w:tcW w:w="1000" w:type="dxa"/>
          </w:tcPr>
          <w:p w14:paraId="1E25B3B5" w14:textId="77777777" w:rsidR="00C67E15" w:rsidRDefault="007D1B8E" w:rsidP="009F0EC6">
            <w:pPr>
              <w:pStyle w:val="normal0"/>
              <w:spacing w:before="0" w:line="240" w:lineRule="auto"/>
              <w:ind w:firstLine="0"/>
              <w:contextualSpacing w:val="0"/>
            </w:pPr>
            <w:r>
              <w:t>17907</w:t>
            </w:r>
          </w:p>
        </w:tc>
        <w:tc>
          <w:tcPr>
            <w:tcW w:w="1000" w:type="dxa"/>
          </w:tcPr>
          <w:p w14:paraId="276BFA4D" w14:textId="77777777" w:rsidR="00C67E15" w:rsidRDefault="007D1B8E" w:rsidP="009F0EC6">
            <w:pPr>
              <w:pStyle w:val="normal0"/>
              <w:spacing w:before="0" w:line="240" w:lineRule="auto"/>
              <w:ind w:firstLine="0"/>
              <w:contextualSpacing w:val="0"/>
            </w:pPr>
            <w:r>
              <w:t>96942</w:t>
            </w:r>
          </w:p>
        </w:tc>
      </w:tr>
      <w:tr w:rsidR="00C67E15" w14:paraId="7CF64996" w14:textId="77777777" w:rsidTr="00E44913">
        <w:tc>
          <w:tcPr>
            <w:tcW w:w="2400" w:type="dxa"/>
          </w:tcPr>
          <w:p w14:paraId="405E7D67" w14:textId="77777777" w:rsidR="00C67E15" w:rsidRDefault="007D1B8E" w:rsidP="009F0EC6">
            <w:pPr>
              <w:pStyle w:val="normal0"/>
              <w:spacing w:before="0" w:line="240" w:lineRule="auto"/>
              <w:ind w:firstLine="0"/>
              <w:contextualSpacing w:val="0"/>
            </w:pPr>
            <w:r>
              <w:t>Musicals</w:t>
            </w:r>
          </w:p>
        </w:tc>
        <w:tc>
          <w:tcPr>
            <w:tcW w:w="1000" w:type="dxa"/>
          </w:tcPr>
          <w:p w14:paraId="03FDAD9E" w14:textId="77777777" w:rsidR="00C67E15" w:rsidRDefault="007D1B8E" w:rsidP="009F0EC6">
            <w:pPr>
              <w:pStyle w:val="normal0"/>
              <w:spacing w:before="0" w:line="240" w:lineRule="auto"/>
              <w:ind w:firstLine="0"/>
              <w:contextualSpacing w:val="0"/>
            </w:pPr>
            <w:r>
              <w:t>18.8</w:t>
            </w:r>
          </w:p>
        </w:tc>
        <w:tc>
          <w:tcPr>
            <w:tcW w:w="1000" w:type="dxa"/>
          </w:tcPr>
          <w:p w14:paraId="35FA27AB" w14:textId="77777777" w:rsidR="00C67E15" w:rsidRDefault="007D1B8E" w:rsidP="009F0EC6">
            <w:pPr>
              <w:pStyle w:val="normal0"/>
              <w:spacing w:before="0" w:line="240" w:lineRule="auto"/>
              <w:ind w:firstLine="0"/>
              <w:contextualSpacing w:val="0"/>
            </w:pPr>
            <w:r>
              <w:t>17.5</w:t>
            </w:r>
          </w:p>
        </w:tc>
        <w:tc>
          <w:tcPr>
            <w:tcW w:w="1000" w:type="dxa"/>
          </w:tcPr>
          <w:p w14:paraId="58D09779" w14:textId="77777777" w:rsidR="00C67E15" w:rsidRDefault="007D1B8E" w:rsidP="009F0EC6">
            <w:pPr>
              <w:pStyle w:val="normal0"/>
              <w:spacing w:before="0" w:line="240" w:lineRule="auto"/>
              <w:ind w:firstLine="0"/>
              <w:contextualSpacing w:val="0"/>
            </w:pPr>
            <w:r>
              <w:t>17.7</w:t>
            </w:r>
          </w:p>
        </w:tc>
        <w:tc>
          <w:tcPr>
            <w:tcW w:w="1000" w:type="dxa"/>
          </w:tcPr>
          <w:p w14:paraId="554FDA51" w14:textId="77777777" w:rsidR="00C67E15" w:rsidRDefault="007D1B8E" w:rsidP="009F0EC6">
            <w:pPr>
              <w:pStyle w:val="normal0"/>
              <w:spacing w:before="0" w:line="240" w:lineRule="auto"/>
              <w:ind w:firstLine="0"/>
              <w:contextualSpacing w:val="0"/>
            </w:pPr>
            <w:r>
              <w:t>17.2</w:t>
            </w:r>
          </w:p>
        </w:tc>
        <w:tc>
          <w:tcPr>
            <w:tcW w:w="1000" w:type="dxa"/>
          </w:tcPr>
          <w:p w14:paraId="73773BB3" w14:textId="77777777" w:rsidR="00C67E15" w:rsidRDefault="007D1B8E" w:rsidP="009F0EC6">
            <w:pPr>
              <w:pStyle w:val="normal0"/>
              <w:spacing w:before="0" w:line="240" w:lineRule="auto"/>
              <w:ind w:firstLine="0"/>
              <w:contextualSpacing w:val="0"/>
            </w:pPr>
            <w:r>
              <w:t>17.9</w:t>
            </w:r>
          </w:p>
        </w:tc>
        <w:tc>
          <w:tcPr>
            <w:tcW w:w="1000" w:type="dxa"/>
          </w:tcPr>
          <w:p w14:paraId="403A3FE8" w14:textId="77777777" w:rsidR="00C67E15" w:rsidRDefault="007D1B8E" w:rsidP="009F0EC6">
            <w:pPr>
              <w:pStyle w:val="normal0"/>
              <w:spacing w:before="0" w:line="240" w:lineRule="auto"/>
              <w:ind w:firstLine="0"/>
              <w:contextualSpacing w:val="0"/>
            </w:pPr>
            <w:r>
              <w:t>16.6</w:t>
            </w:r>
          </w:p>
        </w:tc>
        <w:tc>
          <w:tcPr>
            <w:tcW w:w="1000" w:type="dxa"/>
          </w:tcPr>
          <w:p w14:paraId="15B2871E" w14:textId="77777777" w:rsidR="00C67E15" w:rsidRDefault="007D1B8E" w:rsidP="009F0EC6">
            <w:pPr>
              <w:pStyle w:val="normal0"/>
              <w:spacing w:before="0" w:line="240" w:lineRule="auto"/>
              <w:ind w:firstLine="0"/>
              <w:contextualSpacing w:val="0"/>
            </w:pPr>
            <w:r>
              <w:t>17.6</w:t>
            </w:r>
          </w:p>
        </w:tc>
      </w:tr>
      <w:tr w:rsidR="00C67E15" w14:paraId="11EE2AF8" w14:textId="77777777" w:rsidTr="00E44913">
        <w:tc>
          <w:tcPr>
            <w:tcW w:w="2400" w:type="dxa"/>
          </w:tcPr>
          <w:p w14:paraId="0F71E878" w14:textId="77777777" w:rsidR="00C67E15" w:rsidRDefault="00C67E15" w:rsidP="009F0EC6">
            <w:pPr>
              <w:pStyle w:val="normal0"/>
              <w:spacing w:before="0" w:line="240" w:lineRule="auto"/>
              <w:ind w:firstLine="0"/>
              <w:contextualSpacing w:val="0"/>
            </w:pPr>
          </w:p>
        </w:tc>
        <w:tc>
          <w:tcPr>
            <w:tcW w:w="1000" w:type="dxa"/>
          </w:tcPr>
          <w:p w14:paraId="1FF00981" w14:textId="77777777" w:rsidR="00C67E15" w:rsidRDefault="007D1B8E" w:rsidP="009F0EC6">
            <w:pPr>
              <w:pStyle w:val="normal0"/>
              <w:spacing w:before="0" w:line="240" w:lineRule="auto"/>
              <w:ind w:firstLine="0"/>
              <w:contextualSpacing w:val="0"/>
            </w:pPr>
            <w:r>
              <w:t>17243</w:t>
            </w:r>
          </w:p>
        </w:tc>
        <w:tc>
          <w:tcPr>
            <w:tcW w:w="1000" w:type="dxa"/>
          </w:tcPr>
          <w:p w14:paraId="56A95F65" w14:textId="77777777" w:rsidR="00C67E15" w:rsidRDefault="007D1B8E" w:rsidP="009F0EC6">
            <w:pPr>
              <w:pStyle w:val="normal0"/>
              <w:spacing w:before="0" w:line="240" w:lineRule="auto"/>
              <w:ind w:firstLine="0"/>
              <w:contextualSpacing w:val="0"/>
            </w:pPr>
            <w:r>
              <w:t>13666</w:t>
            </w:r>
          </w:p>
        </w:tc>
        <w:tc>
          <w:tcPr>
            <w:tcW w:w="1000" w:type="dxa"/>
          </w:tcPr>
          <w:p w14:paraId="3ABD951C" w14:textId="77777777" w:rsidR="00C67E15" w:rsidRDefault="007D1B8E" w:rsidP="009F0EC6">
            <w:pPr>
              <w:pStyle w:val="normal0"/>
              <w:spacing w:before="0" w:line="240" w:lineRule="auto"/>
              <w:ind w:firstLine="0"/>
              <w:contextualSpacing w:val="0"/>
            </w:pPr>
            <w:r>
              <w:t>12720</w:t>
            </w:r>
          </w:p>
        </w:tc>
        <w:tc>
          <w:tcPr>
            <w:tcW w:w="1000" w:type="dxa"/>
          </w:tcPr>
          <w:p w14:paraId="160E30D6" w14:textId="77777777" w:rsidR="00C67E15" w:rsidRDefault="007D1B8E" w:rsidP="009F0EC6">
            <w:pPr>
              <w:pStyle w:val="normal0"/>
              <w:spacing w:before="0" w:line="240" w:lineRule="auto"/>
              <w:ind w:firstLine="0"/>
              <w:contextualSpacing w:val="0"/>
            </w:pPr>
            <w:r>
              <w:t>17075</w:t>
            </w:r>
          </w:p>
        </w:tc>
        <w:tc>
          <w:tcPr>
            <w:tcW w:w="1000" w:type="dxa"/>
          </w:tcPr>
          <w:p w14:paraId="3974372B" w14:textId="77777777" w:rsidR="00C67E15" w:rsidRDefault="007D1B8E" w:rsidP="009F0EC6">
            <w:pPr>
              <w:pStyle w:val="normal0"/>
              <w:spacing w:before="0" w:line="240" w:lineRule="auto"/>
              <w:ind w:firstLine="0"/>
              <w:contextualSpacing w:val="0"/>
            </w:pPr>
            <w:r>
              <w:t>18315</w:t>
            </w:r>
          </w:p>
        </w:tc>
        <w:tc>
          <w:tcPr>
            <w:tcW w:w="1000" w:type="dxa"/>
          </w:tcPr>
          <w:p w14:paraId="3A7533A7" w14:textId="77777777" w:rsidR="00C67E15" w:rsidRDefault="007D1B8E" w:rsidP="009F0EC6">
            <w:pPr>
              <w:pStyle w:val="normal0"/>
              <w:spacing w:before="0" w:line="240" w:lineRule="auto"/>
              <w:ind w:firstLine="0"/>
              <w:contextualSpacing w:val="0"/>
            </w:pPr>
            <w:r>
              <w:t>17880</w:t>
            </w:r>
          </w:p>
        </w:tc>
        <w:tc>
          <w:tcPr>
            <w:tcW w:w="1000" w:type="dxa"/>
          </w:tcPr>
          <w:p w14:paraId="3D4B6F00" w14:textId="77777777" w:rsidR="00C67E15" w:rsidRDefault="007D1B8E" w:rsidP="009F0EC6">
            <w:pPr>
              <w:pStyle w:val="normal0"/>
              <w:spacing w:before="0" w:line="240" w:lineRule="auto"/>
              <w:ind w:firstLine="0"/>
              <w:contextualSpacing w:val="0"/>
            </w:pPr>
            <w:r>
              <w:t>96899</w:t>
            </w:r>
          </w:p>
        </w:tc>
      </w:tr>
      <w:tr w:rsidR="00C67E15" w14:paraId="54519882" w14:textId="77777777" w:rsidTr="00E44913">
        <w:tc>
          <w:tcPr>
            <w:tcW w:w="2400" w:type="dxa"/>
          </w:tcPr>
          <w:p w14:paraId="78F32902" w14:textId="77777777" w:rsidR="00C67E15" w:rsidRDefault="007D1B8E" w:rsidP="009F0EC6">
            <w:pPr>
              <w:pStyle w:val="normal0"/>
              <w:spacing w:before="0" w:line="240" w:lineRule="auto"/>
              <w:ind w:firstLine="0"/>
              <w:contextualSpacing w:val="0"/>
            </w:pPr>
            <w:r>
              <w:t>Ballet</w:t>
            </w:r>
          </w:p>
        </w:tc>
        <w:tc>
          <w:tcPr>
            <w:tcW w:w="1000" w:type="dxa"/>
          </w:tcPr>
          <w:p w14:paraId="2379256B" w14:textId="77777777" w:rsidR="00C67E15" w:rsidRDefault="007D1B8E" w:rsidP="009F0EC6">
            <w:pPr>
              <w:pStyle w:val="normal0"/>
              <w:spacing w:before="0" w:line="240" w:lineRule="auto"/>
              <w:ind w:firstLine="0"/>
              <w:contextualSpacing w:val="0"/>
            </w:pPr>
            <w:r>
              <w:t>4.4</w:t>
            </w:r>
          </w:p>
        </w:tc>
        <w:tc>
          <w:tcPr>
            <w:tcW w:w="1000" w:type="dxa"/>
          </w:tcPr>
          <w:p w14:paraId="799D3EBA" w14:textId="77777777" w:rsidR="00C67E15" w:rsidRDefault="007D1B8E" w:rsidP="009F0EC6">
            <w:pPr>
              <w:pStyle w:val="normal0"/>
              <w:spacing w:before="0" w:line="240" w:lineRule="auto"/>
              <w:ind w:firstLine="0"/>
              <w:contextualSpacing w:val="0"/>
            </w:pPr>
            <w:r>
              <w:t>4.5</w:t>
            </w:r>
          </w:p>
        </w:tc>
        <w:tc>
          <w:tcPr>
            <w:tcW w:w="1000" w:type="dxa"/>
          </w:tcPr>
          <w:p w14:paraId="207C6301" w14:textId="77777777" w:rsidR="00C67E15" w:rsidRDefault="007D1B8E" w:rsidP="009F0EC6">
            <w:pPr>
              <w:pStyle w:val="normal0"/>
              <w:spacing w:before="0" w:line="240" w:lineRule="auto"/>
              <w:ind w:firstLine="0"/>
              <w:contextualSpacing w:val="0"/>
            </w:pPr>
            <w:r>
              <w:t>4.7</w:t>
            </w:r>
          </w:p>
        </w:tc>
        <w:tc>
          <w:tcPr>
            <w:tcW w:w="1000" w:type="dxa"/>
          </w:tcPr>
          <w:p w14:paraId="5EEED389" w14:textId="77777777" w:rsidR="00C67E15" w:rsidRDefault="007D1B8E" w:rsidP="009F0EC6">
            <w:pPr>
              <w:pStyle w:val="normal0"/>
              <w:spacing w:before="0" w:line="240" w:lineRule="auto"/>
              <w:ind w:firstLine="0"/>
              <w:contextualSpacing w:val="0"/>
            </w:pPr>
            <w:r>
              <w:t>3.8</w:t>
            </w:r>
          </w:p>
        </w:tc>
        <w:tc>
          <w:tcPr>
            <w:tcW w:w="1000" w:type="dxa"/>
          </w:tcPr>
          <w:p w14:paraId="0B361520" w14:textId="77777777" w:rsidR="00C67E15" w:rsidRDefault="007D1B8E" w:rsidP="009F0EC6">
            <w:pPr>
              <w:pStyle w:val="normal0"/>
              <w:spacing w:before="0" w:line="240" w:lineRule="auto"/>
              <w:ind w:firstLine="0"/>
              <w:contextualSpacing w:val="0"/>
            </w:pPr>
            <w:r>
              <w:t>3.1</w:t>
            </w:r>
          </w:p>
        </w:tc>
        <w:tc>
          <w:tcPr>
            <w:tcW w:w="1000" w:type="dxa"/>
          </w:tcPr>
          <w:p w14:paraId="34D524BF" w14:textId="77777777" w:rsidR="00C67E15" w:rsidRDefault="007D1B8E" w:rsidP="009F0EC6">
            <w:pPr>
              <w:pStyle w:val="normal0"/>
              <w:spacing w:before="0" w:line="240" w:lineRule="auto"/>
              <w:ind w:firstLine="0"/>
              <w:contextualSpacing w:val="0"/>
            </w:pPr>
            <w:r>
              <w:t>3.1</w:t>
            </w:r>
          </w:p>
        </w:tc>
        <w:tc>
          <w:tcPr>
            <w:tcW w:w="1000" w:type="dxa"/>
          </w:tcPr>
          <w:p w14:paraId="6FEF8F19" w14:textId="77777777" w:rsidR="00C67E15" w:rsidRDefault="007D1B8E" w:rsidP="009F0EC6">
            <w:pPr>
              <w:pStyle w:val="normal0"/>
              <w:spacing w:before="0" w:line="240" w:lineRule="auto"/>
              <w:ind w:firstLine="0"/>
              <w:contextualSpacing w:val="0"/>
            </w:pPr>
            <w:r>
              <w:t>3.9</w:t>
            </w:r>
          </w:p>
        </w:tc>
      </w:tr>
      <w:tr w:rsidR="00C67E15" w14:paraId="65C5BC85" w14:textId="77777777" w:rsidTr="00E44913">
        <w:tc>
          <w:tcPr>
            <w:tcW w:w="2400" w:type="dxa"/>
          </w:tcPr>
          <w:p w14:paraId="595498C1" w14:textId="77777777" w:rsidR="00C67E15" w:rsidRDefault="00C67E15" w:rsidP="009F0EC6">
            <w:pPr>
              <w:pStyle w:val="normal0"/>
              <w:spacing w:before="0" w:line="240" w:lineRule="auto"/>
              <w:ind w:firstLine="0"/>
              <w:contextualSpacing w:val="0"/>
            </w:pPr>
          </w:p>
        </w:tc>
        <w:tc>
          <w:tcPr>
            <w:tcW w:w="1000" w:type="dxa"/>
          </w:tcPr>
          <w:p w14:paraId="1D7502AD" w14:textId="77777777" w:rsidR="00C67E15" w:rsidRDefault="007D1B8E" w:rsidP="009F0EC6">
            <w:pPr>
              <w:pStyle w:val="normal0"/>
              <w:spacing w:before="0" w:line="240" w:lineRule="auto"/>
              <w:ind w:firstLine="0"/>
              <w:contextualSpacing w:val="0"/>
            </w:pPr>
            <w:r>
              <w:t>17244</w:t>
            </w:r>
          </w:p>
        </w:tc>
        <w:tc>
          <w:tcPr>
            <w:tcW w:w="1000" w:type="dxa"/>
          </w:tcPr>
          <w:p w14:paraId="2CF4632B" w14:textId="77777777" w:rsidR="00C67E15" w:rsidRDefault="007D1B8E" w:rsidP="009F0EC6">
            <w:pPr>
              <w:pStyle w:val="normal0"/>
              <w:spacing w:before="0" w:line="240" w:lineRule="auto"/>
              <w:ind w:firstLine="0"/>
              <w:contextualSpacing w:val="0"/>
            </w:pPr>
            <w:r>
              <w:t>13672</w:t>
            </w:r>
          </w:p>
        </w:tc>
        <w:tc>
          <w:tcPr>
            <w:tcW w:w="1000" w:type="dxa"/>
          </w:tcPr>
          <w:p w14:paraId="368D2491" w14:textId="77777777" w:rsidR="00C67E15" w:rsidRDefault="007D1B8E" w:rsidP="009F0EC6">
            <w:pPr>
              <w:pStyle w:val="normal0"/>
              <w:spacing w:before="0" w:line="240" w:lineRule="auto"/>
              <w:ind w:firstLine="0"/>
              <w:contextualSpacing w:val="0"/>
            </w:pPr>
            <w:r>
              <w:t>12712</w:t>
            </w:r>
          </w:p>
        </w:tc>
        <w:tc>
          <w:tcPr>
            <w:tcW w:w="1000" w:type="dxa"/>
          </w:tcPr>
          <w:p w14:paraId="5FC08E23" w14:textId="77777777" w:rsidR="00C67E15" w:rsidRDefault="007D1B8E" w:rsidP="009F0EC6">
            <w:pPr>
              <w:pStyle w:val="normal0"/>
              <w:spacing w:before="0" w:line="240" w:lineRule="auto"/>
              <w:ind w:firstLine="0"/>
              <w:contextualSpacing w:val="0"/>
            </w:pPr>
            <w:r>
              <w:t>17081</w:t>
            </w:r>
          </w:p>
        </w:tc>
        <w:tc>
          <w:tcPr>
            <w:tcW w:w="1000" w:type="dxa"/>
          </w:tcPr>
          <w:p w14:paraId="7919CF25" w14:textId="77777777" w:rsidR="00C67E15" w:rsidRDefault="007D1B8E" w:rsidP="009F0EC6">
            <w:pPr>
              <w:pStyle w:val="normal0"/>
              <w:spacing w:before="0" w:line="240" w:lineRule="auto"/>
              <w:ind w:firstLine="0"/>
              <w:contextualSpacing w:val="0"/>
            </w:pPr>
            <w:r>
              <w:t>18300</w:t>
            </w:r>
          </w:p>
        </w:tc>
        <w:tc>
          <w:tcPr>
            <w:tcW w:w="1000" w:type="dxa"/>
          </w:tcPr>
          <w:p w14:paraId="6E2CB700" w14:textId="77777777" w:rsidR="00C67E15" w:rsidRDefault="007D1B8E" w:rsidP="009F0EC6">
            <w:pPr>
              <w:pStyle w:val="normal0"/>
              <w:spacing w:before="0" w:line="240" w:lineRule="auto"/>
              <w:ind w:firstLine="0"/>
              <w:contextualSpacing w:val="0"/>
            </w:pPr>
            <w:r>
              <w:t>17866</w:t>
            </w:r>
          </w:p>
        </w:tc>
        <w:tc>
          <w:tcPr>
            <w:tcW w:w="1000" w:type="dxa"/>
          </w:tcPr>
          <w:p w14:paraId="44755EE1" w14:textId="77777777" w:rsidR="00C67E15" w:rsidRDefault="007D1B8E" w:rsidP="009F0EC6">
            <w:pPr>
              <w:pStyle w:val="normal0"/>
              <w:spacing w:before="0" w:line="240" w:lineRule="auto"/>
              <w:ind w:firstLine="0"/>
              <w:contextualSpacing w:val="0"/>
            </w:pPr>
            <w:r>
              <w:t>96875</w:t>
            </w:r>
          </w:p>
        </w:tc>
      </w:tr>
      <w:tr w:rsidR="00C67E15" w14:paraId="7D65D651" w14:textId="77777777" w:rsidTr="00E44913">
        <w:tc>
          <w:tcPr>
            <w:tcW w:w="2400" w:type="dxa"/>
          </w:tcPr>
          <w:p w14:paraId="6DDE31E6" w14:textId="77777777" w:rsidR="00C67E15" w:rsidRDefault="007D1B8E" w:rsidP="009F0EC6">
            <w:pPr>
              <w:pStyle w:val="normal0"/>
              <w:spacing w:before="0" w:line="240" w:lineRule="auto"/>
              <w:ind w:firstLine="0"/>
              <w:contextualSpacing w:val="0"/>
            </w:pPr>
            <w:r>
              <w:t>Art Museum</w:t>
            </w:r>
          </w:p>
        </w:tc>
        <w:tc>
          <w:tcPr>
            <w:tcW w:w="1000" w:type="dxa"/>
          </w:tcPr>
          <w:p w14:paraId="002D40DD" w14:textId="77777777" w:rsidR="00C67E15" w:rsidRDefault="007D1B8E" w:rsidP="009F0EC6">
            <w:pPr>
              <w:pStyle w:val="normal0"/>
              <w:spacing w:before="0" w:line="240" w:lineRule="auto"/>
              <w:ind w:firstLine="0"/>
              <w:contextualSpacing w:val="0"/>
            </w:pPr>
            <w:r>
              <w:t>22.1</w:t>
            </w:r>
          </w:p>
        </w:tc>
        <w:tc>
          <w:tcPr>
            <w:tcW w:w="1000" w:type="dxa"/>
          </w:tcPr>
          <w:p w14:paraId="631E1EF2" w14:textId="77777777" w:rsidR="00C67E15" w:rsidRDefault="007D1B8E" w:rsidP="009F0EC6">
            <w:pPr>
              <w:pStyle w:val="normal0"/>
              <w:spacing w:before="0" w:line="240" w:lineRule="auto"/>
              <w:ind w:firstLine="0"/>
              <w:contextualSpacing w:val="0"/>
            </w:pPr>
            <w:r>
              <w:t>22.7</w:t>
            </w:r>
          </w:p>
        </w:tc>
        <w:tc>
          <w:tcPr>
            <w:tcW w:w="1000" w:type="dxa"/>
          </w:tcPr>
          <w:p w14:paraId="159620C1" w14:textId="77777777" w:rsidR="00C67E15" w:rsidRDefault="007D1B8E" w:rsidP="009F0EC6">
            <w:pPr>
              <w:pStyle w:val="normal0"/>
              <w:spacing w:before="0" w:line="240" w:lineRule="auto"/>
              <w:ind w:firstLine="0"/>
              <w:contextualSpacing w:val="0"/>
            </w:pPr>
            <w:r>
              <w:t>26.4</w:t>
            </w:r>
          </w:p>
        </w:tc>
        <w:tc>
          <w:tcPr>
            <w:tcW w:w="1000" w:type="dxa"/>
          </w:tcPr>
          <w:p w14:paraId="3B73511F" w14:textId="77777777" w:rsidR="00C67E15" w:rsidRDefault="007D1B8E" w:rsidP="009F0EC6">
            <w:pPr>
              <w:pStyle w:val="normal0"/>
              <w:spacing w:before="0" w:line="240" w:lineRule="auto"/>
              <w:ind w:firstLine="0"/>
              <w:contextualSpacing w:val="0"/>
            </w:pPr>
            <w:r>
              <w:t>27.0</w:t>
            </w:r>
          </w:p>
        </w:tc>
        <w:tc>
          <w:tcPr>
            <w:tcW w:w="1000" w:type="dxa"/>
          </w:tcPr>
          <w:p w14:paraId="51FBF744" w14:textId="77777777" w:rsidR="00C67E15" w:rsidRDefault="007D1B8E" w:rsidP="009F0EC6">
            <w:pPr>
              <w:pStyle w:val="normal0"/>
              <w:spacing w:before="0" w:line="240" w:lineRule="auto"/>
              <w:ind w:firstLine="0"/>
              <w:contextualSpacing w:val="0"/>
            </w:pPr>
            <w:r>
              <w:t>23.9</w:t>
            </w:r>
          </w:p>
        </w:tc>
        <w:tc>
          <w:tcPr>
            <w:tcW w:w="1000" w:type="dxa"/>
          </w:tcPr>
          <w:p w14:paraId="4A49BFD9" w14:textId="77777777" w:rsidR="00C67E15" w:rsidRDefault="007D1B8E" w:rsidP="009F0EC6">
            <w:pPr>
              <w:pStyle w:val="normal0"/>
              <w:spacing w:before="0" w:line="240" w:lineRule="auto"/>
              <w:ind w:firstLine="0"/>
              <w:contextualSpacing w:val="0"/>
            </w:pPr>
            <w:r>
              <w:t>22.9</w:t>
            </w:r>
          </w:p>
        </w:tc>
        <w:tc>
          <w:tcPr>
            <w:tcW w:w="1000" w:type="dxa"/>
          </w:tcPr>
          <w:p w14:paraId="0A51C100" w14:textId="77777777" w:rsidR="00C67E15" w:rsidRDefault="007D1B8E" w:rsidP="009F0EC6">
            <w:pPr>
              <w:pStyle w:val="normal0"/>
              <w:spacing w:before="0" w:line="240" w:lineRule="auto"/>
              <w:ind w:firstLine="0"/>
              <w:contextualSpacing w:val="0"/>
            </w:pPr>
            <w:r>
              <w:t>24.1</w:t>
            </w:r>
          </w:p>
        </w:tc>
      </w:tr>
      <w:tr w:rsidR="00C67E15" w14:paraId="4366CD08" w14:textId="77777777" w:rsidTr="00E44913">
        <w:tc>
          <w:tcPr>
            <w:tcW w:w="2400" w:type="dxa"/>
          </w:tcPr>
          <w:p w14:paraId="46DBDFE8" w14:textId="77777777" w:rsidR="00C67E15" w:rsidRDefault="00C67E15" w:rsidP="009F0EC6">
            <w:pPr>
              <w:pStyle w:val="normal0"/>
              <w:spacing w:before="0" w:line="240" w:lineRule="auto"/>
              <w:ind w:firstLine="0"/>
              <w:contextualSpacing w:val="0"/>
            </w:pPr>
          </w:p>
        </w:tc>
        <w:tc>
          <w:tcPr>
            <w:tcW w:w="1000" w:type="dxa"/>
          </w:tcPr>
          <w:p w14:paraId="7C299222" w14:textId="77777777" w:rsidR="00C67E15" w:rsidRDefault="007D1B8E" w:rsidP="009F0EC6">
            <w:pPr>
              <w:pStyle w:val="normal0"/>
              <w:spacing w:before="0" w:line="240" w:lineRule="auto"/>
              <w:ind w:firstLine="0"/>
              <w:contextualSpacing w:val="0"/>
            </w:pPr>
            <w:r>
              <w:t>17240</w:t>
            </w:r>
          </w:p>
        </w:tc>
        <w:tc>
          <w:tcPr>
            <w:tcW w:w="1000" w:type="dxa"/>
          </w:tcPr>
          <w:p w14:paraId="61D80DCC" w14:textId="77777777" w:rsidR="00C67E15" w:rsidRDefault="007D1B8E" w:rsidP="009F0EC6">
            <w:pPr>
              <w:pStyle w:val="normal0"/>
              <w:spacing w:before="0" w:line="240" w:lineRule="auto"/>
              <w:ind w:firstLine="0"/>
              <w:contextualSpacing w:val="0"/>
            </w:pPr>
            <w:r>
              <w:t>13668</w:t>
            </w:r>
          </w:p>
        </w:tc>
        <w:tc>
          <w:tcPr>
            <w:tcW w:w="1000" w:type="dxa"/>
          </w:tcPr>
          <w:p w14:paraId="3896373B" w14:textId="77777777" w:rsidR="00C67E15" w:rsidRDefault="007D1B8E" w:rsidP="009F0EC6">
            <w:pPr>
              <w:pStyle w:val="normal0"/>
              <w:spacing w:before="0" w:line="240" w:lineRule="auto"/>
              <w:ind w:firstLine="0"/>
              <w:contextualSpacing w:val="0"/>
            </w:pPr>
            <w:r>
              <w:t>12716</w:t>
            </w:r>
          </w:p>
        </w:tc>
        <w:tc>
          <w:tcPr>
            <w:tcW w:w="1000" w:type="dxa"/>
          </w:tcPr>
          <w:p w14:paraId="75D1B064" w14:textId="77777777" w:rsidR="00C67E15" w:rsidRDefault="007D1B8E" w:rsidP="009F0EC6">
            <w:pPr>
              <w:pStyle w:val="normal0"/>
              <w:spacing w:before="0" w:line="240" w:lineRule="auto"/>
              <w:ind w:firstLine="0"/>
              <w:contextualSpacing w:val="0"/>
            </w:pPr>
            <w:r>
              <w:t>17053</w:t>
            </w:r>
          </w:p>
        </w:tc>
        <w:tc>
          <w:tcPr>
            <w:tcW w:w="1000" w:type="dxa"/>
          </w:tcPr>
          <w:p w14:paraId="0868E3FE" w14:textId="77777777" w:rsidR="00C67E15" w:rsidRDefault="007D1B8E" w:rsidP="009F0EC6">
            <w:pPr>
              <w:pStyle w:val="normal0"/>
              <w:spacing w:before="0" w:line="240" w:lineRule="auto"/>
              <w:ind w:firstLine="0"/>
              <w:contextualSpacing w:val="0"/>
            </w:pPr>
            <w:r>
              <w:t>18248</w:t>
            </w:r>
          </w:p>
        </w:tc>
        <w:tc>
          <w:tcPr>
            <w:tcW w:w="1000" w:type="dxa"/>
          </w:tcPr>
          <w:p w14:paraId="3AFF3DE6" w14:textId="77777777" w:rsidR="00C67E15" w:rsidRDefault="007D1B8E" w:rsidP="009F0EC6">
            <w:pPr>
              <w:pStyle w:val="normal0"/>
              <w:spacing w:before="0" w:line="240" w:lineRule="auto"/>
              <w:ind w:firstLine="0"/>
              <w:contextualSpacing w:val="0"/>
            </w:pPr>
            <w:r>
              <w:t>17798</w:t>
            </w:r>
          </w:p>
        </w:tc>
        <w:tc>
          <w:tcPr>
            <w:tcW w:w="1000" w:type="dxa"/>
          </w:tcPr>
          <w:p w14:paraId="6CF663FD" w14:textId="77777777" w:rsidR="00C67E15" w:rsidRDefault="007D1B8E" w:rsidP="009F0EC6">
            <w:pPr>
              <w:pStyle w:val="normal0"/>
              <w:spacing w:before="0" w:line="240" w:lineRule="auto"/>
              <w:ind w:firstLine="0"/>
              <w:contextualSpacing w:val="0"/>
            </w:pPr>
            <w:r>
              <w:t>96723</w:t>
            </w:r>
          </w:p>
        </w:tc>
      </w:tr>
      <w:tr w:rsidR="00C67E15" w14:paraId="0ED22202" w14:textId="77777777" w:rsidTr="00E44913">
        <w:tc>
          <w:tcPr>
            <w:tcW w:w="2400" w:type="dxa"/>
          </w:tcPr>
          <w:p w14:paraId="59D489F1" w14:textId="77777777" w:rsidR="00C67E15" w:rsidRPr="00E44913" w:rsidRDefault="007D1B8E" w:rsidP="009F0EC6">
            <w:pPr>
              <w:pStyle w:val="normal0"/>
              <w:spacing w:before="0" w:line="240" w:lineRule="auto"/>
              <w:ind w:firstLine="0"/>
              <w:contextualSpacing w:val="0"/>
              <w:rPr>
                <w:vertAlign w:val="superscript"/>
              </w:rPr>
            </w:pPr>
            <w:r>
              <w:t>Art Festival</w:t>
            </w:r>
          </w:p>
        </w:tc>
        <w:tc>
          <w:tcPr>
            <w:tcW w:w="1000" w:type="dxa"/>
          </w:tcPr>
          <w:p w14:paraId="49BCBAD1" w14:textId="77777777" w:rsidR="00C67E15" w:rsidRDefault="007D1B8E" w:rsidP="009F0EC6">
            <w:pPr>
              <w:pStyle w:val="normal0"/>
              <w:spacing w:before="0" w:line="240" w:lineRule="auto"/>
              <w:ind w:firstLine="0"/>
              <w:contextualSpacing w:val="0"/>
            </w:pPr>
            <w:r>
              <w:t>39.3</w:t>
            </w:r>
          </w:p>
        </w:tc>
        <w:tc>
          <w:tcPr>
            <w:tcW w:w="1000" w:type="dxa"/>
          </w:tcPr>
          <w:p w14:paraId="6857BCB7" w14:textId="77777777" w:rsidR="00C67E15" w:rsidRDefault="007D1B8E" w:rsidP="009F0EC6">
            <w:pPr>
              <w:pStyle w:val="normal0"/>
              <w:spacing w:before="0" w:line="240" w:lineRule="auto"/>
              <w:ind w:firstLine="0"/>
              <w:contextualSpacing w:val="0"/>
            </w:pPr>
            <w:r>
              <w:t>40.7</w:t>
            </w:r>
          </w:p>
        </w:tc>
        <w:tc>
          <w:tcPr>
            <w:tcW w:w="1000" w:type="dxa"/>
          </w:tcPr>
          <w:p w14:paraId="08EF9BB0" w14:textId="77777777" w:rsidR="00C67E15" w:rsidRDefault="007D1B8E" w:rsidP="009F0EC6">
            <w:pPr>
              <w:pStyle w:val="normal0"/>
              <w:spacing w:before="0" w:line="240" w:lineRule="auto"/>
              <w:ind w:firstLine="0"/>
              <w:contextualSpacing w:val="0"/>
            </w:pPr>
            <w:r>
              <w:t>40.9</w:t>
            </w:r>
          </w:p>
        </w:tc>
        <w:tc>
          <w:tcPr>
            <w:tcW w:w="1000" w:type="dxa"/>
          </w:tcPr>
          <w:p w14:paraId="6B34754B" w14:textId="77777777" w:rsidR="00C67E15" w:rsidRDefault="007D1B8E" w:rsidP="009F0EC6">
            <w:pPr>
              <w:pStyle w:val="normal0"/>
              <w:spacing w:before="0" w:line="240" w:lineRule="auto"/>
              <w:ind w:firstLine="0"/>
              <w:contextualSpacing w:val="0"/>
            </w:pPr>
            <w:r>
              <w:t>34.8</w:t>
            </w:r>
          </w:p>
        </w:tc>
        <w:tc>
          <w:tcPr>
            <w:tcW w:w="1000" w:type="dxa"/>
          </w:tcPr>
          <w:p w14:paraId="5684AD97" w14:textId="77777777" w:rsidR="00C67E15" w:rsidRDefault="007D1B8E" w:rsidP="009F0EC6">
            <w:pPr>
              <w:pStyle w:val="normal0"/>
              <w:spacing w:before="0" w:line="240" w:lineRule="auto"/>
              <w:ind w:firstLine="0"/>
              <w:contextualSpacing w:val="0"/>
            </w:pPr>
            <w:r>
              <w:t>26.7</w:t>
            </w:r>
          </w:p>
        </w:tc>
        <w:tc>
          <w:tcPr>
            <w:tcW w:w="1000" w:type="dxa"/>
          </w:tcPr>
          <w:p w14:paraId="3B0450B3" w14:textId="77777777" w:rsidR="00C67E15" w:rsidRDefault="007D1B8E" w:rsidP="009F0EC6">
            <w:pPr>
              <w:pStyle w:val="normal0"/>
              <w:spacing w:before="0" w:line="240" w:lineRule="auto"/>
              <w:ind w:firstLine="0"/>
              <w:contextualSpacing w:val="0"/>
            </w:pPr>
            <w:r>
              <w:t>25.0</w:t>
            </w:r>
          </w:p>
        </w:tc>
        <w:tc>
          <w:tcPr>
            <w:tcW w:w="1000" w:type="dxa"/>
          </w:tcPr>
          <w:p w14:paraId="2F98AA83" w14:textId="77777777" w:rsidR="00C67E15" w:rsidRDefault="007D1B8E" w:rsidP="009F0EC6">
            <w:pPr>
              <w:pStyle w:val="normal0"/>
              <w:spacing w:before="0" w:line="240" w:lineRule="auto"/>
              <w:ind w:firstLine="0"/>
              <w:contextualSpacing w:val="0"/>
            </w:pPr>
            <w:r>
              <w:t>31.9</w:t>
            </w:r>
          </w:p>
        </w:tc>
      </w:tr>
      <w:tr w:rsidR="00C67E15" w14:paraId="221D93AC" w14:textId="77777777" w:rsidTr="00E44913">
        <w:tc>
          <w:tcPr>
            <w:tcW w:w="2400" w:type="dxa"/>
          </w:tcPr>
          <w:p w14:paraId="2E6F65F8" w14:textId="77777777" w:rsidR="00C67E15" w:rsidRDefault="00C67E15" w:rsidP="009F0EC6">
            <w:pPr>
              <w:pStyle w:val="normal0"/>
              <w:spacing w:before="0" w:line="240" w:lineRule="auto"/>
              <w:ind w:firstLine="0"/>
              <w:contextualSpacing w:val="0"/>
            </w:pPr>
          </w:p>
        </w:tc>
        <w:tc>
          <w:tcPr>
            <w:tcW w:w="1000" w:type="dxa"/>
          </w:tcPr>
          <w:p w14:paraId="02A79A43" w14:textId="77777777" w:rsidR="00C67E15" w:rsidRPr="00E44913" w:rsidRDefault="007D1B8E" w:rsidP="009F0EC6">
            <w:pPr>
              <w:pStyle w:val="normal0"/>
              <w:spacing w:before="0" w:line="240" w:lineRule="auto"/>
              <w:ind w:firstLine="0"/>
              <w:contextualSpacing w:val="0"/>
              <w:rPr>
                <w:vertAlign w:val="superscript"/>
              </w:rPr>
            </w:pPr>
            <w:r>
              <w:t>4243</w:t>
            </w:r>
            <w:r>
              <w:rPr>
                <w:vertAlign w:val="superscript"/>
              </w:rPr>
              <w:t>a, b</w:t>
            </w:r>
          </w:p>
        </w:tc>
        <w:tc>
          <w:tcPr>
            <w:tcW w:w="1000" w:type="dxa"/>
          </w:tcPr>
          <w:p w14:paraId="72D5B489" w14:textId="77777777" w:rsidR="00C67E15" w:rsidRPr="00E44913" w:rsidRDefault="007D1B8E" w:rsidP="009F0EC6">
            <w:pPr>
              <w:pStyle w:val="normal0"/>
              <w:spacing w:before="0" w:line="240" w:lineRule="auto"/>
              <w:ind w:firstLine="0"/>
              <w:contextualSpacing w:val="0"/>
              <w:rPr>
                <w:vertAlign w:val="superscript"/>
              </w:rPr>
            </w:pPr>
            <w:r>
              <w:t>2349</w:t>
            </w:r>
            <w:r>
              <w:rPr>
                <w:vertAlign w:val="superscript"/>
              </w:rPr>
              <w:t>a, b</w:t>
            </w:r>
          </w:p>
        </w:tc>
        <w:tc>
          <w:tcPr>
            <w:tcW w:w="1000" w:type="dxa"/>
          </w:tcPr>
          <w:p w14:paraId="0B7BCE75" w14:textId="77777777" w:rsidR="00C67E15" w:rsidRPr="00E44913" w:rsidRDefault="007D1B8E" w:rsidP="009F0EC6">
            <w:pPr>
              <w:pStyle w:val="normal0"/>
              <w:spacing w:before="0" w:line="240" w:lineRule="auto"/>
              <w:ind w:firstLine="0"/>
              <w:contextualSpacing w:val="0"/>
              <w:rPr>
                <w:vertAlign w:val="superscript"/>
              </w:rPr>
            </w:pPr>
            <w:r>
              <w:t>12718</w:t>
            </w:r>
            <w:r>
              <w:rPr>
                <w:vertAlign w:val="superscript"/>
              </w:rPr>
              <w:t>c</w:t>
            </w:r>
          </w:p>
        </w:tc>
        <w:tc>
          <w:tcPr>
            <w:tcW w:w="1000" w:type="dxa"/>
          </w:tcPr>
          <w:p w14:paraId="27AC0B17" w14:textId="77777777" w:rsidR="00C67E15" w:rsidRDefault="007D1B8E" w:rsidP="009F0EC6">
            <w:pPr>
              <w:pStyle w:val="normal0"/>
              <w:spacing w:before="0" w:line="240" w:lineRule="auto"/>
              <w:ind w:firstLine="0"/>
              <w:contextualSpacing w:val="0"/>
            </w:pPr>
            <w:r>
              <w:t>17050</w:t>
            </w:r>
            <w:r>
              <w:rPr>
                <w:vertAlign w:val="superscript"/>
              </w:rPr>
              <w:t>c</w:t>
            </w:r>
          </w:p>
        </w:tc>
        <w:tc>
          <w:tcPr>
            <w:tcW w:w="1000" w:type="dxa"/>
          </w:tcPr>
          <w:p w14:paraId="0E3227C2" w14:textId="77777777" w:rsidR="00C67E15" w:rsidRDefault="007D1B8E" w:rsidP="009F0EC6">
            <w:pPr>
              <w:pStyle w:val="normal0"/>
              <w:spacing w:before="0" w:line="240" w:lineRule="auto"/>
              <w:ind w:firstLine="0"/>
              <w:contextualSpacing w:val="0"/>
            </w:pPr>
            <w:r>
              <w:t>18212</w:t>
            </w:r>
            <w:r>
              <w:rPr>
                <w:vertAlign w:val="superscript"/>
              </w:rPr>
              <w:t>c</w:t>
            </w:r>
          </w:p>
        </w:tc>
        <w:tc>
          <w:tcPr>
            <w:tcW w:w="1000" w:type="dxa"/>
          </w:tcPr>
          <w:p w14:paraId="352BEC02" w14:textId="77777777" w:rsidR="00C67E15" w:rsidRDefault="007D1B8E" w:rsidP="009F0EC6">
            <w:pPr>
              <w:pStyle w:val="normal0"/>
              <w:spacing w:before="0" w:line="240" w:lineRule="auto"/>
              <w:ind w:firstLine="0"/>
              <w:contextualSpacing w:val="0"/>
            </w:pPr>
            <w:r>
              <w:t>17779</w:t>
            </w:r>
            <w:r>
              <w:rPr>
                <w:vertAlign w:val="superscript"/>
              </w:rPr>
              <w:t>c</w:t>
            </w:r>
          </w:p>
        </w:tc>
        <w:tc>
          <w:tcPr>
            <w:tcW w:w="1000" w:type="dxa"/>
          </w:tcPr>
          <w:p w14:paraId="7109DAD8" w14:textId="77777777" w:rsidR="00C67E15" w:rsidRDefault="007D1B8E" w:rsidP="009F0EC6">
            <w:pPr>
              <w:pStyle w:val="normal0"/>
              <w:spacing w:before="0" w:line="240" w:lineRule="auto"/>
              <w:ind w:firstLine="0"/>
              <w:contextualSpacing w:val="0"/>
            </w:pPr>
            <w:r>
              <w:t>72351</w:t>
            </w:r>
            <w:r>
              <w:rPr>
                <w:vertAlign w:val="superscript"/>
              </w:rPr>
              <w:t>c</w:t>
            </w:r>
          </w:p>
        </w:tc>
      </w:tr>
      <w:tr w:rsidR="00C67E15" w14:paraId="65AC7091" w14:textId="77777777" w:rsidTr="00E44913">
        <w:tc>
          <w:tcPr>
            <w:tcW w:w="2400" w:type="dxa"/>
          </w:tcPr>
          <w:p w14:paraId="63B6E30E" w14:textId="77777777" w:rsidR="00C67E15" w:rsidRDefault="007D1B8E" w:rsidP="009F0EC6">
            <w:pPr>
              <w:pStyle w:val="normal0"/>
              <w:spacing w:before="0" w:line="240" w:lineRule="auto"/>
              <w:ind w:firstLine="0"/>
              <w:contextualSpacing w:val="0"/>
            </w:pPr>
            <w:r>
              <w:t>Hist. Monument</w:t>
            </w:r>
          </w:p>
        </w:tc>
        <w:tc>
          <w:tcPr>
            <w:tcW w:w="1000" w:type="dxa"/>
          </w:tcPr>
          <w:p w14:paraId="7A318B6A" w14:textId="77777777" w:rsidR="00C67E15" w:rsidRDefault="007D1B8E" w:rsidP="009F0EC6">
            <w:pPr>
              <w:pStyle w:val="normal0"/>
              <w:spacing w:before="0" w:line="240" w:lineRule="auto"/>
              <w:ind w:firstLine="0"/>
              <w:contextualSpacing w:val="0"/>
            </w:pPr>
            <w:r>
              <w:t>37.0</w:t>
            </w:r>
          </w:p>
        </w:tc>
        <w:tc>
          <w:tcPr>
            <w:tcW w:w="1000" w:type="dxa"/>
          </w:tcPr>
          <w:p w14:paraId="59BE60F6" w14:textId="77777777" w:rsidR="00C67E15" w:rsidRDefault="007D1B8E" w:rsidP="009F0EC6">
            <w:pPr>
              <w:pStyle w:val="normal0"/>
              <w:spacing w:before="0" w:line="240" w:lineRule="auto"/>
              <w:ind w:firstLine="0"/>
              <w:contextualSpacing w:val="0"/>
            </w:pPr>
            <w:r>
              <w:t>36.6</w:t>
            </w:r>
          </w:p>
        </w:tc>
        <w:tc>
          <w:tcPr>
            <w:tcW w:w="1000" w:type="dxa"/>
          </w:tcPr>
          <w:p w14:paraId="779A9627" w14:textId="77777777" w:rsidR="00C67E15" w:rsidRDefault="007D1B8E" w:rsidP="009F0EC6">
            <w:pPr>
              <w:pStyle w:val="normal0"/>
              <w:spacing w:before="0" w:line="240" w:lineRule="auto"/>
              <w:ind w:firstLine="0"/>
              <w:contextualSpacing w:val="0"/>
            </w:pPr>
            <w:r>
              <w:t>34.5</w:t>
            </w:r>
          </w:p>
        </w:tc>
        <w:tc>
          <w:tcPr>
            <w:tcW w:w="1000" w:type="dxa"/>
          </w:tcPr>
          <w:p w14:paraId="007F5FBE" w14:textId="77777777" w:rsidR="00C67E15" w:rsidRDefault="007D1B8E" w:rsidP="009F0EC6">
            <w:pPr>
              <w:pStyle w:val="normal0"/>
              <w:spacing w:before="0" w:line="240" w:lineRule="auto"/>
              <w:ind w:firstLine="0"/>
              <w:contextualSpacing w:val="0"/>
            </w:pPr>
            <w:r>
              <w:t>32.1</w:t>
            </w:r>
          </w:p>
        </w:tc>
        <w:tc>
          <w:tcPr>
            <w:tcW w:w="1000" w:type="dxa"/>
          </w:tcPr>
          <w:p w14:paraId="31889C05" w14:textId="77777777" w:rsidR="00C67E15" w:rsidRDefault="007D1B8E" w:rsidP="009F0EC6">
            <w:pPr>
              <w:pStyle w:val="normal0"/>
              <w:spacing w:before="0" w:line="240" w:lineRule="auto"/>
              <w:ind w:firstLine="0"/>
              <w:contextualSpacing w:val="0"/>
            </w:pPr>
            <w:r>
              <w:t>27.5</w:t>
            </w:r>
          </w:p>
        </w:tc>
        <w:tc>
          <w:tcPr>
            <w:tcW w:w="1000" w:type="dxa"/>
          </w:tcPr>
          <w:p w14:paraId="60D634CC" w14:textId="77777777" w:rsidR="00C67E15" w:rsidRDefault="007D1B8E" w:rsidP="009F0EC6">
            <w:pPr>
              <w:pStyle w:val="normal0"/>
              <w:spacing w:before="0" w:line="240" w:lineRule="auto"/>
              <w:ind w:firstLine="0"/>
              <w:contextualSpacing w:val="0"/>
            </w:pPr>
            <w:r>
              <w:t>26.4</w:t>
            </w:r>
          </w:p>
        </w:tc>
        <w:tc>
          <w:tcPr>
            <w:tcW w:w="1000" w:type="dxa"/>
          </w:tcPr>
          <w:p w14:paraId="14B4584E" w14:textId="77777777" w:rsidR="00C67E15" w:rsidRDefault="007D1B8E" w:rsidP="009F0EC6">
            <w:pPr>
              <w:pStyle w:val="normal0"/>
              <w:spacing w:before="0" w:line="240" w:lineRule="auto"/>
              <w:ind w:firstLine="0"/>
              <w:contextualSpacing w:val="0"/>
            </w:pPr>
            <w:r>
              <w:t>30.4</w:t>
            </w:r>
          </w:p>
        </w:tc>
      </w:tr>
      <w:tr w:rsidR="00C67E15" w14:paraId="148EE8EE" w14:textId="77777777" w:rsidTr="00E44913">
        <w:tc>
          <w:tcPr>
            <w:tcW w:w="2400" w:type="dxa"/>
          </w:tcPr>
          <w:p w14:paraId="2367486A" w14:textId="77777777" w:rsidR="00C67E15" w:rsidRDefault="00C67E15" w:rsidP="009F0EC6">
            <w:pPr>
              <w:pStyle w:val="normal0"/>
              <w:spacing w:before="0" w:line="240" w:lineRule="auto"/>
              <w:ind w:firstLine="0"/>
              <w:contextualSpacing w:val="0"/>
            </w:pPr>
          </w:p>
        </w:tc>
        <w:tc>
          <w:tcPr>
            <w:tcW w:w="1000" w:type="dxa"/>
          </w:tcPr>
          <w:p w14:paraId="4C51C6E6" w14:textId="77777777" w:rsidR="00C67E15" w:rsidRDefault="007D1B8E" w:rsidP="009F0EC6">
            <w:pPr>
              <w:pStyle w:val="normal0"/>
              <w:spacing w:before="0" w:line="240" w:lineRule="auto"/>
              <w:ind w:firstLine="0"/>
              <w:contextualSpacing w:val="0"/>
            </w:pPr>
            <w:r>
              <w:t>4242</w:t>
            </w:r>
            <w:r>
              <w:rPr>
                <w:vertAlign w:val="superscript"/>
              </w:rPr>
              <w:t>c</w:t>
            </w:r>
          </w:p>
        </w:tc>
        <w:tc>
          <w:tcPr>
            <w:tcW w:w="1000" w:type="dxa"/>
          </w:tcPr>
          <w:p w14:paraId="78484ED3" w14:textId="77777777" w:rsidR="00C67E15" w:rsidRDefault="007D1B8E" w:rsidP="009F0EC6">
            <w:pPr>
              <w:pStyle w:val="normal0"/>
              <w:spacing w:before="0" w:line="240" w:lineRule="auto"/>
              <w:ind w:firstLine="0"/>
              <w:contextualSpacing w:val="0"/>
            </w:pPr>
            <w:r>
              <w:t>2351</w:t>
            </w:r>
            <w:r>
              <w:rPr>
                <w:vertAlign w:val="superscript"/>
              </w:rPr>
              <w:t>c</w:t>
            </w:r>
          </w:p>
        </w:tc>
        <w:tc>
          <w:tcPr>
            <w:tcW w:w="1000" w:type="dxa"/>
          </w:tcPr>
          <w:p w14:paraId="0904FCBA" w14:textId="77777777" w:rsidR="00C67E15" w:rsidRDefault="007D1B8E" w:rsidP="009F0EC6">
            <w:pPr>
              <w:pStyle w:val="normal0"/>
              <w:spacing w:before="0" w:line="240" w:lineRule="auto"/>
              <w:ind w:firstLine="0"/>
              <w:contextualSpacing w:val="0"/>
            </w:pPr>
            <w:r>
              <w:t>12718</w:t>
            </w:r>
          </w:p>
        </w:tc>
        <w:tc>
          <w:tcPr>
            <w:tcW w:w="1000" w:type="dxa"/>
          </w:tcPr>
          <w:p w14:paraId="1F6019A7" w14:textId="77777777" w:rsidR="00C67E15" w:rsidRDefault="007D1B8E" w:rsidP="009F0EC6">
            <w:pPr>
              <w:pStyle w:val="normal0"/>
              <w:spacing w:before="0" w:line="240" w:lineRule="auto"/>
              <w:ind w:firstLine="0"/>
              <w:contextualSpacing w:val="0"/>
            </w:pPr>
            <w:r>
              <w:t>17050</w:t>
            </w:r>
          </w:p>
        </w:tc>
        <w:tc>
          <w:tcPr>
            <w:tcW w:w="1000" w:type="dxa"/>
          </w:tcPr>
          <w:p w14:paraId="44C4EA58" w14:textId="77777777" w:rsidR="00C67E15" w:rsidRDefault="007D1B8E" w:rsidP="009F0EC6">
            <w:pPr>
              <w:pStyle w:val="normal0"/>
              <w:spacing w:before="0" w:line="240" w:lineRule="auto"/>
              <w:ind w:firstLine="0"/>
              <w:contextualSpacing w:val="0"/>
            </w:pPr>
            <w:r>
              <w:t>18212</w:t>
            </w:r>
          </w:p>
        </w:tc>
        <w:tc>
          <w:tcPr>
            <w:tcW w:w="1000" w:type="dxa"/>
          </w:tcPr>
          <w:p w14:paraId="515F012B" w14:textId="77777777" w:rsidR="00C67E15" w:rsidRDefault="007D1B8E" w:rsidP="009F0EC6">
            <w:pPr>
              <w:pStyle w:val="normal0"/>
              <w:spacing w:before="0" w:line="240" w:lineRule="auto"/>
              <w:ind w:firstLine="0"/>
              <w:contextualSpacing w:val="0"/>
            </w:pPr>
            <w:r>
              <w:t>17738</w:t>
            </w:r>
          </w:p>
        </w:tc>
        <w:tc>
          <w:tcPr>
            <w:tcW w:w="1000" w:type="dxa"/>
          </w:tcPr>
          <w:p w14:paraId="44BCA83C" w14:textId="77777777" w:rsidR="00C67E15" w:rsidRDefault="007D1B8E" w:rsidP="009F0EC6">
            <w:pPr>
              <w:pStyle w:val="normal0"/>
              <w:spacing w:before="0" w:line="240" w:lineRule="auto"/>
              <w:ind w:firstLine="0"/>
              <w:contextualSpacing w:val="0"/>
            </w:pPr>
            <w:r>
              <w:t>72311</w:t>
            </w:r>
          </w:p>
        </w:tc>
      </w:tr>
      <w:tr w:rsidR="00C67E15" w14:paraId="13061176" w14:textId="77777777" w:rsidTr="00E44913">
        <w:tc>
          <w:tcPr>
            <w:tcW w:w="2400" w:type="dxa"/>
          </w:tcPr>
          <w:p w14:paraId="498AB1DA" w14:textId="77777777" w:rsidR="00C67E15" w:rsidRDefault="007D1B8E" w:rsidP="009F0EC6">
            <w:pPr>
              <w:pStyle w:val="normal0"/>
              <w:spacing w:before="0" w:line="240" w:lineRule="auto"/>
              <w:ind w:firstLine="0"/>
              <w:contextualSpacing w:val="0"/>
            </w:pPr>
            <w:r>
              <w:t>N</w:t>
            </w:r>
          </w:p>
        </w:tc>
        <w:tc>
          <w:tcPr>
            <w:tcW w:w="1000" w:type="dxa"/>
          </w:tcPr>
          <w:p w14:paraId="68D5C54B" w14:textId="77777777" w:rsidR="00C67E15" w:rsidRDefault="007D1B8E" w:rsidP="009F0EC6">
            <w:pPr>
              <w:pStyle w:val="normal0"/>
              <w:spacing w:before="0" w:line="240" w:lineRule="auto"/>
              <w:ind w:firstLine="0"/>
              <w:contextualSpacing w:val="0"/>
            </w:pPr>
            <w:r>
              <w:t>97179</w:t>
            </w:r>
          </w:p>
        </w:tc>
        <w:tc>
          <w:tcPr>
            <w:tcW w:w="1000" w:type="dxa"/>
          </w:tcPr>
          <w:p w14:paraId="6BFECAED" w14:textId="77777777" w:rsidR="00C67E15" w:rsidRDefault="00C67E15" w:rsidP="009F0EC6">
            <w:pPr>
              <w:pStyle w:val="normal0"/>
              <w:spacing w:before="0" w:line="240" w:lineRule="auto"/>
              <w:ind w:firstLine="0"/>
              <w:contextualSpacing w:val="0"/>
            </w:pPr>
          </w:p>
        </w:tc>
        <w:tc>
          <w:tcPr>
            <w:tcW w:w="1000" w:type="dxa"/>
          </w:tcPr>
          <w:p w14:paraId="28BBC987" w14:textId="77777777" w:rsidR="00C67E15" w:rsidRDefault="00C67E15" w:rsidP="009F0EC6">
            <w:pPr>
              <w:pStyle w:val="normal0"/>
              <w:spacing w:before="0" w:line="240" w:lineRule="auto"/>
              <w:ind w:firstLine="0"/>
              <w:contextualSpacing w:val="0"/>
            </w:pPr>
          </w:p>
        </w:tc>
        <w:tc>
          <w:tcPr>
            <w:tcW w:w="1000" w:type="dxa"/>
          </w:tcPr>
          <w:p w14:paraId="472F1B61" w14:textId="77777777" w:rsidR="00C67E15" w:rsidRDefault="00C67E15" w:rsidP="009F0EC6">
            <w:pPr>
              <w:pStyle w:val="normal0"/>
              <w:spacing w:before="0" w:line="240" w:lineRule="auto"/>
              <w:ind w:firstLine="0"/>
              <w:contextualSpacing w:val="0"/>
            </w:pPr>
          </w:p>
        </w:tc>
        <w:tc>
          <w:tcPr>
            <w:tcW w:w="1000" w:type="dxa"/>
          </w:tcPr>
          <w:p w14:paraId="753A422F" w14:textId="77777777" w:rsidR="00C67E15" w:rsidRDefault="00C67E15" w:rsidP="009F0EC6">
            <w:pPr>
              <w:pStyle w:val="normal0"/>
              <w:spacing w:before="0" w:line="240" w:lineRule="auto"/>
              <w:ind w:firstLine="0"/>
              <w:contextualSpacing w:val="0"/>
            </w:pPr>
          </w:p>
        </w:tc>
        <w:tc>
          <w:tcPr>
            <w:tcW w:w="1000" w:type="dxa"/>
          </w:tcPr>
          <w:p w14:paraId="5709FF22" w14:textId="77777777" w:rsidR="00C67E15" w:rsidRDefault="00C67E15" w:rsidP="009F0EC6">
            <w:pPr>
              <w:pStyle w:val="normal0"/>
              <w:spacing w:before="0" w:line="240" w:lineRule="auto"/>
              <w:ind w:firstLine="0"/>
              <w:contextualSpacing w:val="0"/>
            </w:pPr>
          </w:p>
        </w:tc>
        <w:tc>
          <w:tcPr>
            <w:tcW w:w="1000" w:type="dxa"/>
          </w:tcPr>
          <w:p w14:paraId="358D9125" w14:textId="77777777" w:rsidR="00C67E15" w:rsidRDefault="00C67E15" w:rsidP="009F0EC6">
            <w:pPr>
              <w:pStyle w:val="normal0"/>
              <w:spacing w:before="0" w:line="240" w:lineRule="auto"/>
              <w:ind w:firstLine="0"/>
              <w:contextualSpacing w:val="0"/>
            </w:pPr>
          </w:p>
        </w:tc>
      </w:tr>
    </w:tbl>
    <w:p w14:paraId="6AD88740" w14:textId="77777777" w:rsidR="00C67E15" w:rsidRPr="00E44913" w:rsidRDefault="007D1B8E" w:rsidP="009F0EC6">
      <w:pPr>
        <w:pStyle w:val="Heading4"/>
        <w:spacing w:before="0" w:line="360" w:lineRule="auto"/>
        <w:contextualSpacing w:val="0"/>
        <w:rPr>
          <w:sz w:val="20"/>
        </w:rPr>
      </w:pPr>
      <w:bookmarkStart w:id="120" w:name="_j0h7rca3fq8z" w:colFirst="0" w:colLast="0"/>
      <w:bookmarkEnd w:id="120"/>
      <w:proofErr w:type="gramStart"/>
      <w:r>
        <w:rPr>
          <w:sz w:val="20"/>
          <w:szCs w:val="20"/>
          <w:vertAlign w:val="superscript"/>
        </w:rPr>
        <w:t>a</w:t>
      </w:r>
      <w:proofErr w:type="gramEnd"/>
      <w:r>
        <w:rPr>
          <w:sz w:val="20"/>
          <w:szCs w:val="20"/>
          <w:vertAlign w:val="superscript"/>
        </w:rPr>
        <w:t xml:space="preserve"> </w:t>
      </w:r>
      <w:r>
        <w:rPr>
          <w:sz w:val="20"/>
          <w:szCs w:val="20"/>
        </w:rPr>
        <w:t>Not part of core questionnaire (only asked of a random subset of respondents).</w:t>
      </w:r>
    </w:p>
    <w:p w14:paraId="0FC9829C" w14:textId="77777777" w:rsidR="00C67E15" w:rsidRPr="00E44913" w:rsidRDefault="007D1B8E" w:rsidP="009F0EC6">
      <w:pPr>
        <w:pStyle w:val="Heading4"/>
        <w:spacing w:before="0" w:line="360" w:lineRule="auto"/>
        <w:contextualSpacing w:val="0"/>
        <w:rPr>
          <w:sz w:val="20"/>
        </w:rPr>
      </w:pPr>
      <w:bookmarkStart w:id="121" w:name="_9sc0eleve8ql" w:colFirst="0" w:colLast="0"/>
      <w:bookmarkEnd w:id="121"/>
      <w:proofErr w:type="gramStart"/>
      <w:r>
        <w:rPr>
          <w:sz w:val="20"/>
          <w:szCs w:val="20"/>
          <w:vertAlign w:val="superscript"/>
        </w:rPr>
        <w:t>b</w:t>
      </w:r>
      <w:proofErr w:type="gramEnd"/>
      <w:r>
        <w:rPr>
          <w:sz w:val="20"/>
          <w:szCs w:val="20"/>
          <w:vertAlign w:val="superscript"/>
        </w:rPr>
        <w:t xml:space="preserve"> </w:t>
      </w:r>
      <w:r>
        <w:rPr>
          <w:sz w:val="20"/>
          <w:szCs w:val="20"/>
        </w:rPr>
        <w:t xml:space="preserve">Original wording: During the last 12 months] did you visit a crafts fair or a visual arts festival?” </w:t>
      </w:r>
    </w:p>
    <w:p w14:paraId="40A464ED" w14:textId="77777777" w:rsidR="00C67E15" w:rsidRPr="00E44913" w:rsidRDefault="007D1B8E" w:rsidP="009F0EC6">
      <w:pPr>
        <w:pStyle w:val="Heading4"/>
        <w:spacing w:before="0" w:line="360" w:lineRule="auto"/>
        <w:contextualSpacing w:val="0"/>
        <w:rPr>
          <w:sz w:val="20"/>
        </w:rPr>
      </w:pPr>
      <w:bookmarkStart w:id="122" w:name="_nqwimc6ipisp" w:colFirst="0" w:colLast="0"/>
      <w:bookmarkEnd w:id="122"/>
      <w:proofErr w:type="gramStart"/>
      <w:r>
        <w:rPr>
          <w:sz w:val="20"/>
          <w:szCs w:val="20"/>
          <w:vertAlign w:val="superscript"/>
        </w:rPr>
        <w:t>c</w:t>
      </w:r>
      <w:proofErr w:type="gramEnd"/>
      <w:r>
        <w:rPr>
          <w:sz w:val="20"/>
          <w:szCs w:val="20"/>
          <w:vertAlign w:val="superscript"/>
        </w:rPr>
        <w:t xml:space="preserve"> </w:t>
      </w:r>
      <w:r>
        <w:rPr>
          <w:sz w:val="20"/>
          <w:szCs w:val="20"/>
        </w:rPr>
        <w:t>Revised wording: “(During the last 12 months) did you visit an art fair or festival, or a craft fair or festival?”</w:t>
      </w:r>
    </w:p>
    <w:p w14:paraId="7DC0B228" w14:textId="77777777" w:rsidR="00C67E15" w:rsidRDefault="007D1B8E" w:rsidP="009F0EC6">
      <w:pPr>
        <w:pStyle w:val="normal0"/>
      </w:pPr>
      <w:r>
        <w:br w:type="page"/>
      </w:r>
    </w:p>
    <w:p w14:paraId="647FB578" w14:textId="77777777" w:rsidR="00C67E15" w:rsidRPr="00E44913" w:rsidRDefault="00C67E15" w:rsidP="009F0EC6">
      <w:pPr>
        <w:pStyle w:val="Heading4"/>
        <w:spacing w:before="0" w:line="360" w:lineRule="auto"/>
        <w:contextualSpacing w:val="0"/>
        <w:rPr>
          <w:sz w:val="20"/>
        </w:rPr>
      </w:pPr>
      <w:bookmarkStart w:id="123" w:name="_1saguccozqqd" w:colFirst="0" w:colLast="0"/>
      <w:bookmarkEnd w:id="123"/>
    </w:p>
    <w:p w14:paraId="1261B010" w14:textId="77777777" w:rsidR="00C67E15" w:rsidRDefault="007D1B8E" w:rsidP="009F0EC6">
      <w:pPr>
        <w:pStyle w:val="Heading4"/>
        <w:spacing w:before="0" w:line="360" w:lineRule="auto"/>
        <w:contextualSpacing w:val="0"/>
      </w:pPr>
      <w:bookmarkStart w:id="124" w:name="_riqt5sixvz2f" w:colFirst="0" w:colLast="0"/>
      <w:bookmarkEnd w:id="124"/>
      <w:commentRangeStart w:id="125"/>
      <w:r>
        <w:rPr>
          <w:b/>
          <w:sz w:val="26"/>
          <w:szCs w:val="26"/>
        </w:rPr>
        <w:t xml:space="preserve">Table </w:t>
      </w:r>
      <w:commentRangeEnd w:id="125"/>
      <w:r w:rsidR="00E44913">
        <w:rPr>
          <w:rStyle w:val="CommentReference"/>
        </w:rPr>
        <w:commentReference w:id="125"/>
      </w:r>
      <w:r>
        <w:rPr>
          <w:b/>
          <w:sz w:val="26"/>
          <w:szCs w:val="26"/>
        </w:rPr>
        <w:t xml:space="preserve">2. </w:t>
      </w:r>
    </w:p>
    <w:tbl>
      <w:tblPr>
        <w:tblW w:w="9216" w:type="dxa"/>
        <w:tblLayout w:type="fixed"/>
        <w:tblLook w:val="0600" w:firstRow="0" w:lastRow="0" w:firstColumn="0" w:lastColumn="0" w:noHBand="1" w:noVBand="1"/>
      </w:tblPr>
      <w:tblGrid>
        <w:gridCol w:w="1441"/>
        <w:gridCol w:w="1728"/>
        <w:gridCol w:w="1727"/>
        <w:gridCol w:w="1440"/>
        <w:gridCol w:w="1440"/>
        <w:gridCol w:w="1440"/>
      </w:tblGrid>
      <w:tr w:rsidR="00C67E15" w14:paraId="0A6613A3" w14:textId="77777777" w:rsidTr="00E44913">
        <w:trPr>
          <w:trHeight w:val="240"/>
        </w:trPr>
        <w:tc>
          <w:tcPr>
            <w:tcW w:w="9214" w:type="dxa"/>
            <w:gridSpan w:val="6"/>
          </w:tcPr>
          <w:p w14:paraId="48AC05C4" w14:textId="77777777" w:rsidR="00C67E15" w:rsidRPr="00E44913" w:rsidRDefault="007D1B8E" w:rsidP="009F0EC6">
            <w:pPr>
              <w:pStyle w:val="normal0"/>
              <w:spacing w:before="0" w:line="240" w:lineRule="auto"/>
              <w:ind w:firstLine="0"/>
              <w:contextualSpacing w:val="0"/>
              <w:jc w:val="center"/>
              <w:rPr>
                <w:b/>
                <w:color w:val="FFFFFF"/>
              </w:rPr>
            </w:pPr>
            <w:r>
              <w:rPr>
                <w:b/>
                <w:color w:val="FFFFFF"/>
              </w:rPr>
              <w:t>Age Effects</w:t>
            </w:r>
          </w:p>
        </w:tc>
      </w:tr>
      <w:tr w:rsidR="00C67E15" w14:paraId="01BEDB78" w14:textId="77777777" w:rsidTr="00E44913">
        <w:tc>
          <w:tcPr>
            <w:tcW w:w="1440" w:type="dxa"/>
          </w:tcPr>
          <w:p w14:paraId="090C091E" w14:textId="77777777" w:rsidR="00C67E15" w:rsidRPr="00E44913" w:rsidRDefault="007D1B8E" w:rsidP="009F0EC6">
            <w:pPr>
              <w:pStyle w:val="normal0"/>
              <w:spacing w:before="0" w:line="240" w:lineRule="auto"/>
              <w:ind w:firstLine="0"/>
              <w:contextualSpacing w:val="0"/>
              <w:rPr>
                <w:color w:val="FFFFFF"/>
              </w:rPr>
            </w:pPr>
            <w:r>
              <w:rPr>
                <w:color w:val="FFFFFF"/>
              </w:rPr>
              <w:t>N</w:t>
            </w:r>
          </w:p>
        </w:tc>
        <w:tc>
          <w:tcPr>
            <w:tcW w:w="1727" w:type="dxa"/>
          </w:tcPr>
          <w:p w14:paraId="2DC68084" w14:textId="77777777" w:rsidR="00C67E15" w:rsidRPr="00E44913" w:rsidRDefault="007D1B8E" w:rsidP="009F0EC6">
            <w:pPr>
              <w:pStyle w:val="normal0"/>
              <w:spacing w:before="0" w:line="240" w:lineRule="auto"/>
              <w:ind w:firstLine="0"/>
              <w:contextualSpacing w:val="0"/>
              <w:rPr>
                <w:color w:val="FFFFFF"/>
              </w:rPr>
            </w:pPr>
            <w:r>
              <w:rPr>
                <w:color w:val="FFFFFF"/>
              </w:rPr>
              <w:t>LL (Null)</w:t>
            </w:r>
          </w:p>
        </w:tc>
        <w:tc>
          <w:tcPr>
            <w:tcW w:w="1727" w:type="dxa"/>
          </w:tcPr>
          <w:p w14:paraId="333D1FC5" w14:textId="77777777" w:rsidR="00C67E15" w:rsidRPr="00E44913" w:rsidRDefault="007D1B8E" w:rsidP="009F0EC6">
            <w:pPr>
              <w:pStyle w:val="normal0"/>
              <w:spacing w:before="0" w:line="240" w:lineRule="auto"/>
              <w:ind w:firstLine="0"/>
              <w:contextualSpacing w:val="0"/>
              <w:rPr>
                <w:color w:val="FFFFFF"/>
              </w:rPr>
            </w:pPr>
            <w:r>
              <w:rPr>
                <w:color w:val="FFFFFF"/>
              </w:rPr>
              <w:t>LL (Model)</w:t>
            </w:r>
          </w:p>
        </w:tc>
        <w:tc>
          <w:tcPr>
            <w:tcW w:w="1440" w:type="dxa"/>
          </w:tcPr>
          <w:p w14:paraId="4AF89DE9" w14:textId="77777777" w:rsidR="00C67E15" w:rsidRPr="00E44913" w:rsidRDefault="007D1B8E" w:rsidP="009F0EC6">
            <w:pPr>
              <w:pStyle w:val="normal0"/>
              <w:spacing w:before="0" w:line="240" w:lineRule="auto"/>
              <w:ind w:firstLine="0"/>
              <w:contextualSpacing w:val="0"/>
              <w:jc w:val="center"/>
              <w:rPr>
                <w:color w:val="FFFFFF"/>
              </w:rPr>
            </w:pPr>
            <w:r>
              <w:rPr>
                <w:color w:val="FFFFFF"/>
              </w:rPr>
              <w:t>DF</w:t>
            </w:r>
          </w:p>
        </w:tc>
        <w:tc>
          <w:tcPr>
            <w:tcW w:w="1440" w:type="dxa"/>
          </w:tcPr>
          <w:p w14:paraId="3ECEC937" w14:textId="77777777" w:rsidR="00C67E15" w:rsidRPr="00E44913" w:rsidRDefault="007D1B8E" w:rsidP="009F0EC6">
            <w:pPr>
              <w:pStyle w:val="normal0"/>
              <w:spacing w:before="0" w:line="240" w:lineRule="auto"/>
              <w:ind w:firstLine="0"/>
              <w:contextualSpacing w:val="0"/>
              <w:rPr>
                <w:color w:val="FFFFFF"/>
              </w:rPr>
            </w:pPr>
            <w:r>
              <w:rPr>
                <w:color w:val="FFFFFF"/>
              </w:rPr>
              <w:t>AIC</w:t>
            </w:r>
          </w:p>
        </w:tc>
        <w:tc>
          <w:tcPr>
            <w:tcW w:w="1440" w:type="dxa"/>
          </w:tcPr>
          <w:p w14:paraId="1E0A0718" w14:textId="77777777" w:rsidR="00C67E15" w:rsidRPr="00E44913" w:rsidRDefault="00C67E15" w:rsidP="009F0EC6">
            <w:pPr>
              <w:pStyle w:val="normal0"/>
              <w:spacing w:before="0" w:line="240" w:lineRule="auto"/>
              <w:ind w:firstLine="0"/>
              <w:contextualSpacing w:val="0"/>
              <w:rPr>
                <w:color w:val="FFFFFF"/>
              </w:rPr>
            </w:pPr>
          </w:p>
        </w:tc>
      </w:tr>
      <w:tr w:rsidR="00C67E15" w14:paraId="27602069" w14:textId="77777777" w:rsidTr="00E44913">
        <w:tc>
          <w:tcPr>
            <w:tcW w:w="1440" w:type="dxa"/>
          </w:tcPr>
          <w:p w14:paraId="11F64378" w14:textId="77777777" w:rsidR="00C67E15" w:rsidRDefault="007D1B8E" w:rsidP="009F0EC6">
            <w:pPr>
              <w:pStyle w:val="normal0"/>
              <w:spacing w:before="0" w:line="240" w:lineRule="auto"/>
              <w:ind w:firstLine="0"/>
              <w:contextualSpacing w:val="0"/>
            </w:pPr>
            <w:r>
              <w:t>97027</w:t>
            </w:r>
          </w:p>
        </w:tc>
        <w:tc>
          <w:tcPr>
            <w:tcW w:w="1727" w:type="dxa"/>
          </w:tcPr>
          <w:p w14:paraId="2F8700E7" w14:textId="77777777" w:rsidR="00C67E15" w:rsidRDefault="007D1B8E" w:rsidP="009F0EC6">
            <w:pPr>
              <w:pStyle w:val="normal0"/>
              <w:spacing w:before="0" w:line="240" w:lineRule="auto"/>
              <w:ind w:firstLine="0"/>
              <w:contextualSpacing w:val="0"/>
            </w:pPr>
            <w:r>
              <w:t>-30203.16848</w:t>
            </w:r>
          </w:p>
        </w:tc>
        <w:tc>
          <w:tcPr>
            <w:tcW w:w="1727" w:type="dxa"/>
          </w:tcPr>
          <w:p w14:paraId="693A7223" w14:textId="77777777" w:rsidR="00C67E15" w:rsidRDefault="007D1B8E" w:rsidP="009F0EC6">
            <w:pPr>
              <w:pStyle w:val="normal0"/>
              <w:spacing w:before="0" w:line="240" w:lineRule="auto"/>
              <w:ind w:firstLine="0"/>
              <w:contextualSpacing w:val="0"/>
            </w:pPr>
            <w:r>
              <w:t>-29732.68584</w:t>
            </w:r>
          </w:p>
        </w:tc>
        <w:tc>
          <w:tcPr>
            <w:tcW w:w="1440" w:type="dxa"/>
          </w:tcPr>
          <w:p w14:paraId="023988DA" w14:textId="77777777" w:rsidR="00C67E15" w:rsidRDefault="007D1B8E" w:rsidP="009F0EC6">
            <w:pPr>
              <w:pStyle w:val="normal0"/>
              <w:spacing w:before="0" w:line="240" w:lineRule="auto"/>
              <w:ind w:firstLine="0"/>
              <w:contextualSpacing w:val="0"/>
              <w:jc w:val="center"/>
            </w:pPr>
            <w:r>
              <w:t>15</w:t>
            </w:r>
          </w:p>
        </w:tc>
        <w:tc>
          <w:tcPr>
            <w:tcW w:w="1440" w:type="dxa"/>
          </w:tcPr>
          <w:p w14:paraId="7443C864" w14:textId="77777777" w:rsidR="00C67E15" w:rsidRDefault="007D1B8E" w:rsidP="009F0EC6">
            <w:pPr>
              <w:pStyle w:val="normal0"/>
              <w:spacing w:before="0" w:line="240" w:lineRule="auto"/>
              <w:ind w:firstLine="0"/>
              <w:contextualSpacing w:val="0"/>
            </w:pPr>
            <w:r>
              <w:t>59495.37168</w:t>
            </w:r>
          </w:p>
        </w:tc>
        <w:tc>
          <w:tcPr>
            <w:tcW w:w="1440" w:type="dxa"/>
          </w:tcPr>
          <w:p w14:paraId="676BA32F" w14:textId="77777777" w:rsidR="00C67E15" w:rsidRDefault="007D1B8E" w:rsidP="009F0EC6">
            <w:pPr>
              <w:pStyle w:val="normal0"/>
              <w:spacing w:before="0" w:line="240" w:lineRule="auto"/>
              <w:ind w:firstLine="0"/>
              <w:contextualSpacing w:val="0"/>
            </w:pPr>
            <w:proofErr w:type="gramStart"/>
            <w:r>
              <w:t>jazz</w:t>
            </w:r>
            <w:proofErr w:type="gramEnd"/>
          </w:p>
        </w:tc>
      </w:tr>
      <w:tr w:rsidR="00C67E15" w14:paraId="32629EE1" w14:textId="77777777" w:rsidTr="00E44913">
        <w:tc>
          <w:tcPr>
            <w:tcW w:w="1440" w:type="dxa"/>
          </w:tcPr>
          <w:p w14:paraId="2DC829EC" w14:textId="77777777" w:rsidR="00C67E15" w:rsidRDefault="007D1B8E" w:rsidP="009F0EC6">
            <w:pPr>
              <w:pStyle w:val="normal0"/>
              <w:spacing w:before="0" w:line="240" w:lineRule="auto"/>
              <w:ind w:firstLine="0"/>
              <w:contextualSpacing w:val="0"/>
            </w:pPr>
            <w:r>
              <w:t>96972</w:t>
            </w:r>
          </w:p>
        </w:tc>
        <w:tc>
          <w:tcPr>
            <w:tcW w:w="1727" w:type="dxa"/>
          </w:tcPr>
          <w:p w14:paraId="72FD0B0A" w14:textId="77777777" w:rsidR="00C67E15" w:rsidRDefault="007D1B8E" w:rsidP="009F0EC6">
            <w:pPr>
              <w:pStyle w:val="normal0"/>
              <w:spacing w:before="0" w:line="240" w:lineRule="auto"/>
              <w:ind w:firstLine="0"/>
              <w:contextualSpacing w:val="0"/>
            </w:pPr>
            <w:r>
              <w:t>-34992.152</w:t>
            </w:r>
          </w:p>
        </w:tc>
        <w:tc>
          <w:tcPr>
            <w:tcW w:w="1727" w:type="dxa"/>
          </w:tcPr>
          <w:p w14:paraId="709D6355" w14:textId="77777777" w:rsidR="00C67E15" w:rsidRDefault="007D1B8E" w:rsidP="009F0EC6">
            <w:pPr>
              <w:pStyle w:val="normal0"/>
              <w:spacing w:before="0" w:line="240" w:lineRule="auto"/>
              <w:ind w:firstLine="0"/>
              <w:contextualSpacing w:val="0"/>
            </w:pPr>
            <w:r>
              <w:t>-34854.72026</w:t>
            </w:r>
          </w:p>
        </w:tc>
        <w:tc>
          <w:tcPr>
            <w:tcW w:w="1440" w:type="dxa"/>
          </w:tcPr>
          <w:p w14:paraId="60F8B8E0" w14:textId="77777777" w:rsidR="00C67E15" w:rsidRDefault="007D1B8E" w:rsidP="009F0EC6">
            <w:pPr>
              <w:pStyle w:val="normal0"/>
              <w:spacing w:before="0" w:line="240" w:lineRule="auto"/>
              <w:ind w:firstLine="0"/>
              <w:contextualSpacing w:val="0"/>
              <w:jc w:val="center"/>
            </w:pPr>
            <w:r>
              <w:t>16</w:t>
            </w:r>
          </w:p>
        </w:tc>
        <w:tc>
          <w:tcPr>
            <w:tcW w:w="1440" w:type="dxa"/>
          </w:tcPr>
          <w:p w14:paraId="40D95319" w14:textId="77777777" w:rsidR="00C67E15" w:rsidRDefault="007D1B8E" w:rsidP="009F0EC6">
            <w:pPr>
              <w:pStyle w:val="normal0"/>
              <w:spacing w:before="0" w:line="240" w:lineRule="auto"/>
              <w:ind w:firstLine="0"/>
              <w:contextualSpacing w:val="0"/>
            </w:pPr>
            <w:r>
              <w:t>69741.44052</w:t>
            </w:r>
          </w:p>
        </w:tc>
        <w:tc>
          <w:tcPr>
            <w:tcW w:w="1440" w:type="dxa"/>
          </w:tcPr>
          <w:p w14:paraId="6C55CB3C" w14:textId="77777777" w:rsidR="00C67E15" w:rsidRDefault="007D1B8E" w:rsidP="009F0EC6">
            <w:pPr>
              <w:pStyle w:val="normal0"/>
              <w:spacing w:before="0" w:line="240" w:lineRule="auto"/>
              <w:ind w:firstLine="0"/>
              <w:contextualSpacing w:val="0"/>
            </w:pPr>
            <w:proofErr w:type="gramStart"/>
            <w:r>
              <w:t>classical</w:t>
            </w:r>
            <w:proofErr w:type="gramEnd"/>
          </w:p>
        </w:tc>
      </w:tr>
      <w:tr w:rsidR="00C67E15" w14:paraId="6D60B740" w14:textId="77777777" w:rsidTr="00E44913">
        <w:tc>
          <w:tcPr>
            <w:tcW w:w="1440" w:type="dxa"/>
          </w:tcPr>
          <w:p w14:paraId="0C75EEBD" w14:textId="77777777" w:rsidR="00C67E15" w:rsidRDefault="007D1B8E" w:rsidP="009F0EC6">
            <w:pPr>
              <w:pStyle w:val="normal0"/>
              <w:spacing w:before="0" w:line="240" w:lineRule="auto"/>
              <w:ind w:firstLine="0"/>
              <w:contextualSpacing w:val="0"/>
            </w:pPr>
            <w:r>
              <w:t>96912</w:t>
            </w:r>
          </w:p>
        </w:tc>
        <w:tc>
          <w:tcPr>
            <w:tcW w:w="1727" w:type="dxa"/>
          </w:tcPr>
          <w:p w14:paraId="235489B3" w14:textId="77777777" w:rsidR="00C67E15" w:rsidRDefault="007D1B8E" w:rsidP="009F0EC6">
            <w:pPr>
              <w:pStyle w:val="normal0"/>
              <w:spacing w:before="0" w:line="240" w:lineRule="auto"/>
              <w:ind w:firstLine="0"/>
              <w:contextualSpacing w:val="0"/>
            </w:pPr>
            <w:r>
              <w:t>-12322.41823</w:t>
            </w:r>
          </w:p>
        </w:tc>
        <w:tc>
          <w:tcPr>
            <w:tcW w:w="1727" w:type="dxa"/>
          </w:tcPr>
          <w:p w14:paraId="7D3364FA" w14:textId="77777777" w:rsidR="00C67E15" w:rsidRDefault="007D1B8E" w:rsidP="009F0EC6">
            <w:pPr>
              <w:pStyle w:val="normal0"/>
              <w:spacing w:before="0" w:line="240" w:lineRule="auto"/>
              <w:ind w:firstLine="0"/>
              <w:contextualSpacing w:val="0"/>
            </w:pPr>
            <w:r>
              <w:t>-12278.41295</w:t>
            </w:r>
          </w:p>
        </w:tc>
        <w:tc>
          <w:tcPr>
            <w:tcW w:w="1440" w:type="dxa"/>
          </w:tcPr>
          <w:p w14:paraId="37B5B991" w14:textId="77777777" w:rsidR="00C67E15" w:rsidRDefault="007D1B8E" w:rsidP="009F0EC6">
            <w:pPr>
              <w:pStyle w:val="normal0"/>
              <w:spacing w:before="0" w:line="240" w:lineRule="auto"/>
              <w:ind w:firstLine="0"/>
              <w:contextualSpacing w:val="0"/>
              <w:jc w:val="center"/>
            </w:pPr>
            <w:r>
              <w:t>15</w:t>
            </w:r>
          </w:p>
        </w:tc>
        <w:tc>
          <w:tcPr>
            <w:tcW w:w="1440" w:type="dxa"/>
          </w:tcPr>
          <w:p w14:paraId="519CB522" w14:textId="77777777" w:rsidR="00C67E15" w:rsidRDefault="007D1B8E" w:rsidP="009F0EC6">
            <w:pPr>
              <w:pStyle w:val="normal0"/>
              <w:spacing w:before="0" w:line="240" w:lineRule="auto"/>
              <w:ind w:firstLine="0"/>
              <w:contextualSpacing w:val="0"/>
            </w:pPr>
            <w:r>
              <w:t>24586.8259</w:t>
            </w:r>
          </w:p>
        </w:tc>
        <w:tc>
          <w:tcPr>
            <w:tcW w:w="1440" w:type="dxa"/>
          </w:tcPr>
          <w:p w14:paraId="03DDC1CE" w14:textId="77777777" w:rsidR="00C67E15" w:rsidRDefault="007D1B8E" w:rsidP="009F0EC6">
            <w:pPr>
              <w:pStyle w:val="normal0"/>
              <w:spacing w:before="0" w:line="240" w:lineRule="auto"/>
              <w:ind w:firstLine="0"/>
              <w:contextualSpacing w:val="0"/>
            </w:pPr>
            <w:proofErr w:type="gramStart"/>
            <w:r>
              <w:t>opera</w:t>
            </w:r>
            <w:proofErr w:type="gramEnd"/>
          </w:p>
        </w:tc>
      </w:tr>
      <w:tr w:rsidR="00C67E15" w14:paraId="3575D8D1" w14:textId="77777777" w:rsidTr="00E44913">
        <w:tc>
          <w:tcPr>
            <w:tcW w:w="1440" w:type="dxa"/>
          </w:tcPr>
          <w:p w14:paraId="32631407" w14:textId="77777777" w:rsidR="00C67E15" w:rsidRDefault="007D1B8E" w:rsidP="009F0EC6">
            <w:pPr>
              <w:pStyle w:val="normal0"/>
              <w:spacing w:before="0" w:line="240" w:lineRule="auto"/>
              <w:ind w:firstLine="0"/>
              <w:contextualSpacing w:val="0"/>
            </w:pPr>
            <w:r>
              <w:t>96869</w:t>
            </w:r>
          </w:p>
        </w:tc>
        <w:tc>
          <w:tcPr>
            <w:tcW w:w="1727" w:type="dxa"/>
          </w:tcPr>
          <w:p w14:paraId="1E041B19" w14:textId="77777777" w:rsidR="00C67E15" w:rsidRDefault="007D1B8E" w:rsidP="009F0EC6">
            <w:pPr>
              <w:pStyle w:val="normal0"/>
              <w:spacing w:before="0" w:line="240" w:lineRule="auto"/>
              <w:ind w:firstLine="0"/>
              <w:contextualSpacing w:val="0"/>
            </w:pPr>
            <w:r>
              <w:t>-45081.47682</w:t>
            </w:r>
          </w:p>
        </w:tc>
        <w:tc>
          <w:tcPr>
            <w:tcW w:w="1727" w:type="dxa"/>
          </w:tcPr>
          <w:p w14:paraId="1E905DA9" w14:textId="77777777" w:rsidR="00C67E15" w:rsidRDefault="007D1B8E" w:rsidP="009F0EC6">
            <w:pPr>
              <w:pStyle w:val="normal0"/>
              <w:spacing w:before="0" w:line="240" w:lineRule="auto"/>
              <w:ind w:firstLine="0"/>
              <w:contextualSpacing w:val="0"/>
            </w:pPr>
            <w:r>
              <w:t>-44793.30944</w:t>
            </w:r>
          </w:p>
        </w:tc>
        <w:tc>
          <w:tcPr>
            <w:tcW w:w="1440" w:type="dxa"/>
          </w:tcPr>
          <w:p w14:paraId="2365CC20" w14:textId="77777777" w:rsidR="00C67E15" w:rsidRDefault="007D1B8E" w:rsidP="009F0EC6">
            <w:pPr>
              <w:pStyle w:val="normal0"/>
              <w:spacing w:before="0" w:line="240" w:lineRule="auto"/>
              <w:ind w:firstLine="0"/>
              <w:contextualSpacing w:val="0"/>
              <w:jc w:val="center"/>
            </w:pPr>
            <w:r>
              <w:t>15</w:t>
            </w:r>
          </w:p>
        </w:tc>
        <w:tc>
          <w:tcPr>
            <w:tcW w:w="1440" w:type="dxa"/>
          </w:tcPr>
          <w:p w14:paraId="1354B627" w14:textId="77777777" w:rsidR="00C67E15" w:rsidRDefault="007D1B8E" w:rsidP="009F0EC6">
            <w:pPr>
              <w:pStyle w:val="normal0"/>
              <w:spacing w:before="0" w:line="240" w:lineRule="auto"/>
              <w:ind w:firstLine="0"/>
              <w:contextualSpacing w:val="0"/>
            </w:pPr>
            <w:r>
              <w:t>89616.61887</w:t>
            </w:r>
          </w:p>
        </w:tc>
        <w:tc>
          <w:tcPr>
            <w:tcW w:w="1440" w:type="dxa"/>
          </w:tcPr>
          <w:p w14:paraId="33DCB76E" w14:textId="77777777" w:rsidR="00C67E15" w:rsidRDefault="007D1B8E" w:rsidP="009F0EC6">
            <w:pPr>
              <w:pStyle w:val="normal0"/>
              <w:spacing w:before="0" w:line="240" w:lineRule="auto"/>
              <w:ind w:firstLine="0"/>
              <w:contextualSpacing w:val="0"/>
            </w:pPr>
            <w:proofErr w:type="gramStart"/>
            <w:r>
              <w:t>musical</w:t>
            </w:r>
            <w:proofErr w:type="gramEnd"/>
          </w:p>
        </w:tc>
      </w:tr>
      <w:tr w:rsidR="00C67E15" w14:paraId="3689504B" w14:textId="77777777" w:rsidTr="00E44913">
        <w:tc>
          <w:tcPr>
            <w:tcW w:w="1440" w:type="dxa"/>
          </w:tcPr>
          <w:p w14:paraId="050BAC50" w14:textId="77777777" w:rsidR="00C67E15" w:rsidRDefault="007D1B8E" w:rsidP="009F0EC6">
            <w:pPr>
              <w:pStyle w:val="normal0"/>
              <w:spacing w:before="0" w:line="240" w:lineRule="auto"/>
              <w:ind w:firstLine="0"/>
              <w:contextualSpacing w:val="0"/>
            </w:pPr>
            <w:r>
              <w:t>96845</w:t>
            </w:r>
          </w:p>
        </w:tc>
        <w:tc>
          <w:tcPr>
            <w:tcW w:w="1727" w:type="dxa"/>
          </w:tcPr>
          <w:p w14:paraId="2BDE1922" w14:textId="77777777" w:rsidR="00C67E15" w:rsidRDefault="007D1B8E" w:rsidP="009F0EC6">
            <w:pPr>
              <w:pStyle w:val="normal0"/>
              <w:spacing w:before="0" w:line="240" w:lineRule="auto"/>
              <w:ind w:firstLine="0"/>
              <w:contextualSpacing w:val="0"/>
            </w:pPr>
            <w:r>
              <w:t>-15817.60051</w:t>
            </w:r>
          </w:p>
        </w:tc>
        <w:tc>
          <w:tcPr>
            <w:tcW w:w="1727" w:type="dxa"/>
          </w:tcPr>
          <w:p w14:paraId="0276FD4E" w14:textId="77777777" w:rsidR="00C67E15" w:rsidRDefault="007D1B8E" w:rsidP="009F0EC6">
            <w:pPr>
              <w:pStyle w:val="normal0"/>
              <w:spacing w:before="0" w:line="240" w:lineRule="auto"/>
              <w:ind w:firstLine="0"/>
              <w:contextualSpacing w:val="0"/>
            </w:pPr>
            <w:r>
              <w:t>-15721.92135</w:t>
            </w:r>
          </w:p>
        </w:tc>
        <w:tc>
          <w:tcPr>
            <w:tcW w:w="1440" w:type="dxa"/>
          </w:tcPr>
          <w:p w14:paraId="29E0458C" w14:textId="77777777" w:rsidR="00C67E15" w:rsidRDefault="007D1B8E" w:rsidP="009F0EC6">
            <w:pPr>
              <w:pStyle w:val="normal0"/>
              <w:spacing w:before="0" w:line="240" w:lineRule="auto"/>
              <w:ind w:firstLine="0"/>
              <w:contextualSpacing w:val="0"/>
              <w:jc w:val="center"/>
            </w:pPr>
            <w:r>
              <w:t>15</w:t>
            </w:r>
          </w:p>
        </w:tc>
        <w:tc>
          <w:tcPr>
            <w:tcW w:w="1440" w:type="dxa"/>
          </w:tcPr>
          <w:p w14:paraId="1BD8C5C9" w14:textId="77777777" w:rsidR="00C67E15" w:rsidRDefault="007D1B8E" w:rsidP="009F0EC6">
            <w:pPr>
              <w:pStyle w:val="normal0"/>
              <w:spacing w:before="0" w:line="240" w:lineRule="auto"/>
              <w:ind w:firstLine="0"/>
              <w:contextualSpacing w:val="0"/>
            </w:pPr>
            <w:r>
              <w:t>31473.84271</w:t>
            </w:r>
          </w:p>
        </w:tc>
        <w:tc>
          <w:tcPr>
            <w:tcW w:w="1440" w:type="dxa"/>
          </w:tcPr>
          <w:p w14:paraId="662863CB" w14:textId="77777777" w:rsidR="00C67E15" w:rsidRDefault="007D1B8E" w:rsidP="009F0EC6">
            <w:pPr>
              <w:pStyle w:val="normal0"/>
              <w:spacing w:before="0" w:line="240" w:lineRule="auto"/>
              <w:ind w:firstLine="0"/>
              <w:contextualSpacing w:val="0"/>
            </w:pPr>
            <w:proofErr w:type="gramStart"/>
            <w:r>
              <w:t>ballet</w:t>
            </w:r>
            <w:proofErr w:type="gramEnd"/>
          </w:p>
        </w:tc>
      </w:tr>
      <w:tr w:rsidR="00C67E15" w14:paraId="778BEA44" w14:textId="77777777" w:rsidTr="00E44913">
        <w:tc>
          <w:tcPr>
            <w:tcW w:w="1440" w:type="dxa"/>
          </w:tcPr>
          <w:p w14:paraId="4CDA1627" w14:textId="77777777" w:rsidR="00C67E15" w:rsidRDefault="007D1B8E" w:rsidP="009F0EC6">
            <w:pPr>
              <w:pStyle w:val="normal0"/>
              <w:spacing w:before="0" w:line="240" w:lineRule="auto"/>
              <w:ind w:firstLine="0"/>
              <w:contextualSpacing w:val="0"/>
            </w:pPr>
            <w:r>
              <w:t>96723</w:t>
            </w:r>
          </w:p>
        </w:tc>
        <w:tc>
          <w:tcPr>
            <w:tcW w:w="1727" w:type="dxa"/>
          </w:tcPr>
          <w:p w14:paraId="6590A5E4" w14:textId="77777777" w:rsidR="00C67E15" w:rsidRDefault="007D1B8E" w:rsidP="009F0EC6">
            <w:pPr>
              <w:pStyle w:val="normal0"/>
              <w:spacing w:before="0" w:line="240" w:lineRule="auto"/>
              <w:ind w:firstLine="0"/>
              <w:contextualSpacing w:val="0"/>
            </w:pPr>
            <w:r>
              <w:t>-53431.39911</w:t>
            </w:r>
          </w:p>
        </w:tc>
        <w:tc>
          <w:tcPr>
            <w:tcW w:w="1727" w:type="dxa"/>
          </w:tcPr>
          <w:p w14:paraId="7938FFDB" w14:textId="77777777" w:rsidR="00C67E15" w:rsidRDefault="007D1B8E" w:rsidP="009F0EC6">
            <w:pPr>
              <w:pStyle w:val="normal0"/>
              <w:spacing w:before="0" w:line="240" w:lineRule="auto"/>
              <w:ind w:firstLine="0"/>
              <w:contextualSpacing w:val="0"/>
            </w:pPr>
            <w:r>
              <w:t>-52949.19402</w:t>
            </w:r>
          </w:p>
        </w:tc>
        <w:tc>
          <w:tcPr>
            <w:tcW w:w="1440" w:type="dxa"/>
          </w:tcPr>
          <w:p w14:paraId="1ABC6135" w14:textId="77777777" w:rsidR="00C67E15" w:rsidRDefault="007D1B8E" w:rsidP="009F0EC6">
            <w:pPr>
              <w:pStyle w:val="normal0"/>
              <w:spacing w:before="0" w:line="240" w:lineRule="auto"/>
              <w:ind w:firstLine="0"/>
              <w:contextualSpacing w:val="0"/>
              <w:jc w:val="center"/>
            </w:pPr>
            <w:r>
              <w:t>16</w:t>
            </w:r>
          </w:p>
        </w:tc>
        <w:tc>
          <w:tcPr>
            <w:tcW w:w="1440" w:type="dxa"/>
          </w:tcPr>
          <w:p w14:paraId="47E9F06A" w14:textId="77777777" w:rsidR="00C67E15" w:rsidRDefault="007D1B8E" w:rsidP="009F0EC6">
            <w:pPr>
              <w:pStyle w:val="normal0"/>
              <w:spacing w:before="0" w:line="240" w:lineRule="auto"/>
              <w:ind w:firstLine="0"/>
              <w:contextualSpacing w:val="0"/>
            </w:pPr>
            <w:r>
              <w:t>105930.388</w:t>
            </w:r>
          </w:p>
        </w:tc>
        <w:tc>
          <w:tcPr>
            <w:tcW w:w="1440" w:type="dxa"/>
          </w:tcPr>
          <w:p w14:paraId="74B8FB41" w14:textId="77777777" w:rsidR="00C67E15" w:rsidRDefault="007D1B8E" w:rsidP="009F0EC6">
            <w:pPr>
              <w:pStyle w:val="normal0"/>
              <w:spacing w:before="0" w:line="240" w:lineRule="auto"/>
              <w:ind w:firstLine="0"/>
              <w:contextualSpacing w:val="0"/>
            </w:pPr>
            <w:proofErr w:type="spellStart"/>
            <w:proofErr w:type="gramStart"/>
            <w:r>
              <w:t>artmuseum</w:t>
            </w:r>
            <w:proofErr w:type="spellEnd"/>
            <w:proofErr w:type="gramEnd"/>
          </w:p>
        </w:tc>
      </w:tr>
      <w:tr w:rsidR="00C67E15" w14:paraId="71AB8F1D" w14:textId="77777777" w:rsidTr="00E44913">
        <w:tc>
          <w:tcPr>
            <w:tcW w:w="1440" w:type="dxa"/>
          </w:tcPr>
          <w:p w14:paraId="4DA72412" w14:textId="77777777" w:rsidR="00C67E15" w:rsidRDefault="007D1B8E" w:rsidP="009F0EC6">
            <w:pPr>
              <w:pStyle w:val="normal0"/>
              <w:spacing w:before="0" w:line="240" w:lineRule="auto"/>
              <w:ind w:firstLine="0"/>
              <w:contextualSpacing w:val="0"/>
            </w:pPr>
            <w:r>
              <w:t>72337</w:t>
            </w:r>
          </w:p>
        </w:tc>
        <w:tc>
          <w:tcPr>
            <w:tcW w:w="1727" w:type="dxa"/>
          </w:tcPr>
          <w:p w14:paraId="201F99A3" w14:textId="77777777" w:rsidR="00C67E15" w:rsidRDefault="007D1B8E" w:rsidP="009F0EC6">
            <w:pPr>
              <w:pStyle w:val="normal0"/>
              <w:spacing w:before="0" w:line="240" w:lineRule="auto"/>
              <w:ind w:firstLine="0"/>
              <w:contextualSpacing w:val="0"/>
            </w:pPr>
            <w:r>
              <w:t>-45277.88053</w:t>
            </w:r>
          </w:p>
        </w:tc>
        <w:tc>
          <w:tcPr>
            <w:tcW w:w="1727" w:type="dxa"/>
          </w:tcPr>
          <w:p w14:paraId="7755C68C" w14:textId="77777777" w:rsidR="00C67E15" w:rsidRDefault="007D1B8E" w:rsidP="009F0EC6">
            <w:pPr>
              <w:pStyle w:val="normal0"/>
              <w:spacing w:before="0" w:line="240" w:lineRule="auto"/>
              <w:ind w:firstLine="0"/>
              <w:contextualSpacing w:val="0"/>
            </w:pPr>
            <w:r>
              <w:t>-44697.44316</w:t>
            </w:r>
          </w:p>
        </w:tc>
        <w:tc>
          <w:tcPr>
            <w:tcW w:w="1440" w:type="dxa"/>
          </w:tcPr>
          <w:p w14:paraId="30AEDBE0" w14:textId="77777777" w:rsidR="00C67E15" w:rsidRDefault="007D1B8E" w:rsidP="009F0EC6">
            <w:pPr>
              <w:pStyle w:val="normal0"/>
              <w:spacing w:before="0" w:line="240" w:lineRule="auto"/>
              <w:ind w:firstLine="0"/>
              <w:contextualSpacing w:val="0"/>
              <w:jc w:val="center"/>
            </w:pPr>
            <w:r>
              <w:t>15</w:t>
            </w:r>
          </w:p>
        </w:tc>
        <w:tc>
          <w:tcPr>
            <w:tcW w:w="1440" w:type="dxa"/>
          </w:tcPr>
          <w:p w14:paraId="3F35F352" w14:textId="77777777" w:rsidR="00C67E15" w:rsidRDefault="007D1B8E" w:rsidP="009F0EC6">
            <w:pPr>
              <w:pStyle w:val="normal0"/>
              <w:spacing w:before="0" w:line="240" w:lineRule="auto"/>
              <w:ind w:firstLine="0"/>
              <w:contextualSpacing w:val="0"/>
            </w:pPr>
            <w:r>
              <w:t>89424.88631</w:t>
            </w:r>
          </w:p>
        </w:tc>
        <w:tc>
          <w:tcPr>
            <w:tcW w:w="1440" w:type="dxa"/>
          </w:tcPr>
          <w:p w14:paraId="13C46D8E" w14:textId="77777777" w:rsidR="00C67E15" w:rsidRDefault="007D1B8E" w:rsidP="009F0EC6">
            <w:pPr>
              <w:pStyle w:val="normal0"/>
              <w:spacing w:before="0" w:line="240" w:lineRule="auto"/>
              <w:ind w:firstLine="0"/>
              <w:contextualSpacing w:val="0"/>
            </w:pPr>
            <w:proofErr w:type="spellStart"/>
            <w:proofErr w:type="gramStart"/>
            <w:r>
              <w:t>craft</w:t>
            </w:r>
            <w:proofErr w:type="gramEnd"/>
            <w:r>
              <w:t>_fair</w:t>
            </w:r>
            <w:proofErr w:type="spellEnd"/>
          </w:p>
        </w:tc>
      </w:tr>
      <w:tr w:rsidR="00C67E15" w14:paraId="5DA9ADCB" w14:textId="77777777" w:rsidTr="00E44913">
        <w:tc>
          <w:tcPr>
            <w:tcW w:w="1440" w:type="dxa"/>
          </w:tcPr>
          <w:p w14:paraId="5D9E4405" w14:textId="77777777" w:rsidR="00C67E15" w:rsidRDefault="007D1B8E" w:rsidP="009F0EC6">
            <w:pPr>
              <w:pStyle w:val="normal0"/>
              <w:spacing w:before="0" w:line="240" w:lineRule="auto"/>
              <w:ind w:firstLine="0"/>
              <w:contextualSpacing w:val="0"/>
            </w:pPr>
            <w:r>
              <w:t>72297</w:t>
            </w:r>
          </w:p>
        </w:tc>
        <w:tc>
          <w:tcPr>
            <w:tcW w:w="1727" w:type="dxa"/>
          </w:tcPr>
          <w:p w14:paraId="1BA450A8" w14:textId="77777777" w:rsidR="00C67E15" w:rsidRDefault="007D1B8E" w:rsidP="009F0EC6">
            <w:pPr>
              <w:pStyle w:val="normal0"/>
              <w:spacing w:before="0" w:line="240" w:lineRule="auto"/>
              <w:ind w:firstLine="0"/>
              <w:contextualSpacing w:val="0"/>
            </w:pPr>
            <w:r>
              <w:t>-44412.32366</w:t>
            </w:r>
          </w:p>
        </w:tc>
        <w:tc>
          <w:tcPr>
            <w:tcW w:w="1727" w:type="dxa"/>
          </w:tcPr>
          <w:p w14:paraId="09B6F289" w14:textId="77777777" w:rsidR="00C67E15" w:rsidRDefault="007D1B8E" w:rsidP="009F0EC6">
            <w:pPr>
              <w:pStyle w:val="normal0"/>
              <w:spacing w:before="0" w:line="240" w:lineRule="auto"/>
              <w:ind w:firstLine="0"/>
              <w:contextualSpacing w:val="0"/>
            </w:pPr>
            <w:r>
              <w:t>-43764.12136</w:t>
            </w:r>
          </w:p>
        </w:tc>
        <w:tc>
          <w:tcPr>
            <w:tcW w:w="1440" w:type="dxa"/>
          </w:tcPr>
          <w:p w14:paraId="4A831968" w14:textId="77777777" w:rsidR="00C67E15" w:rsidRDefault="007D1B8E" w:rsidP="009F0EC6">
            <w:pPr>
              <w:pStyle w:val="normal0"/>
              <w:spacing w:before="0" w:line="240" w:lineRule="auto"/>
              <w:ind w:firstLine="0"/>
              <w:contextualSpacing w:val="0"/>
              <w:jc w:val="center"/>
            </w:pPr>
            <w:r>
              <w:t>15</w:t>
            </w:r>
          </w:p>
        </w:tc>
        <w:tc>
          <w:tcPr>
            <w:tcW w:w="1440" w:type="dxa"/>
          </w:tcPr>
          <w:p w14:paraId="227287FF" w14:textId="77777777" w:rsidR="00C67E15" w:rsidRDefault="007D1B8E" w:rsidP="009F0EC6">
            <w:pPr>
              <w:pStyle w:val="normal0"/>
              <w:spacing w:before="0" w:line="240" w:lineRule="auto"/>
              <w:ind w:firstLine="0"/>
              <w:contextualSpacing w:val="0"/>
            </w:pPr>
            <w:r>
              <w:t>87558.24273</w:t>
            </w:r>
          </w:p>
        </w:tc>
        <w:tc>
          <w:tcPr>
            <w:tcW w:w="1440" w:type="dxa"/>
          </w:tcPr>
          <w:p w14:paraId="1ED7F39E" w14:textId="77777777" w:rsidR="00C67E15" w:rsidRDefault="007D1B8E" w:rsidP="009F0EC6">
            <w:pPr>
              <w:pStyle w:val="normal0"/>
              <w:spacing w:before="0" w:line="240" w:lineRule="auto"/>
              <w:ind w:firstLine="0"/>
              <w:contextualSpacing w:val="0"/>
            </w:pPr>
            <w:proofErr w:type="gramStart"/>
            <w:r>
              <w:t>park</w:t>
            </w:r>
            <w:proofErr w:type="gramEnd"/>
          </w:p>
        </w:tc>
      </w:tr>
      <w:tr w:rsidR="00C67E15" w14:paraId="48D4691C" w14:textId="77777777" w:rsidTr="00E44913">
        <w:tc>
          <w:tcPr>
            <w:tcW w:w="9214" w:type="dxa"/>
            <w:gridSpan w:val="6"/>
          </w:tcPr>
          <w:p w14:paraId="517D23D4" w14:textId="77777777" w:rsidR="00C67E15" w:rsidRPr="00E44913" w:rsidRDefault="007D1B8E" w:rsidP="009F0EC6">
            <w:pPr>
              <w:pStyle w:val="normal0"/>
              <w:spacing w:before="0" w:line="240" w:lineRule="auto"/>
              <w:ind w:firstLine="0"/>
              <w:contextualSpacing w:val="0"/>
              <w:jc w:val="center"/>
              <w:rPr>
                <w:b/>
                <w:color w:val="FFFFFF"/>
              </w:rPr>
            </w:pPr>
            <w:r>
              <w:rPr>
                <w:b/>
                <w:color w:val="FFFFFF"/>
              </w:rPr>
              <w:t>Age + Period Effects</w:t>
            </w:r>
          </w:p>
        </w:tc>
      </w:tr>
      <w:tr w:rsidR="00C67E15" w14:paraId="3516669C" w14:textId="77777777" w:rsidTr="00E44913">
        <w:tc>
          <w:tcPr>
            <w:tcW w:w="1440" w:type="dxa"/>
          </w:tcPr>
          <w:p w14:paraId="17D142FF" w14:textId="77777777" w:rsidR="00C67E15" w:rsidRPr="00E44913" w:rsidRDefault="007D1B8E" w:rsidP="009F0EC6">
            <w:pPr>
              <w:pStyle w:val="normal0"/>
              <w:spacing w:before="0" w:line="240" w:lineRule="auto"/>
              <w:ind w:firstLine="0"/>
              <w:contextualSpacing w:val="0"/>
              <w:rPr>
                <w:b/>
                <w:color w:val="FFFFFF"/>
              </w:rPr>
            </w:pPr>
            <w:r>
              <w:rPr>
                <w:b/>
                <w:color w:val="FFFFFF"/>
              </w:rPr>
              <w:t>N</w:t>
            </w:r>
          </w:p>
        </w:tc>
        <w:tc>
          <w:tcPr>
            <w:tcW w:w="1727" w:type="dxa"/>
          </w:tcPr>
          <w:p w14:paraId="5203F2B9" w14:textId="77777777" w:rsidR="00C67E15" w:rsidRPr="00E44913" w:rsidRDefault="007D1B8E" w:rsidP="009F0EC6">
            <w:pPr>
              <w:pStyle w:val="normal0"/>
              <w:spacing w:before="0" w:line="240" w:lineRule="auto"/>
              <w:ind w:firstLine="0"/>
              <w:contextualSpacing w:val="0"/>
              <w:rPr>
                <w:b/>
                <w:color w:val="FFFFFF"/>
              </w:rPr>
            </w:pPr>
            <w:r>
              <w:rPr>
                <w:b/>
                <w:color w:val="FFFFFF"/>
              </w:rPr>
              <w:t>LL (Null)</w:t>
            </w:r>
          </w:p>
        </w:tc>
        <w:tc>
          <w:tcPr>
            <w:tcW w:w="1727" w:type="dxa"/>
          </w:tcPr>
          <w:p w14:paraId="7C8384FC" w14:textId="77777777" w:rsidR="00C67E15" w:rsidRPr="00E44913" w:rsidRDefault="007D1B8E" w:rsidP="009F0EC6">
            <w:pPr>
              <w:pStyle w:val="normal0"/>
              <w:spacing w:before="0" w:line="240" w:lineRule="auto"/>
              <w:ind w:firstLine="0"/>
              <w:contextualSpacing w:val="0"/>
              <w:rPr>
                <w:b/>
                <w:color w:val="FFFFFF"/>
              </w:rPr>
            </w:pPr>
            <w:r>
              <w:rPr>
                <w:b/>
                <w:color w:val="FFFFFF"/>
              </w:rPr>
              <w:t>LL (Model)</w:t>
            </w:r>
          </w:p>
        </w:tc>
        <w:tc>
          <w:tcPr>
            <w:tcW w:w="1440" w:type="dxa"/>
          </w:tcPr>
          <w:p w14:paraId="5C91B952" w14:textId="77777777" w:rsidR="00C67E15" w:rsidRPr="00E44913" w:rsidRDefault="007D1B8E" w:rsidP="009F0EC6">
            <w:pPr>
              <w:pStyle w:val="normal0"/>
              <w:spacing w:before="0" w:line="240" w:lineRule="auto"/>
              <w:ind w:firstLine="0"/>
              <w:contextualSpacing w:val="0"/>
              <w:jc w:val="center"/>
              <w:rPr>
                <w:b/>
                <w:color w:val="FFFFFF"/>
              </w:rPr>
            </w:pPr>
            <w:r>
              <w:rPr>
                <w:b/>
                <w:color w:val="FFFFFF"/>
              </w:rPr>
              <w:t>DF</w:t>
            </w:r>
          </w:p>
        </w:tc>
        <w:tc>
          <w:tcPr>
            <w:tcW w:w="1440" w:type="dxa"/>
          </w:tcPr>
          <w:p w14:paraId="5D7F6FB4" w14:textId="77777777" w:rsidR="00C67E15" w:rsidRPr="00E44913" w:rsidRDefault="007D1B8E" w:rsidP="009F0EC6">
            <w:pPr>
              <w:pStyle w:val="normal0"/>
              <w:spacing w:before="0" w:line="240" w:lineRule="auto"/>
              <w:ind w:firstLine="0"/>
              <w:contextualSpacing w:val="0"/>
              <w:rPr>
                <w:b/>
                <w:color w:val="FFFFFF"/>
              </w:rPr>
            </w:pPr>
            <w:r>
              <w:rPr>
                <w:b/>
                <w:color w:val="FFFFFF"/>
              </w:rPr>
              <w:t>AIC</w:t>
            </w:r>
          </w:p>
        </w:tc>
        <w:tc>
          <w:tcPr>
            <w:tcW w:w="1440" w:type="dxa"/>
          </w:tcPr>
          <w:p w14:paraId="7CED4253" w14:textId="77777777" w:rsidR="00C67E15" w:rsidRPr="00E44913" w:rsidRDefault="00C67E15" w:rsidP="009F0EC6">
            <w:pPr>
              <w:pStyle w:val="normal0"/>
              <w:spacing w:before="0" w:line="240" w:lineRule="auto"/>
              <w:ind w:firstLine="0"/>
              <w:contextualSpacing w:val="0"/>
              <w:rPr>
                <w:b/>
                <w:color w:val="FFFFFF"/>
              </w:rPr>
            </w:pPr>
          </w:p>
        </w:tc>
      </w:tr>
      <w:tr w:rsidR="00C67E15" w14:paraId="321DF5DF" w14:textId="77777777" w:rsidTr="00E44913">
        <w:tc>
          <w:tcPr>
            <w:tcW w:w="1440" w:type="dxa"/>
          </w:tcPr>
          <w:p w14:paraId="376B3D46" w14:textId="77777777" w:rsidR="00C67E15" w:rsidRDefault="007D1B8E" w:rsidP="009F0EC6">
            <w:pPr>
              <w:pStyle w:val="normal0"/>
              <w:spacing w:before="0" w:line="240" w:lineRule="auto"/>
              <w:ind w:firstLine="0"/>
              <w:contextualSpacing w:val="0"/>
            </w:pPr>
            <w:r>
              <w:t>97027</w:t>
            </w:r>
          </w:p>
        </w:tc>
        <w:tc>
          <w:tcPr>
            <w:tcW w:w="1727" w:type="dxa"/>
          </w:tcPr>
          <w:p w14:paraId="281A6EAA" w14:textId="77777777" w:rsidR="00C67E15" w:rsidRDefault="007D1B8E" w:rsidP="009F0EC6">
            <w:pPr>
              <w:pStyle w:val="normal0"/>
              <w:spacing w:before="0" w:line="240" w:lineRule="auto"/>
              <w:ind w:firstLine="0"/>
              <w:contextualSpacing w:val="0"/>
            </w:pPr>
            <w:r>
              <w:t>-30203.16848</w:t>
            </w:r>
          </w:p>
        </w:tc>
        <w:tc>
          <w:tcPr>
            <w:tcW w:w="1727" w:type="dxa"/>
          </w:tcPr>
          <w:p w14:paraId="19142722" w14:textId="77777777" w:rsidR="00C67E15" w:rsidRDefault="007D1B8E" w:rsidP="009F0EC6">
            <w:pPr>
              <w:pStyle w:val="normal0"/>
              <w:spacing w:before="0" w:line="240" w:lineRule="auto"/>
              <w:ind w:firstLine="0"/>
              <w:contextualSpacing w:val="0"/>
            </w:pPr>
            <w:r>
              <w:t>-29704.98256</w:t>
            </w:r>
          </w:p>
        </w:tc>
        <w:tc>
          <w:tcPr>
            <w:tcW w:w="1440" w:type="dxa"/>
          </w:tcPr>
          <w:p w14:paraId="352DFFBF" w14:textId="77777777" w:rsidR="00C67E15" w:rsidRDefault="007D1B8E" w:rsidP="009F0EC6">
            <w:pPr>
              <w:pStyle w:val="normal0"/>
              <w:spacing w:before="0" w:line="240" w:lineRule="auto"/>
              <w:ind w:firstLine="0"/>
              <w:contextualSpacing w:val="0"/>
              <w:jc w:val="center"/>
            </w:pPr>
            <w:r>
              <w:t>20</w:t>
            </w:r>
          </w:p>
        </w:tc>
        <w:tc>
          <w:tcPr>
            <w:tcW w:w="1440" w:type="dxa"/>
          </w:tcPr>
          <w:p w14:paraId="40B9054C" w14:textId="77777777" w:rsidR="00C67E15" w:rsidRDefault="007D1B8E" w:rsidP="009F0EC6">
            <w:pPr>
              <w:pStyle w:val="normal0"/>
              <w:spacing w:before="0" w:line="240" w:lineRule="auto"/>
              <w:ind w:firstLine="0"/>
              <w:contextualSpacing w:val="0"/>
            </w:pPr>
            <w:r>
              <w:t>59449.96511</w:t>
            </w:r>
          </w:p>
        </w:tc>
        <w:tc>
          <w:tcPr>
            <w:tcW w:w="1440" w:type="dxa"/>
          </w:tcPr>
          <w:p w14:paraId="150D1652" w14:textId="77777777" w:rsidR="00C67E15" w:rsidRDefault="007D1B8E" w:rsidP="009F0EC6">
            <w:pPr>
              <w:pStyle w:val="normal0"/>
              <w:spacing w:before="0" w:line="240" w:lineRule="auto"/>
              <w:ind w:firstLine="0"/>
              <w:contextualSpacing w:val="0"/>
            </w:pPr>
            <w:proofErr w:type="gramStart"/>
            <w:r>
              <w:t>jazz</w:t>
            </w:r>
            <w:proofErr w:type="gramEnd"/>
          </w:p>
        </w:tc>
      </w:tr>
      <w:tr w:rsidR="00C67E15" w14:paraId="20872399" w14:textId="77777777" w:rsidTr="00E44913">
        <w:tc>
          <w:tcPr>
            <w:tcW w:w="1440" w:type="dxa"/>
          </w:tcPr>
          <w:p w14:paraId="426E3AB0" w14:textId="77777777" w:rsidR="00C67E15" w:rsidRDefault="007D1B8E" w:rsidP="009F0EC6">
            <w:pPr>
              <w:pStyle w:val="normal0"/>
              <w:spacing w:before="0" w:line="240" w:lineRule="auto"/>
              <w:ind w:firstLine="0"/>
              <w:contextualSpacing w:val="0"/>
            </w:pPr>
            <w:r>
              <w:t>96972</w:t>
            </w:r>
          </w:p>
        </w:tc>
        <w:tc>
          <w:tcPr>
            <w:tcW w:w="1727" w:type="dxa"/>
          </w:tcPr>
          <w:p w14:paraId="19CE4124" w14:textId="77777777" w:rsidR="00C67E15" w:rsidRDefault="007D1B8E" w:rsidP="009F0EC6">
            <w:pPr>
              <w:pStyle w:val="normal0"/>
              <w:spacing w:before="0" w:line="240" w:lineRule="auto"/>
              <w:ind w:firstLine="0"/>
              <w:contextualSpacing w:val="0"/>
            </w:pPr>
            <w:r>
              <w:t>-34992.152</w:t>
            </w:r>
          </w:p>
        </w:tc>
        <w:tc>
          <w:tcPr>
            <w:tcW w:w="1727" w:type="dxa"/>
          </w:tcPr>
          <w:p w14:paraId="18A5B555" w14:textId="77777777" w:rsidR="00C67E15" w:rsidRDefault="007D1B8E" w:rsidP="009F0EC6">
            <w:pPr>
              <w:pStyle w:val="normal0"/>
              <w:spacing w:before="0" w:line="240" w:lineRule="auto"/>
              <w:ind w:firstLine="0"/>
              <w:contextualSpacing w:val="0"/>
            </w:pPr>
            <w:r>
              <w:t>-34738.55917</w:t>
            </w:r>
          </w:p>
        </w:tc>
        <w:tc>
          <w:tcPr>
            <w:tcW w:w="1440" w:type="dxa"/>
          </w:tcPr>
          <w:p w14:paraId="282A3AA6" w14:textId="77777777" w:rsidR="00C67E15" w:rsidRDefault="007D1B8E" w:rsidP="009F0EC6">
            <w:pPr>
              <w:pStyle w:val="normal0"/>
              <w:spacing w:before="0" w:line="240" w:lineRule="auto"/>
              <w:ind w:firstLine="0"/>
              <w:contextualSpacing w:val="0"/>
              <w:jc w:val="center"/>
            </w:pPr>
            <w:r>
              <w:t>21</w:t>
            </w:r>
          </w:p>
        </w:tc>
        <w:tc>
          <w:tcPr>
            <w:tcW w:w="1440" w:type="dxa"/>
          </w:tcPr>
          <w:p w14:paraId="7718B1B1" w14:textId="77777777" w:rsidR="00C67E15" w:rsidRDefault="007D1B8E" w:rsidP="009F0EC6">
            <w:pPr>
              <w:pStyle w:val="normal0"/>
              <w:spacing w:before="0" w:line="240" w:lineRule="auto"/>
              <w:ind w:firstLine="0"/>
              <w:contextualSpacing w:val="0"/>
            </w:pPr>
            <w:r>
              <w:t>69519.11834</w:t>
            </w:r>
          </w:p>
        </w:tc>
        <w:tc>
          <w:tcPr>
            <w:tcW w:w="1440" w:type="dxa"/>
          </w:tcPr>
          <w:p w14:paraId="0965C6C5" w14:textId="77777777" w:rsidR="00C67E15" w:rsidRDefault="007D1B8E" w:rsidP="009F0EC6">
            <w:pPr>
              <w:pStyle w:val="normal0"/>
              <w:spacing w:before="0" w:line="240" w:lineRule="auto"/>
              <w:ind w:firstLine="0"/>
              <w:contextualSpacing w:val="0"/>
            </w:pPr>
            <w:proofErr w:type="gramStart"/>
            <w:r>
              <w:t>classical</w:t>
            </w:r>
            <w:proofErr w:type="gramEnd"/>
          </w:p>
        </w:tc>
      </w:tr>
      <w:tr w:rsidR="00C67E15" w14:paraId="0C628B38" w14:textId="77777777" w:rsidTr="00E44913">
        <w:tc>
          <w:tcPr>
            <w:tcW w:w="1440" w:type="dxa"/>
          </w:tcPr>
          <w:p w14:paraId="7B6D689D" w14:textId="77777777" w:rsidR="00C67E15" w:rsidRDefault="007D1B8E" w:rsidP="009F0EC6">
            <w:pPr>
              <w:pStyle w:val="normal0"/>
              <w:spacing w:before="0" w:line="240" w:lineRule="auto"/>
              <w:ind w:firstLine="0"/>
              <w:contextualSpacing w:val="0"/>
            </w:pPr>
            <w:r>
              <w:t>96912</w:t>
            </w:r>
          </w:p>
        </w:tc>
        <w:tc>
          <w:tcPr>
            <w:tcW w:w="1727" w:type="dxa"/>
          </w:tcPr>
          <w:p w14:paraId="2F534C8B" w14:textId="77777777" w:rsidR="00C67E15" w:rsidRDefault="007D1B8E" w:rsidP="009F0EC6">
            <w:pPr>
              <w:pStyle w:val="normal0"/>
              <w:spacing w:before="0" w:line="240" w:lineRule="auto"/>
              <w:ind w:firstLine="0"/>
              <w:contextualSpacing w:val="0"/>
            </w:pPr>
            <w:r>
              <w:t>-12322.41823</w:t>
            </w:r>
          </w:p>
        </w:tc>
        <w:tc>
          <w:tcPr>
            <w:tcW w:w="1727" w:type="dxa"/>
          </w:tcPr>
          <w:p w14:paraId="29AC2D90" w14:textId="77777777" w:rsidR="00C67E15" w:rsidRDefault="007D1B8E" w:rsidP="009F0EC6">
            <w:pPr>
              <w:pStyle w:val="normal0"/>
              <w:spacing w:before="0" w:line="240" w:lineRule="auto"/>
              <w:ind w:firstLine="0"/>
              <w:contextualSpacing w:val="0"/>
            </w:pPr>
            <w:r>
              <w:t>-12245.91531</w:t>
            </w:r>
          </w:p>
        </w:tc>
        <w:tc>
          <w:tcPr>
            <w:tcW w:w="1440" w:type="dxa"/>
          </w:tcPr>
          <w:p w14:paraId="4D5CC893" w14:textId="77777777" w:rsidR="00C67E15" w:rsidRDefault="007D1B8E" w:rsidP="009F0EC6">
            <w:pPr>
              <w:pStyle w:val="normal0"/>
              <w:spacing w:before="0" w:line="240" w:lineRule="auto"/>
              <w:ind w:firstLine="0"/>
              <w:contextualSpacing w:val="0"/>
              <w:jc w:val="center"/>
            </w:pPr>
            <w:r>
              <w:t>20</w:t>
            </w:r>
          </w:p>
        </w:tc>
        <w:tc>
          <w:tcPr>
            <w:tcW w:w="1440" w:type="dxa"/>
          </w:tcPr>
          <w:p w14:paraId="7B879261" w14:textId="77777777" w:rsidR="00C67E15" w:rsidRDefault="007D1B8E" w:rsidP="009F0EC6">
            <w:pPr>
              <w:pStyle w:val="normal0"/>
              <w:spacing w:before="0" w:line="240" w:lineRule="auto"/>
              <w:ind w:firstLine="0"/>
              <w:contextualSpacing w:val="0"/>
            </w:pPr>
            <w:r>
              <w:t>24531.83063</w:t>
            </w:r>
          </w:p>
        </w:tc>
        <w:tc>
          <w:tcPr>
            <w:tcW w:w="1440" w:type="dxa"/>
          </w:tcPr>
          <w:p w14:paraId="1B07916C" w14:textId="77777777" w:rsidR="00C67E15" w:rsidRDefault="007D1B8E" w:rsidP="009F0EC6">
            <w:pPr>
              <w:pStyle w:val="normal0"/>
              <w:spacing w:before="0" w:line="240" w:lineRule="auto"/>
              <w:ind w:firstLine="0"/>
              <w:contextualSpacing w:val="0"/>
            </w:pPr>
            <w:proofErr w:type="gramStart"/>
            <w:r>
              <w:t>opera</w:t>
            </w:r>
            <w:proofErr w:type="gramEnd"/>
          </w:p>
        </w:tc>
      </w:tr>
      <w:tr w:rsidR="00C67E15" w14:paraId="31B299F3" w14:textId="77777777" w:rsidTr="00E44913">
        <w:tc>
          <w:tcPr>
            <w:tcW w:w="1440" w:type="dxa"/>
          </w:tcPr>
          <w:p w14:paraId="3B83928D" w14:textId="77777777" w:rsidR="00C67E15" w:rsidRDefault="007D1B8E" w:rsidP="009F0EC6">
            <w:pPr>
              <w:pStyle w:val="normal0"/>
              <w:spacing w:before="0" w:line="240" w:lineRule="auto"/>
              <w:ind w:firstLine="0"/>
              <w:contextualSpacing w:val="0"/>
            </w:pPr>
            <w:r>
              <w:t>96869</w:t>
            </w:r>
          </w:p>
        </w:tc>
        <w:tc>
          <w:tcPr>
            <w:tcW w:w="1727" w:type="dxa"/>
          </w:tcPr>
          <w:p w14:paraId="4199EF55" w14:textId="77777777" w:rsidR="00C67E15" w:rsidRDefault="007D1B8E" w:rsidP="009F0EC6">
            <w:pPr>
              <w:pStyle w:val="normal0"/>
              <w:spacing w:before="0" w:line="240" w:lineRule="auto"/>
              <w:ind w:firstLine="0"/>
              <w:contextualSpacing w:val="0"/>
            </w:pPr>
            <w:r>
              <w:t>-45081.47682</w:t>
            </w:r>
          </w:p>
        </w:tc>
        <w:tc>
          <w:tcPr>
            <w:tcW w:w="1727" w:type="dxa"/>
          </w:tcPr>
          <w:p w14:paraId="497F6DFD" w14:textId="77777777" w:rsidR="00C67E15" w:rsidRDefault="007D1B8E" w:rsidP="009F0EC6">
            <w:pPr>
              <w:pStyle w:val="normal0"/>
              <w:spacing w:before="0" w:line="240" w:lineRule="auto"/>
              <w:ind w:firstLine="0"/>
              <w:contextualSpacing w:val="0"/>
            </w:pPr>
            <w:r>
              <w:t>-44774.70931</w:t>
            </w:r>
          </w:p>
        </w:tc>
        <w:tc>
          <w:tcPr>
            <w:tcW w:w="1440" w:type="dxa"/>
          </w:tcPr>
          <w:p w14:paraId="38AB6225" w14:textId="77777777" w:rsidR="00C67E15" w:rsidRDefault="007D1B8E" w:rsidP="009F0EC6">
            <w:pPr>
              <w:pStyle w:val="normal0"/>
              <w:spacing w:before="0" w:line="240" w:lineRule="auto"/>
              <w:ind w:firstLine="0"/>
              <w:contextualSpacing w:val="0"/>
              <w:jc w:val="center"/>
            </w:pPr>
            <w:r>
              <w:t>20</w:t>
            </w:r>
          </w:p>
        </w:tc>
        <w:tc>
          <w:tcPr>
            <w:tcW w:w="1440" w:type="dxa"/>
          </w:tcPr>
          <w:p w14:paraId="21E0FA1D" w14:textId="77777777" w:rsidR="00C67E15" w:rsidRDefault="007D1B8E" w:rsidP="009F0EC6">
            <w:pPr>
              <w:pStyle w:val="normal0"/>
              <w:spacing w:before="0" w:line="240" w:lineRule="auto"/>
              <w:ind w:firstLine="0"/>
              <w:contextualSpacing w:val="0"/>
            </w:pPr>
            <w:r>
              <w:t>89589.41861</w:t>
            </w:r>
          </w:p>
        </w:tc>
        <w:tc>
          <w:tcPr>
            <w:tcW w:w="1440" w:type="dxa"/>
          </w:tcPr>
          <w:p w14:paraId="4EE7E7C0" w14:textId="77777777" w:rsidR="00C67E15" w:rsidRDefault="007D1B8E" w:rsidP="009F0EC6">
            <w:pPr>
              <w:pStyle w:val="normal0"/>
              <w:spacing w:before="0" w:line="240" w:lineRule="auto"/>
              <w:ind w:firstLine="0"/>
              <w:contextualSpacing w:val="0"/>
            </w:pPr>
            <w:proofErr w:type="gramStart"/>
            <w:r>
              <w:t>musical</w:t>
            </w:r>
            <w:proofErr w:type="gramEnd"/>
          </w:p>
        </w:tc>
      </w:tr>
      <w:tr w:rsidR="00C67E15" w14:paraId="1C679E08" w14:textId="77777777" w:rsidTr="00E44913">
        <w:tc>
          <w:tcPr>
            <w:tcW w:w="1440" w:type="dxa"/>
          </w:tcPr>
          <w:p w14:paraId="2BC8DA04" w14:textId="77777777" w:rsidR="00C67E15" w:rsidRDefault="007D1B8E" w:rsidP="009F0EC6">
            <w:pPr>
              <w:pStyle w:val="normal0"/>
              <w:spacing w:before="0" w:line="240" w:lineRule="auto"/>
              <w:ind w:firstLine="0"/>
              <w:contextualSpacing w:val="0"/>
            </w:pPr>
            <w:r>
              <w:t>96845</w:t>
            </w:r>
          </w:p>
        </w:tc>
        <w:tc>
          <w:tcPr>
            <w:tcW w:w="1727" w:type="dxa"/>
          </w:tcPr>
          <w:p w14:paraId="5360A404" w14:textId="77777777" w:rsidR="00C67E15" w:rsidRDefault="007D1B8E" w:rsidP="009F0EC6">
            <w:pPr>
              <w:pStyle w:val="normal0"/>
              <w:spacing w:before="0" w:line="240" w:lineRule="auto"/>
              <w:ind w:firstLine="0"/>
              <w:contextualSpacing w:val="0"/>
            </w:pPr>
            <w:r>
              <w:t>-15817.60051</w:t>
            </w:r>
          </w:p>
        </w:tc>
        <w:tc>
          <w:tcPr>
            <w:tcW w:w="1727" w:type="dxa"/>
          </w:tcPr>
          <w:p w14:paraId="3D81221E" w14:textId="77777777" w:rsidR="00C67E15" w:rsidRDefault="007D1B8E" w:rsidP="009F0EC6">
            <w:pPr>
              <w:pStyle w:val="normal0"/>
              <w:spacing w:before="0" w:line="240" w:lineRule="auto"/>
              <w:ind w:firstLine="0"/>
              <w:contextualSpacing w:val="0"/>
            </w:pPr>
            <w:r>
              <w:t>-15676.87114</w:t>
            </w:r>
          </w:p>
        </w:tc>
        <w:tc>
          <w:tcPr>
            <w:tcW w:w="1440" w:type="dxa"/>
          </w:tcPr>
          <w:p w14:paraId="1E06AB9F" w14:textId="77777777" w:rsidR="00C67E15" w:rsidRDefault="007D1B8E" w:rsidP="009F0EC6">
            <w:pPr>
              <w:pStyle w:val="normal0"/>
              <w:spacing w:before="0" w:line="240" w:lineRule="auto"/>
              <w:ind w:firstLine="0"/>
              <w:contextualSpacing w:val="0"/>
              <w:jc w:val="center"/>
            </w:pPr>
            <w:r>
              <w:t>20</w:t>
            </w:r>
          </w:p>
        </w:tc>
        <w:tc>
          <w:tcPr>
            <w:tcW w:w="1440" w:type="dxa"/>
          </w:tcPr>
          <w:p w14:paraId="00F2BA9F" w14:textId="77777777" w:rsidR="00C67E15" w:rsidRDefault="007D1B8E" w:rsidP="009F0EC6">
            <w:pPr>
              <w:pStyle w:val="normal0"/>
              <w:spacing w:before="0" w:line="240" w:lineRule="auto"/>
              <w:ind w:firstLine="0"/>
              <w:contextualSpacing w:val="0"/>
            </w:pPr>
            <w:r>
              <w:t>31393.74228</w:t>
            </w:r>
          </w:p>
        </w:tc>
        <w:tc>
          <w:tcPr>
            <w:tcW w:w="1440" w:type="dxa"/>
          </w:tcPr>
          <w:p w14:paraId="7AEE20A7" w14:textId="77777777" w:rsidR="00C67E15" w:rsidRDefault="007D1B8E" w:rsidP="009F0EC6">
            <w:pPr>
              <w:pStyle w:val="normal0"/>
              <w:spacing w:before="0" w:line="240" w:lineRule="auto"/>
              <w:ind w:firstLine="0"/>
              <w:contextualSpacing w:val="0"/>
            </w:pPr>
            <w:proofErr w:type="gramStart"/>
            <w:r>
              <w:t>ballet</w:t>
            </w:r>
            <w:proofErr w:type="gramEnd"/>
          </w:p>
        </w:tc>
      </w:tr>
      <w:tr w:rsidR="00C67E15" w14:paraId="3DC651DD" w14:textId="77777777" w:rsidTr="00E44913">
        <w:tc>
          <w:tcPr>
            <w:tcW w:w="1440" w:type="dxa"/>
          </w:tcPr>
          <w:p w14:paraId="4E26658F" w14:textId="77777777" w:rsidR="00C67E15" w:rsidRDefault="007D1B8E" w:rsidP="009F0EC6">
            <w:pPr>
              <w:pStyle w:val="normal0"/>
              <w:spacing w:before="0" w:line="240" w:lineRule="auto"/>
              <w:ind w:firstLine="0"/>
              <w:contextualSpacing w:val="0"/>
            </w:pPr>
            <w:r>
              <w:t>96723</w:t>
            </w:r>
          </w:p>
        </w:tc>
        <w:tc>
          <w:tcPr>
            <w:tcW w:w="1727" w:type="dxa"/>
          </w:tcPr>
          <w:p w14:paraId="3212F1D2" w14:textId="77777777" w:rsidR="00C67E15" w:rsidRDefault="007D1B8E" w:rsidP="009F0EC6">
            <w:pPr>
              <w:pStyle w:val="normal0"/>
              <w:spacing w:before="0" w:line="240" w:lineRule="auto"/>
              <w:ind w:firstLine="0"/>
              <w:contextualSpacing w:val="0"/>
            </w:pPr>
            <w:r>
              <w:t>-53431.39911</w:t>
            </w:r>
          </w:p>
        </w:tc>
        <w:tc>
          <w:tcPr>
            <w:tcW w:w="1727" w:type="dxa"/>
          </w:tcPr>
          <w:p w14:paraId="1BD3DB16" w14:textId="77777777" w:rsidR="00C67E15" w:rsidRDefault="007D1B8E" w:rsidP="009F0EC6">
            <w:pPr>
              <w:pStyle w:val="normal0"/>
              <w:spacing w:before="0" w:line="240" w:lineRule="auto"/>
              <w:ind w:firstLine="0"/>
              <w:contextualSpacing w:val="0"/>
            </w:pPr>
            <w:r>
              <w:t>-52859.73988</w:t>
            </w:r>
          </w:p>
        </w:tc>
        <w:tc>
          <w:tcPr>
            <w:tcW w:w="1440" w:type="dxa"/>
          </w:tcPr>
          <w:p w14:paraId="29888DA5" w14:textId="77777777" w:rsidR="00C67E15" w:rsidRDefault="007D1B8E" w:rsidP="009F0EC6">
            <w:pPr>
              <w:pStyle w:val="normal0"/>
              <w:spacing w:before="0" w:line="240" w:lineRule="auto"/>
              <w:ind w:firstLine="0"/>
              <w:contextualSpacing w:val="0"/>
              <w:jc w:val="center"/>
            </w:pPr>
            <w:r>
              <w:t>21</w:t>
            </w:r>
          </w:p>
        </w:tc>
        <w:tc>
          <w:tcPr>
            <w:tcW w:w="1440" w:type="dxa"/>
          </w:tcPr>
          <w:p w14:paraId="76AEC4AF" w14:textId="77777777" w:rsidR="00C67E15" w:rsidRDefault="007D1B8E" w:rsidP="009F0EC6">
            <w:pPr>
              <w:pStyle w:val="normal0"/>
              <w:spacing w:before="0" w:line="240" w:lineRule="auto"/>
              <w:ind w:firstLine="0"/>
              <w:contextualSpacing w:val="0"/>
            </w:pPr>
            <w:r>
              <w:t>105761.4798</w:t>
            </w:r>
          </w:p>
        </w:tc>
        <w:tc>
          <w:tcPr>
            <w:tcW w:w="1440" w:type="dxa"/>
          </w:tcPr>
          <w:p w14:paraId="29BC744C" w14:textId="77777777" w:rsidR="00C67E15" w:rsidRDefault="007D1B8E" w:rsidP="009F0EC6">
            <w:pPr>
              <w:pStyle w:val="normal0"/>
              <w:spacing w:before="0" w:line="240" w:lineRule="auto"/>
              <w:ind w:firstLine="0"/>
              <w:contextualSpacing w:val="0"/>
            </w:pPr>
            <w:proofErr w:type="spellStart"/>
            <w:proofErr w:type="gramStart"/>
            <w:r>
              <w:t>artmuseum</w:t>
            </w:r>
            <w:proofErr w:type="spellEnd"/>
            <w:proofErr w:type="gramEnd"/>
          </w:p>
        </w:tc>
      </w:tr>
      <w:tr w:rsidR="00C67E15" w14:paraId="51AD0034" w14:textId="77777777" w:rsidTr="00E44913">
        <w:tc>
          <w:tcPr>
            <w:tcW w:w="1440" w:type="dxa"/>
          </w:tcPr>
          <w:p w14:paraId="7C3F6558" w14:textId="77777777" w:rsidR="00C67E15" w:rsidRDefault="007D1B8E" w:rsidP="009F0EC6">
            <w:pPr>
              <w:pStyle w:val="normal0"/>
              <w:spacing w:before="0" w:line="240" w:lineRule="auto"/>
              <w:ind w:firstLine="0"/>
              <w:contextualSpacing w:val="0"/>
            </w:pPr>
            <w:r>
              <w:t>72337</w:t>
            </w:r>
          </w:p>
        </w:tc>
        <w:tc>
          <w:tcPr>
            <w:tcW w:w="1727" w:type="dxa"/>
          </w:tcPr>
          <w:p w14:paraId="271FEDE9" w14:textId="77777777" w:rsidR="00C67E15" w:rsidRDefault="007D1B8E" w:rsidP="009F0EC6">
            <w:pPr>
              <w:pStyle w:val="normal0"/>
              <w:spacing w:before="0" w:line="240" w:lineRule="auto"/>
              <w:ind w:firstLine="0"/>
              <w:contextualSpacing w:val="0"/>
            </w:pPr>
            <w:r>
              <w:t>-45277.88053</w:t>
            </w:r>
          </w:p>
        </w:tc>
        <w:tc>
          <w:tcPr>
            <w:tcW w:w="1727" w:type="dxa"/>
          </w:tcPr>
          <w:p w14:paraId="0EF6D0C0" w14:textId="77777777" w:rsidR="00C67E15" w:rsidRDefault="007D1B8E" w:rsidP="009F0EC6">
            <w:pPr>
              <w:pStyle w:val="normal0"/>
              <w:spacing w:before="0" w:line="240" w:lineRule="auto"/>
              <w:ind w:firstLine="0"/>
              <w:contextualSpacing w:val="0"/>
            </w:pPr>
            <w:r>
              <w:t>-44023.81538</w:t>
            </w:r>
          </w:p>
        </w:tc>
        <w:tc>
          <w:tcPr>
            <w:tcW w:w="1440" w:type="dxa"/>
          </w:tcPr>
          <w:p w14:paraId="2DB305B5" w14:textId="77777777" w:rsidR="00C67E15" w:rsidRDefault="007D1B8E" w:rsidP="009F0EC6">
            <w:pPr>
              <w:pStyle w:val="normal0"/>
              <w:spacing w:before="0" w:line="240" w:lineRule="auto"/>
              <w:ind w:firstLine="0"/>
              <w:contextualSpacing w:val="0"/>
              <w:jc w:val="center"/>
            </w:pPr>
            <w:r>
              <w:t>20</w:t>
            </w:r>
          </w:p>
        </w:tc>
        <w:tc>
          <w:tcPr>
            <w:tcW w:w="1440" w:type="dxa"/>
          </w:tcPr>
          <w:p w14:paraId="47EEADD2" w14:textId="77777777" w:rsidR="00C67E15" w:rsidRDefault="007D1B8E" w:rsidP="009F0EC6">
            <w:pPr>
              <w:pStyle w:val="normal0"/>
              <w:spacing w:before="0" w:line="240" w:lineRule="auto"/>
              <w:ind w:firstLine="0"/>
              <w:contextualSpacing w:val="0"/>
            </w:pPr>
            <w:r>
              <w:t>88087.63075</w:t>
            </w:r>
          </w:p>
        </w:tc>
        <w:tc>
          <w:tcPr>
            <w:tcW w:w="1440" w:type="dxa"/>
          </w:tcPr>
          <w:p w14:paraId="2A8F2C8E" w14:textId="77777777" w:rsidR="00C67E15" w:rsidRDefault="007D1B8E" w:rsidP="009F0EC6">
            <w:pPr>
              <w:pStyle w:val="normal0"/>
              <w:spacing w:before="0" w:line="240" w:lineRule="auto"/>
              <w:ind w:firstLine="0"/>
              <w:contextualSpacing w:val="0"/>
            </w:pPr>
            <w:proofErr w:type="spellStart"/>
            <w:proofErr w:type="gramStart"/>
            <w:r>
              <w:t>craft</w:t>
            </w:r>
            <w:proofErr w:type="gramEnd"/>
            <w:r>
              <w:t>_fair</w:t>
            </w:r>
            <w:proofErr w:type="spellEnd"/>
          </w:p>
        </w:tc>
      </w:tr>
      <w:tr w:rsidR="00C67E15" w14:paraId="517A81A7" w14:textId="77777777" w:rsidTr="00E44913">
        <w:tc>
          <w:tcPr>
            <w:tcW w:w="1440" w:type="dxa"/>
          </w:tcPr>
          <w:p w14:paraId="74EDA2B4" w14:textId="77777777" w:rsidR="00C67E15" w:rsidRDefault="007D1B8E" w:rsidP="009F0EC6">
            <w:pPr>
              <w:pStyle w:val="normal0"/>
              <w:spacing w:before="0" w:line="240" w:lineRule="auto"/>
              <w:ind w:firstLine="0"/>
              <w:contextualSpacing w:val="0"/>
            </w:pPr>
            <w:r>
              <w:t>72297</w:t>
            </w:r>
          </w:p>
        </w:tc>
        <w:tc>
          <w:tcPr>
            <w:tcW w:w="1727" w:type="dxa"/>
          </w:tcPr>
          <w:p w14:paraId="5B87CF19" w14:textId="77777777" w:rsidR="00C67E15" w:rsidRDefault="007D1B8E" w:rsidP="009F0EC6">
            <w:pPr>
              <w:pStyle w:val="normal0"/>
              <w:spacing w:before="0" w:line="240" w:lineRule="auto"/>
              <w:ind w:firstLine="0"/>
              <w:contextualSpacing w:val="0"/>
            </w:pPr>
            <w:r>
              <w:t>-44412.32366</w:t>
            </w:r>
          </w:p>
        </w:tc>
        <w:tc>
          <w:tcPr>
            <w:tcW w:w="1727" w:type="dxa"/>
          </w:tcPr>
          <w:p w14:paraId="0420C7BB" w14:textId="77777777" w:rsidR="00C67E15" w:rsidRDefault="007D1B8E" w:rsidP="009F0EC6">
            <w:pPr>
              <w:pStyle w:val="normal0"/>
              <w:spacing w:before="0" w:line="240" w:lineRule="auto"/>
              <w:ind w:firstLine="0"/>
              <w:contextualSpacing w:val="0"/>
            </w:pPr>
            <w:r>
              <w:t>-43545.45425</w:t>
            </w:r>
          </w:p>
        </w:tc>
        <w:tc>
          <w:tcPr>
            <w:tcW w:w="1440" w:type="dxa"/>
          </w:tcPr>
          <w:p w14:paraId="789AF5A5" w14:textId="77777777" w:rsidR="00C67E15" w:rsidRDefault="007D1B8E" w:rsidP="009F0EC6">
            <w:pPr>
              <w:pStyle w:val="normal0"/>
              <w:spacing w:before="0" w:line="240" w:lineRule="auto"/>
              <w:ind w:firstLine="0"/>
              <w:contextualSpacing w:val="0"/>
              <w:jc w:val="center"/>
            </w:pPr>
            <w:r>
              <w:t>20</w:t>
            </w:r>
          </w:p>
        </w:tc>
        <w:tc>
          <w:tcPr>
            <w:tcW w:w="1440" w:type="dxa"/>
          </w:tcPr>
          <w:p w14:paraId="6BCEBB4B" w14:textId="77777777" w:rsidR="00C67E15" w:rsidRDefault="007D1B8E" w:rsidP="009F0EC6">
            <w:pPr>
              <w:pStyle w:val="normal0"/>
              <w:spacing w:before="0" w:line="240" w:lineRule="auto"/>
              <w:ind w:firstLine="0"/>
              <w:contextualSpacing w:val="0"/>
            </w:pPr>
            <w:r>
              <w:t>87130.9085</w:t>
            </w:r>
          </w:p>
        </w:tc>
        <w:tc>
          <w:tcPr>
            <w:tcW w:w="1440" w:type="dxa"/>
          </w:tcPr>
          <w:p w14:paraId="74F40BED" w14:textId="77777777" w:rsidR="00C67E15" w:rsidRDefault="007D1B8E" w:rsidP="009F0EC6">
            <w:pPr>
              <w:pStyle w:val="normal0"/>
              <w:spacing w:before="0" w:line="240" w:lineRule="auto"/>
              <w:ind w:firstLine="0"/>
              <w:contextualSpacing w:val="0"/>
            </w:pPr>
            <w:proofErr w:type="gramStart"/>
            <w:r>
              <w:t>park</w:t>
            </w:r>
            <w:proofErr w:type="gramEnd"/>
          </w:p>
        </w:tc>
      </w:tr>
      <w:tr w:rsidR="00C67E15" w14:paraId="3F5E439B" w14:textId="77777777" w:rsidTr="00E44913">
        <w:tc>
          <w:tcPr>
            <w:tcW w:w="9214" w:type="dxa"/>
            <w:gridSpan w:val="6"/>
          </w:tcPr>
          <w:p w14:paraId="63CCB590" w14:textId="77777777" w:rsidR="00C67E15" w:rsidRPr="00E44913" w:rsidRDefault="007D1B8E" w:rsidP="009F0EC6">
            <w:pPr>
              <w:pStyle w:val="normal0"/>
              <w:spacing w:before="0" w:line="240" w:lineRule="auto"/>
              <w:ind w:firstLine="0"/>
              <w:contextualSpacing w:val="0"/>
              <w:jc w:val="center"/>
              <w:rPr>
                <w:b/>
                <w:color w:val="FFFFFF"/>
              </w:rPr>
            </w:pPr>
            <w:r>
              <w:rPr>
                <w:b/>
                <w:color w:val="FFFFFF"/>
              </w:rPr>
              <w:t>Age + Cohort Effects</w:t>
            </w:r>
          </w:p>
        </w:tc>
      </w:tr>
      <w:tr w:rsidR="00C67E15" w14:paraId="7B715C7B" w14:textId="77777777" w:rsidTr="00E44913">
        <w:tc>
          <w:tcPr>
            <w:tcW w:w="1440" w:type="dxa"/>
          </w:tcPr>
          <w:p w14:paraId="1E547989" w14:textId="77777777" w:rsidR="00C67E15" w:rsidRPr="00E44913" w:rsidRDefault="007D1B8E" w:rsidP="009F0EC6">
            <w:pPr>
              <w:pStyle w:val="normal0"/>
              <w:spacing w:before="0" w:line="240" w:lineRule="auto"/>
              <w:ind w:firstLine="0"/>
              <w:contextualSpacing w:val="0"/>
              <w:rPr>
                <w:b/>
                <w:color w:val="FFFFFF"/>
              </w:rPr>
            </w:pPr>
            <w:r>
              <w:rPr>
                <w:b/>
                <w:color w:val="FFFFFF"/>
              </w:rPr>
              <w:t>N</w:t>
            </w:r>
          </w:p>
        </w:tc>
        <w:tc>
          <w:tcPr>
            <w:tcW w:w="1727" w:type="dxa"/>
          </w:tcPr>
          <w:p w14:paraId="29C749A6" w14:textId="77777777" w:rsidR="00C67E15" w:rsidRPr="00E44913" w:rsidRDefault="007D1B8E" w:rsidP="009F0EC6">
            <w:pPr>
              <w:pStyle w:val="normal0"/>
              <w:spacing w:before="0" w:line="240" w:lineRule="auto"/>
              <w:ind w:firstLine="0"/>
              <w:contextualSpacing w:val="0"/>
              <w:rPr>
                <w:b/>
                <w:color w:val="FFFFFF"/>
              </w:rPr>
            </w:pPr>
            <w:r>
              <w:rPr>
                <w:b/>
                <w:color w:val="FFFFFF"/>
              </w:rPr>
              <w:t>LL (Null)</w:t>
            </w:r>
          </w:p>
        </w:tc>
        <w:tc>
          <w:tcPr>
            <w:tcW w:w="1727" w:type="dxa"/>
          </w:tcPr>
          <w:p w14:paraId="5D6126B7" w14:textId="77777777" w:rsidR="00C67E15" w:rsidRPr="00E44913" w:rsidRDefault="007D1B8E" w:rsidP="009F0EC6">
            <w:pPr>
              <w:pStyle w:val="normal0"/>
              <w:spacing w:before="0" w:line="240" w:lineRule="auto"/>
              <w:ind w:firstLine="0"/>
              <w:contextualSpacing w:val="0"/>
              <w:rPr>
                <w:b/>
                <w:color w:val="FFFFFF"/>
              </w:rPr>
            </w:pPr>
            <w:r>
              <w:rPr>
                <w:b/>
                <w:color w:val="FFFFFF"/>
              </w:rPr>
              <w:t>LL (Model)</w:t>
            </w:r>
          </w:p>
        </w:tc>
        <w:tc>
          <w:tcPr>
            <w:tcW w:w="1440" w:type="dxa"/>
          </w:tcPr>
          <w:p w14:paraId="73172A45" w14:textId="77777777" w:rsidR="00C67E15" w:rsidRPr="00E44913" w:rsidRDefault="007D1B8E" w:rsidP="009F0EC6">
            <w:pPr>
              <w:pStyle w:val="normal0"/>
              <w:spacing w:before="0" w:line="240" w:lineRule="auto"/>
              <w:ind w:firstLine="0"/>
              <w:contextualSpacing w:val="0"/>
              <w:jc w:val="center"/>
              <w:rPr>
                <w:b/>
                <w:color w:val="FFFFFF"/>
              </w:rPr>
            </w:pPr>
            <w:r>
              <w:rPr>
                <w:b/>
                <w:color w:val="FFFFFF"/>
              </w:rPr>
              <w:t>DF</w:t>
            </w:r>
          </w:p>
        </w:tc>
        <w:tc>
          <w:tcPr>
            <w:tcW w:w="1440" w:type="dxa"/>
          </w:tcPr>
          <w:p w14:paraId="5ABD9991" w14:textId="77777777" w:rsidR="00C67E15" w:rsidRPr="00E44913" w:rsidRDefault="007D1B8E" w:rsidP="009F0EC6">
            <w:pPr>
              <w:pStyle w:val="normal0"/>
              <w:spacing w:before="0" w:line="240" w:lineRule="auto"/>
              <w:ind w:firstLine="0"/>
              <w:contextualSpacing w:val="0"/>
              <w:rPr>
                <w:b/>
                <w:color w:val="FFFFFF"/>
              </w:rPr>
            </w:pPr>
            <w:r>
              <w:rPr>
                <w:b/>
                <w:color w:val="FFFFFF"/>
              </w:rPr>
              <w:t>AIC</w:t>
            </w:r>
          </w:p>
        </w:tc>
        <w:tc>
          <w:tcPr>
            <w:tcW w:w="1440" w:type="dxa"/>
          </w:tcPr>
          <w:p w14:paraId="36B93D4C" w14:textId="77777777" w:rsidR="00C67E15" w:rsidRPr="00E44913" w:rsidRDefault="00C67E15" w:rsidP="009F0EC6">
            <w:pPr>
              <w:pStyle w:val="normal0"/>
              <w:spacing w:before="0" w:line="240" w:lineRule="auto"/>
              <w:ind w:firstLine="0"/>
              <w:contextualSpacing w:val="0"/>
              <w:rPr>
                <w:b/>
                <w:color w:val="FFFFFF"/>
              </w:rPr>
            </w:pPr>
          </w:p>
        </w:tc>
      </w:tr>
      <w:tr w:rsidR="00C67E15" w14:paraId="54E2E7DD" w14:textId="77777777" w:rsidTr="00E44913">
        <w:tc>
          <w:tcPr>
            <w:tcW w:w="1440" w:type="dxa"/>
          </w:tcPr>
          <w:p w14:paraId="46F5CCA6" w14:textId="77777777" w:rsidR="00C67E15" w:rsidRDefault="007D1B8E" w:rsidP="009F0EC6">
            <w:pPr>
              <w:pStyle w:val="normal0"/>
              <w:spacing w:before="0" w:line="240" w:lineRule="auto"/>
              <w:ind w:firstLine="0"/>
              <w:contextualSpacing w:val="0"/>
            </w:pPr>
            <w:r>
              <w:t>96953</w:t>
            </w:r>
          </w:p>
        </w:tc>
        <w:tc>
          <w:tcPr>
            <w:tcW w:w="1727" w:type="dxa"/>
          </w:tcPr>
          <w:p w14:paraId="5EB8E0C8" w14:textId="77777777" w:rsidR="00C67E15" w:rsidRDefault="007D1B8E" w:rsidP="009F0EC6">
            <w:pPr>
              <w:pStyle w:val="normal0"/>
              <w:spacing w:before="0" w:line="240" w:lineRule="auto"/>
              <w:ind w:firstLine="0"/>
              <w:contextualSpacing w:val="0"/>
            </w:pPr>
            <w:r>
              <w:t>-30195.87534</w:t>
            </w:r>
          </w:p>
        </w:tc>
        <w:tc>
          <w:tcPr>
            <w:tcW w:w="1727" w:type="dxa"/>
          </w:tcPr>
          <w:p w14:paraId="759448BF" w14:textId="77777777" w:rsidR="00C67E15" w:rsidRDefault="007D1B8E" w:rsidP="009F0EC6">
            <w:pPr>
              <w:pStyle w:val="normal0"/>
              <w:spacing w:before="0" w:line="240" w:lineRule="auto"/>
              <w:ind w:firstLine="0"/>
              <w:contextualSpacing w:val="0"/>
            </w:pPr>
            <w:r>
              <w:t>-29405.71988</w:t>
            </w:r>
          </w:p>
        </w:tc>
        <w:tc>
          <w:tcPr>
            <w:tcW w:w="1440" w:type="dxa"/>
          </w:tcPr>
          <w:p w14:paraId="54B7BD66" w14:textId="77777777" w:rsidR="00C67E15" w:rsidRDefault="007D1B8E" w:rsidP="009F0EC6">
            <w:pPr>
              <w:pStyle w:val="normal0"/>
              <w:spacing w:before="0" w:line="240" w:lineRule="auto"/>
              <w:ind w:firstLine="0"/>
              <w:contextualSpacing w:val="0"/>
              <w:jc w:val="center"/>
            </w:pPr>
            <w:r>
              <w:t>34</w:t>
            </w:r>
          </w:p>
        </w:tc>
        <w:tc>
          <w:tcPr>
            <w:tcW w:w="1440" w:type="dxa"/>
          </w:tcPr>
          <w:p w14:paraId="27E9CF31" w14:textId="77777777" w:rsidR="00C67E15" w:rsidRDefault="007D1B8E" w:rsidP="009F0EC6">
            <w:pPr>
              <w:pStyle w:val="normal0"/>
              <w:spacing w:before="0" w:line="240" w:lineRule="auto"/>
              <w:ind w:firstLine="0"/>
              <w:contextualSpacing w:val="0"/>
            </w:pPr>
            <w:r>
              <w:t>58879.43976</w:t>
            </w:r>
          </w:p>
        </w:tc>
        <w:tc>
          <w:tcPr>
            <w:tcW w:w="1440" w:type="dxa"/>
          </w:tcPr>
          <w:p w14:paraId="4FBE5C2C" w14:textId="77777777" w:rsidR="00C67E15" w:rsidRDefault="007D1B8E" w:rsidP="009F0EC6">
            <w:pPr>
              <w:pStyle w:val="normal0"/>
              <w:spacing w:before="0" w:line="240" w:lineRule="auto"/>
              <w:ind w:firstLine="0"/>
              <w:contextualSpacing w:val="0"/>
            </w:pPr>
            <w:proofErr w:type="gramStart"/>
            <w:r>
              <w:t>jazz</w:t>
            </w:r>
            <w:proofErr w:type="gramEnd"/>
          </w:p>
        </w:tc>
      </w:tr>
      <w:tr w:rsidR="00C67E15" w14:paraId="51B50069" w14:textId="77777777" w:rsidTr="00E44913">
        <w:tc>
          <w:tcPr>
            <w:tcW w:w="1440" w:type="dxa"/>
          </w:tcPr>
          <w:p w14:paraId="1FE5E7FF" w14:textId="77777777" w:rsidR="00C67E15" w:rsidRDefault="007D1B8E" w:rsidP="009F0EC6">
            <w:pPr>
              <w:pStyle w:val="normal0"/>
              <w:spacing w:before="0" w:line="240" w:lineRule="auto"/>
              <w:ind w:firstLine="0"/>
              <w:contextualSpacing w:val="0"/>
            </w:pPr>
            <w:r>
              <w:t>96972</w:t>
            </w:r>
          </w:p>
        </w:tc>
        <w:tc>
          <w:tcPr>
            <w:tcW w:w="1727" w:type="dxa"/>
          </w:tcPr>
          <w:p w14:paraId="5201EBE4" w14:textId="77777777" w:rsidR="00C67E15" w:rsidRDefault="007D1B8E" w:rsidP="009F0EC6">
            <w:pPr>
              <w:pStyle w:val="normal0"/>
              <w:spacing w:before="0" w:line="240" w:lineRule="auto"/>
              <w:ind w:firstLine="0"/>
              <w:contextualSpacing w:val="0"/>
            </w:pPr>
            <w:r>
              <w:t>-34992.152</w:t>
            </w:r>
          </w:p>
        </w:tc>
        <w:tc>
          <w:tcPr>
            <w:tcW w:w="1727" w:type="dxa"/>
          </w:tcPr>
          <w:p w14:paraId="2EC363E5" w14:textId="77777777" w:rsidR="00C67E15" w:rsidRDefault="007D1B8E" w:rsidP="009F0EC6">
            <w:pPr>
              <w:pStyle w:val="normal0"/>
              <w:spacing w:before="0" w:line="240" w:lineRule="auto"/>
              <w:ind w:firstLine="0"/>
              <w:contextualSpacing w:val="0"/>
            </w:pPr>
            <w:r>
              <w:t>-34591.25336</w:t>
            </w:r>
          </w:p>
        </w:tc>
        <w:tc>
          <w:tcPr>
            <w:tcW w:w="1440" w:type="dxa"/>
          </w:tcPr>
          <w:p w14:paraId="18DC0868" w14:textId="77777777" w:rsidR="00C67E15" w:rsidRDefault="007D1B8E" w:rsidP="009F0EC6">
            <w:pPr>
              <w:pStyle w:val="normal0"/>
              <w:spacing w:before="0" w:line="240" w:lineRule="auto"/>
              <w:ind w:firstLine="0"/>
              <w:contextualSpacing w:val="0"/>
              <w:jc w:val="center"/>
            </w:pPr>
            <w:r>
              <w:t>36</w:t>
            </w:r>
          </w:p>
        </w:tc>
        <w:tc>
          <w:tcPr>
            <w:tcW w:w="1440" w:type="dxa"/>
          </w:tcPr>
          <w:p w14:paraId="4C3B4ACF" w14:textId="77777777" w:rsidR="00C67E15" w:rsidRDefault="007D1B8E" w:rsidP="009F0EC6">
            <w:pPr>
              <w:pStyle w:val="normal0"/>
              <w:spacing w:before="0" w:line="240" w:lineRule="auto"/>
              <w:ind w:firstLine="0"/>
              <w:contextualSpacing w:val="0"/>
            </w:pPr>
            <w:r>
              <w:t>69254.50672</w:t>
            </w:r>
          </w:p>
        </w:tc>
        <w:tc>
          <w:tcPr>
            <w:tcW w:w="1440" w:type="dxa"/>
          </w:tcPr>
          <w:p w14:paraId="19B1B68D" w14:textId="77777777" w:rsidR="00C67E15" w:rsidRDefault="007D1B8E" w:rsidP="009F0EC6">
            <w:pPr>
              <w:pStyle w:val="normal0"/>
              <w:spacing w:before="0" w:line="240" w:lineRule="auto"/>
              <w:ind w:firstLine="0"/>
              <w:contextualSpacing w:val="0"/>
            </w:pPr>
            <w:proofErr w:type="gramStart"/>
            <w:r>
              <w:t>classical</w:t>
            </w:r>
            <w:proofErr w:type="gramEnd"/>
          </w:p>
        </w:tc>
      </w:tr>
      <w:tr w:rsidR="00C67E15" w14:paraId="14AE4039" w14:textId="77777777" w:rsidTr="00E44913">
        <w:tc>
          <w:tcPr>
            <w:tcW w:w="1440" w:type="dxa"/>
          </w:tcPr>
          <w:p w14:paraId="27DD9709" w14:textId="77777777" w:rsidR="00C67E15" w:rsidRDefault="007D1B8E" w:rsidP="009F0EC6">
            <w:pPr>
              <w:pStyle w:val="normal0"/>
              <w:spacing w:before="0" w:line="240" w:lineRule="auto"/>
              <w:ind w:firstLine="0"/>
              <w:contextualSpacing w:val="0"/>
            </w:pPr>
            <w:r>
              <w:t>96912</w:t>
            </w:r>
          </w:p>
        </w:tc>
        <w:tc>
          <w:tcPr>
            <w:tcW w:w="1727" w:type="dxa"/>
          </w:tcPr>
          <w:p w14:paraId="7AF7F468" w14:textId="77777777" w:rsidR="00C67E15" w:rsidRDefault="007D1B8E" w:rsidP="009F0EC6">
            <w:pPr>
              <w:pStyle w:val="normal0"/>
              <w:spacing w:before="0" w:line="240" w:lineRule="auto"/>
              <w:ind w:firstLine="0"/>
              <w:contextualSpacing w:val="0"/>
            </w:pPr>
            <w:r>
              <w:t>-12322.41823</w:t>
            </w:r>
          </w:p>
        </w:tc>
        <w:tc>
          <w:tcPr>
            <w:tcW w:w="1727" w:type="dxa"/>
          </w:tcPr>
          <w:p w14:paraId="15682635" w14:textId="77777777" w:rsidR="00C67E15" w:rsidRDefault="007D1B8E" w:rsidP="009F0EC6">
            <w:pPr>
              <w:pStyle w:val="normal0"/>
              <w:spacing w:before="0" w:line="240" w:lineRule="auto"/>
              <w:ind w:firstLine="0"/>
              <w:contextualSpacing w:val="0"/>
            </w:pPr>
            <w:r>
              <w:t>-12233.6038</w:t>
            </w:r>
          </w:p>
        </w:tc>
        <w:tc>
          <w:tcPr>
            <w:tcW w:w="1440" w:type="dxa"/>
          </w:tcPr>
          <w:p w14:paraId="578E6C6F" w14:textId="77777777" w:rsidR="00C67E15" w:rsidRDefault="007D1B8E" w:rsidP="009F0EC6">
            <w:pPr>
              <w:pStyle w:val="normal0"/>
              <w:spacing w:before="0" w:line="240" w:lineRule="auto"/>
              <w:ind w:firstLine="0"/>
              <w:contextualSpacing w:val="0"/>
              <w:jc w:val="center"/>
            </w:pPr>
            <w:r>
              <w:t>35</w:t>
            </w:r>
          </w:p>
        </w:tc>
        <w:tc>
          <w:tcPr>
            <w:tcW w:w="1440" w:type="dxa"/>
          </w:tcPr>
          <w:p w14:paraId="0DE2CC79" w14:textId="77777777" w:rsidR="00C67E15" w:rsidRDefault="007D1B8E" w:rsidP="009F0EC6">
            <w:pPr>
              <w:pStyle w:val="normal0"/>
              <w:spacing w:before="0" w:line="240" w:lineRule="auto"/>
              <w:ind w:firstLine="0"/>
              <w:contextualSpacing w:val="0"/>
            </w:pPr>
            <w:r>
              <w:t>24537.20761</w:t>
            </w:r>
          </w:p>
        </w:tc>
        <w:tc>
          <w:tcPr>
            <w:tcW w:w="1440" w:type="dxa"/>
          </w:tcPr>
          <w:p w14:paraId="50CAF1E2" w14:textId="77777777" w:rsidR="00C67E15" w:rsidRDefault="007D1B8E" w:rsidP="009F0EC6">
            <w:pPr>
              <w:pStyle w:val="normal0"/>
              <w:spacing w:before="0" w:line="240" w:lineRule="auto"/>
              <w:ind w:firstLine="0"/>
              <w:contextualSpacing w:val="0"/>
            </w:pPr>
            <w:proofErr w:type="gramStart"/>
            <w:r>
              <w:t>opera</w:t>
            </w:r>
            <w:proofErr w:type="gramEnd"/>
          </w:p>
        </w:tc>
      </w:tr>
      <w:tr w:rsidR="00C67E15" w14:paraId="796854C1" w14:textId="77777777" w:rsidTr="00E44913">
        <w:tc>
          <w:tcPr>
            <w:tcW w:w="1440" w:type="dxa"/>
          </w:tcPr>
          <w:p w14:paraId="7BE28B5E" w14:textId="77777777" w:rsidR="00C67E15" w:rsidRDefault="007D1B8E" w:rsidP="009F0EC6">
            <w:pPr>
              <w:pStyle w:val="normal0"/>
              <w:spacing w:before="0" w:line="240" w:lineRule="auto"/>
              <w:ind w:firstLine="0"/>
              <w:contextualSpacing w:val="0"/>
            </w:pPr>
            <w:r>
              <w:lastRenderedPageBreak/>
              <w:t>96869</w:t>
            </w:r>
          </w:p>
        </w:tc>
        <w:tc>
          <w:tcPr>
            <w:tcW w:w="1727" w:type="dxa"/>
          </w:tcPr>
          <w:p w14:paraId="3D098BFC" w14:textId="77777777" w:rsidR="00C67E15" w:rsidRDefault="007D1B8E" w:rsidP="009F0EC6">
            <w:pPr>
              <w:pStyle w:val="normal0"/>
              <w:spacing w:before="0" w:line="240" w:lineRule="auto"/>
              <w:ind w:firstLine="0"/>
              <w:contextualSpacing w:val="0"/>
            </w:pPr>
            <w:r>
              <w:t>-45081.47682</w:t>
            </w:r>
          </w:p>
        </w:tc>
        <w:tc>
          <w:tcPr>
            <w:tcW w:w="1727" w:type="dxa"/>
          </w:tcPr>
          <w:p w14:paraId="324C1FAF" w14:textId="77777777" w:rsidR="00C67E15" w:rsidRDefault="007D1B8E" w:rsidP="009F0EC6">
            <w:pPr>
              <w:pStyle w:val="normal0"/>
              <w:spacing w:before="0" w:line="240" w:lineRule="auto"/>
              <w:ind w:firstLine="0"/>
              <w:contextualSpacing w:val="0"/>
            </w:pPr>
            <w:r>
              <w:t>-44715.95893</w:t>
            </w:r>
          </w:p>
        </w:tc>
        <w:tc>
          <w:tcPr>
            <w:tcW w:w="1440" w:type="dxa"/>
          </w:tcPr>
          <w:p w14:paraId="2D684DF3" w14:textId="77777777" w:rsidR="00C67E15" w:rsidRDefault="007D1B8E" w:rsidP="009F0EC6">
            <w:pPr>
              <w:pStyle w:val="normal0"/>
              <w:spacing w:before="0" w:line="240" w:lineRule="auto"/>
              <w:ind w:firstLine="0"/>
              <w:contextualSpacing w:val="0"/>
              <w:jc w:val="center"/>
            </w:pPr>
            <w:r>
              <w:t>35</w:t>
            </w:r>
          </w:p>
        </w:tc>
        <w:tc>
          <w:tcPr>
            <w:tcW w:w="1440" w:type="dxa"/>
          </w:tcPr>
          <w:p w14:paraId="158320CC" w14:textId="77777777" w:rsidR="00C67E15" w:rsidRDefault="007D1B8E" w:rsidP="009F0EC6">
            <w:pPr>
              <w:pStyle w:val="normal0"/>
              <w:spacing w:before="0" w:line="240" w:lineRule="auto"/>
              <w:ind w:firstLine="0"/>
              <w:contextualSpacing w:val="0"/>
            </w:pPr>
            <w:r>
              <w:t>89501.91786</w:t>
            </w:r>
          </w:p>
        </w:tc>
        <w:tc>
          <w:tcPr>
            <w:tcW w:w="1440" w:type="dxa"/>
          </w:tcPr>
          <w:p w14:paraId="628DEA74" w14:textId="77777777" w:rsidR="00C67E15" w:rsidRDefault="007D1B8E" w:rsidP="009F0EC6">
            <w:pPr>
              <w:pStyle w:val="normal0"/>
              <w:spacing w:before="0" w:line="240" w:lineRule="auto"/>
              <w:ind w:firstLine="0"/>
              <w:contextualSpacing w:val="0"/>
            </w:pPr>
            <w:proofErr w:type="gramStart"/>
            <w:r>
              <w:t>musical</w:t>
            </w:r>
            <w:proofErr w:type="gramEnd"/>
          </w:p>
        </w:tc>
      </w:tr>
      <w:tr w:rsidR="00C67E15" w14:paraId="5E87966E" w14:textId="77777777" w:rsidTr="00E44913">
        <w:tc>
          <w:tcPr>
            <w:tcW w:w="1440" w:type="dxa"/>
          </w:tcPr>
          <w:p w14:paraId="3288708B" w14:textId="77777777" w:rsidR="00C67E15" w:rsidRDefault="007D1B8E" w:rsidP="009F0EC6">
            <w:pPr>
              <w:pStyle w:val="normal0"/>
              <w:spacing w:before="0" w:line="240" w:lineRule="auto"/>
              <w:ind w:firstLine="0"/>
              <w:contextualSpacing w:val="0"/>
            </w:pPr>
            <w:r>
              <w:t>96845</w:t>
            </w:r>
          </w:p>
        </w:tc>
        <w:tc>
          <w:tcPr>
            <w:tcW w:w="1727" w:type="dxa"/>
          </w:tcPr>
          <w:p w14:paraId="375244DC" w14:textId="77777777" w:rsidR="00C67E15" w:rsidRDefault="007D1B8E" w:rsidP="009F0EC6">
            <w:pPr>
              <w:pStyle w:val="normal0"/>
              <w:spacing w:before="0" w:line="240" w:lineRule="auto"/>
              <w:ind w:firstLine="0"/>
              <w:contextualSpacing w:val="0"/>
            </w:pPr>
            <w:r>
              <w:t>-15817.60051</w:t>
            </w:r>
          </w:p>
        </w:tc>
        <w:tc>
          <w:tcPr>
            <w:tcW w:w="1727" w:type="dxa"/>
          </w:tcPr>
          <w:p w14:paraId="6A2886E2" w14:textId="77777777" w:rsidR="00C67E15" w:rsidRDefault="007D1B8E" w:rsidP="009F0EC6">
            <w:pPr>
              <w:pStyle w:val="normal0"/>
              <w:spacing w:before="0" w:line="240" w:lineRule="auto"/>
              <w:ind w:firstLine="0"/>
              <w:contextualSpacing w:val="0"/>
            </w:pPr>
            <w:r>
              <w:t>-15660.02245</w:t>
            </w:r>
          </w:p>
        </w:tc>
        <w:tc>
          <w:tcPr>
            <w:tcW w:w="1440" w:type="dxa"/>
          </w:tcPr>
          <w:p w14:paraId="2FCB7993" w14:textId="77777777" w:rsidR="00C67E15" w:rsidRDefault="007D1B8E" w:rsidP="009F0EC6">
            <w:pPr>
              <w:pStyle w:val="normal0"/>
              <w:spacing w:before="0" w:line="240" w:lineRule="auto"/>
              <w:ind w:firstLine="0"/>
              <w:contextualSpacing w:val="0"/>
              <w:jc w:val="center"/>
            </w:pPr>
            <w:r>
              <w:t>34</w:t>
            </w:r>
          </w:p>
        </w:tc>
        <w:tc>
          <w:tcPr>
            <w:tcW w:w="1440" w:type="dxa"/>
          </w:tcPr>
          <w:p w14:paraId="2C03BE57" w14:textId="77777777" w:rsidR="00C67E15" w:rsidRDefault="007D1B8E" w:rsidP="009F0EC6">
            <w:pPr>
              <w:pStyle w:val="normal0"/>
              <w:spacing w:before="0" w:line="240" w:lineRule="auto"/>
              <w:ind w:firstLine="0"/>
              <w:contextualSpacing w:val="0"/>
            </w:pPr>
            <w:r>
              <w:t>31388.04491</w:t>
            </w:r>
          </w:p>
        </w:tc>
        <w:tc>
          <w:tcPr>
            <w:tcW w:w="1440" w:type="dxa"/>
          </w:tcPr>
          <w:p w14:paraId="26A9E374" w14:textId="77777777" w:rsidR="00C67E15" w:rsidRDefault="007D1B8E" w:rsidP="009F0EC6">
            <w:pPr>
              <w:pStyle w:val="normal0"/>
              <w:spacing w:before="0" w:line="240" w:lineRule="auto"/>
              <w:ind w:firstLine="0"/>
              <w:contextualSpacing w:val="0"/>
            </w:pPr>
            <w:proofErr w:type="gramStart"/>
            <w:r>
              <w:t>ballet</w:t>
            </w:r>
            <w:proofErr w:type="gramEnd"/>
          </w:p>
        </w:tc>
      </w:tr>
      <w:tr w:rsidR="00C67E15" w14:paraId="757BD529" w14:textId="77777777" w:rsidTr="00E44913">
        <w:tc>
          <w:tcPr>
            <w:tcW w:w="1440" w:type="dxa"/>
          </w:tcPr>
          <w:p w14:paraId="12A2EA22" w14:textId="77777777" w:rsidR="00C67E15" w:rsidRDefault="007D1B8E" w:rsidP="009F0EC6">
            <w:pPr>
              <w:pStyle w:val="normal0"/>
              <w:spacing w:before="0" w:line="240" w:lineRule="auto"/>
              <w:ind w:firstLine="0"/>
              <w:contextualSpacing w:val="0"/>
            </w:pPr>
            <w:r>
              <w:t>96723</w:t>
            </w:r>
          </w:p>
        </w:tc>
        <w:tc>
          <w:tcPr>
            <w:tcW w:w="1727" w:type="dxa"/>
          </w:tcPr>
          <w:p w14:paraId="0EFCCA9C" w14:textId="77777777" w:rsidR="00C67E15" w:rsidRDefault="007D1B8E" w:rsidP="009F0EC6">
            <w:pPr>
              <w:pStyle w:val="normal0"/>
              <w:spacing w:before="0" w:line="240" w:lineRule="auto"/>
              <w:ind w:firstLine="0"/>
              <w:contextualSpacing w:val="0"/>
            </w:pPr>
            <w:r>
              <w:t>-53431.39911</w:t>
            </w:r>
          </w:p>
        </w:tc>
        <w:tc>
          <w:tcPr>
            <w:tcW w:w="1727" w:type="dxa"/>
          </w:tcPr>
          <w:p w14:paraId="12F57540" w14:textId="77777777" w:rsidR="00C67E15" w:rsidRDefault="007D1B8E" w:rsidP="009F0EC6">
            <w:pPr>
              <w:pStyle w:val="normal0"/>
              <w:spacing w:before="0" w:line="240" w:lineRule="auto"/>
              <w:ind w:firstLine="0"/>
              <w:contextualSpacing w:val="0"/>
            </w:pPr>
            <w:r>
              <w:t>-52796.43574</w:t>
            </w:r>
          </w:p>
        </w:tc>
        <w:tc>
          <w:tcPr>
            <w:tcW w:w="1440" w:type="dxa"/>
          </w:tcPr>
          <w:p w14:paraId="6D9FE307" w14:textId="77777777" w:rsidR="00C67E15" w:rsidRDefault="007D1B8E" w:rsidP="009F0EC6">
            <w:pPr>
              <w:pStyle w:val="normal0"/>
              <w:spacing w:before="0" w:line="240" w:lineRule="auto"/>
              <w:ind w:firstLine="0"/>
              <w:contextualSpacing w:val="0"/>
              <w:jc w:val="center"/>
            </w:pPr>
            <w:r>
              <w:t>36</w:t>
            </w:r>
          </w:p>
        </w:tc>
        <w:tc>
          <w:tcPr>
            <w:tcW w:w="1440" w:type="dxa"/>
          </w:tcPr>
          <w:p w14:paraId="29D56806" w14:textId="77777777" w:rsidR="00C67E15" w:rsidRDefault="007D1B8E" w:rsidP="009F0EC6">
            <w:pPr>
              <w:pStyle w:val="normal0"/>
              <w:spacing w:before="0" w:line="240" w:lineRule="auto"/>
              <w:ind w:firstLine="0"/>
              <w:contextualSpacing w:val="0"/>
            </w:pPr>
            <w:r>
              <w:t>105664.8715</w:t>
            </w:r>
          </w:p>
        </w:tc>
        <w:tc>
          <w:tcPr>
            <w:tcW w:w="1440" w:type="dxa"/>
          </w:tcPr>
          <w:p w14:paraId="7B0477FB" w14:textId="77777777" w:rsidR="00C67E15" w:rsidRDefault="007D1B8E" w:rsidP="009F0EC6">
            <w:pPr>
              <w:pStyle w:val="normal0"/>
              <w:spacing w:before="0" w:line="240" w:lineRule="auto"/>
              <w:ind w:firstLine="0"/>
              <w:contextualSpacing w:val="0"/>
            </w:pPr>
            <w:proofErr w:type="spellStart"/>
            <w:proofErr w:type="gramStart"/>
            <w:r>
              <w:t>artmuseum</w:t>
            </w:r>
            <w:proofErr w:type="spellEnd"/>
            <w:proofErr w:type="gramEnd"/>
          </w:p>
        </w:tc>
      </w:tr>
      <w:tr w:rsidR="00C67E15" w14:paraId="6E23B1BD" w14:textId="77777777" w:rsidTr="00E44913">
        <w:tc>
          <w:tcPr>
            <w:tcW w:w="1440" w:type="dxa"/>
          </w:tcPr>
          <w:p w14:paraId="2AAD8533" w14:textId="77777777" w:rsidR="00C67E15" w:rsidRDefault="007D1B8E" w:rsidP="009F0EC6">
            <w:pPr>
              <w:pStyle w:val="normal0"/>
              <w:spacing w:before="0" w:line="240" w:lineRule="auto"/>
              <w:ind w:firstLine="0"/>
              <w:contextualSpacing w:val="0"/>
            </w:pPr>
            <w:r>
              <w:t>72337</w:t>
            </w:r>
          </w:p>
        </w:tc>
        <w:tc>
          <w:tcPr>
            <w:tcW w:w="1727" w:type="dxa"/>
          </w:tcPr>
          <w:p w14:paraId="5DDBC061" w14:textId="77777777" w:rsidR="00C67E15" w:rsidRDefault="007D1B8E" w:rsidP="009F0EC6">
            <w:pPr>
              <w:pStyle w:val="normal0"/>
              <w:spacing w:before="0" w:line="240" w:lineRule="auto"/>
              <w:ind w:firstLine="0"/>
              <w:contextualSpacing w:val="0"/>
            </w:pPr>
            <w:r>
              <w:t>-45277.88053</w:t>
            </w:r>
          </w:p>
        </w:tc>
        <w:tc>
          <w:tcPr>
            <w:tcW w:w="1727" w:type="dxa"/>
          </w:tcPr>
          <w:p w14:paraId="527034AF" w14:textId="77777777" w:rsidR="00C67E15" w:rsidRDefault="007D1B8E" w:rsidP="009F0EC6">
            <w:pPr>
              <w:pStyle w:val="normal0"/>
              <w:spacing w:before="0" w:line="240" w:lineRule="auto"/>
              <w:ind w:firstLine="0"/>
              <w:contextualSpacing w:val="0"/>
            </w:pPr>
            <w:r>
              <w:t>-43986.08967</w:t>
            </w:r>
          </w:p>
        </w:tc>
        <w:tc>
          <w:tcPr>
            <w:tcW w:w="1440" w:type="dxa"/>
          </w:tcPr>
          <w:p w14:paraId="35A2098C" w14:textId="77777777" w:rsidR="00C67E15" w:rsidRDefault="007D1B8E" w:rsidP="009F0EC6">
            <w:pPr>
              <w:pStyle w:val="normal0"/>
              <w:spacing w:before="0" w:line="240" w:lineRule="auto"/>
              <w:ind w:firstLine="0"/>
              <w:contextualSpacing w:val="0"/>
              <w:jc w:val="center"/>
            </w:pPr>
            <w:r>
              <w:t>35</w:t>
            </w:r>
          </w:p>
        </w:tc>
        <w:tc>
          <w:tcPr>
            <w:tcW w:w="1440" w:type="dxa"/>
          </w:tcPr>
          <w:p w14:paraId="24550FE3" w14:textId="77777777" w:rsidR="00C67E15" w:rsidRDefault="007D1B8E" w:rsidP="009F0EC6">
            <w:pPr>
              <w:pStyle w:val="normal0"/>
              <w:spacing w:before="0" w:line="240" w:lineRule="auto"/>
              <w:ind w:firstLine="0"/>
              <w:contextualSpacing w:val="0"/>
            </w:pPr>
            <w:r>
              <w:t>88042.17934</w:t>
            </w:r>
          </w:p>
        </w:tc>
        <w:tc>
          <w:tcPr>
            <w:tcW w:w="1440" w:type="dxa"/>
          </w:tcPr>
          <w:p w14:paraId="6E4F2AA3" w14:textId="77777777" w:rsidR="00C67E15" w:rsidRDefault="007D1B8E" w:rsidP="009F0EC6">
            <w:pPr>
              <w:pStyle w:val="normal0"/>
              <w:spacing w:before="0" w:line="240" w:lineRule="auto"/>
              <w:ind w:firstLine="0"/>
              <w:contextualSpacing w:val="0"/>
            </w:pPr>
            <w:proofErr w:type="spellStart"/>
            <w:proofErr w:type="gramStart"/>
            <w:r>
              <w:t>craft</w:t>
            </w:r>
            <w:proofErr w:type="gramEnd"/>
            <w:r>
              <w:t>_fair</w:t>
            </w:r>
            <w:proofErr w:type="spellEnd"/>
          </w:p>
        </w:tc>
      </w:tr>
      <w:tr w:rsidR="00C67E15" w14:paraId="1A8DEA6C" w14:textId="77777777" w:rsidTr="00E44913">
        <w:tc>
          <w:tcPr>
            <w:tcW w:w="1440" w:type="dxa"/>
          </w:tcPr>
          <w:p w14:paraId="6A6689AE" w14:textId="77777777" w:rsidR="00C67E15" w:rsidRDefault="007D1B8E" w:rsidP="009F0EC6">
            <w:pPr>
              <w:pStyle w:val="normal0"/>
              <w:spacing w:before="0" w:line="240" w:lineRule="auto"/>
              <w:ind w:firstLine="0"/>
              <w:contextualSpacing w:val="0"/>
            </w:pPr>
            <w:r>
              <w:t>72297</w:t>
            </w:r>
          </w:p>
        </w:tc>
        <w:tc>
          <w:tcPr>
            <w:tcW w:w="1727" w:type="dxa"/>
          </w:tcPr>
          <w:p w14:paraId="7ABCD94F" w14:textId="77777777" w:rsidR="00C67E15" w:rsidRDefault="007D1B8E" w:rsidP="009F0EC6">
            <w:pPr>
              <w:pStyle w:val="normal0"/>
              <w:spacing w:before="0" w:line="240" w:lineRule="auto"/>
              <w:ind w:firstLine="0"/>
              <w:contextualSpacing w:val="0"/>
            </w:pPr>
            <w:r>
              <w:t>-44412.32366</w:t>
            </w:r>
          </w:p>
        </w:tc>
        <w:tc>
          <w:tcPr>
            <w:tcW w:w="1727" w:type="dxa"/>
          </w:tcPr>
          <w:p w14:paraId="39E9AAA1" w14:textId="77777777" w:rsidR="00C67E15" w:rsidRDefault="007D1B8E" w:rsidP="009F0EC6">
            <w:pPr>
              <w:pStyle w:val="normal0"/>
              <w:spacing w:before="0" w:line="240" w:lineRule="auto"/>
              <w:ind w:firstLine="0"/>
              <w:contextualSpacing w:val="0"/>
            </w:pPr>
            <w:r>
              <w:t>-43474.3563</w:t>
            </w:r>
          </w:p>
        </w:tc>
        <w:tc>
          <w:tcPr>
            <w:tcW w:w="1440" w:type="dxa"/>
          </w:tcPr>
          <w:p w14:paraId="5443B0F0" w14:textId="77777777" w:rsidR="00C67E15" w:rsidRDefault="007D1B8E" w:rsidP="009F0EC6">
            <w:pPr>
              <w:pStyle w:val="normal0"/>
              <w:spacing w:before="0" w:line="240" w:lineRule="auto"/>
              <w:ind w:firstLine="0"/>
              <w:contextualSpacing w:val="0"/>
              <w:jc w:val="center"/>
            </w:pPr>
            <w:r>
              <w:t>35</w:t>
            </w:r>
          </w:p>
        </w:tc>
        <w:tc>
          <w:tcPr>
            <w:tcW w:w="1440" w:type="dxa"/>
          </w:tcPr>
          <w:p w14:paraId="43E7C7D8" w14:textId="77777777" w:rsidR="00C67E15" w:rsidRDefault="007D1B8E" w:rsidP="009F0EC6">
            <w:pPr>
              <w:pStyle w:val="normal0"/>
              <w:spacing w:before="0" w:line="240" w:lineRule="auto"/>
              <w:ind w:firstLine="0"/>
              <w:contextualSpacing w:val="0"/>
            </w:pPr>
            <w:r>
              <w:t>87018.7126</w:t>
            </w:r>
          </w:p>
        </w:tc>
        <w:tc>
          <w:tcPr>
            <w:tcW w:w="1440" w:type="dxa"/>
          </w:tcPr>
          <w:p w14:paraId="2DEA8F73" w14:textId="77777777" w:rsidR="00C67E15" w:rsidRDefault="007D1B8E" w:rsidP="009F0EC6">
            <w:pPr>
              <w:pStyle w:val="normal0"/>
              <w:spacing w:before="0" w:line="240" w:lineRule="auto"/>
              <w:ind w:firstLine="0"/>
              <w:contextualSpacing w:val="0"/>
            </w:pPr>
            <w:proofErr w:type="gramStart"/>
            <w:r>
              <w:t>park</w:t>
            </w:r>
            <w:proofErr w:type="gramEnd"/>
          </w:p>
        </w:tc>
      </w:tr>
      <w:tr w:rsidR="00C67E15" w14:paraId="76BF44FD" w14:textId="77777777" w:rsidTr="00E44913">
        <w:tc>
          <w:tcPr>
            <w:tcW w:w="9214" w:type="dxa"/>
            <w:gridSpan w:val="6"/>
          </w:tcPr>
          <w:p w14:paraId="5166FB30" w14:textId="77777777" w:rsidR="00C67E15" w:rsidRPr="00E44913" w:rsidRDefault="007D1B8E" w:rsidP="009F0EC6">
            <w:pPr>
              <w:pStyle w:val="normal0"/>
              <w:spacing w:before="0" w:line="240" w:lineRule="auto"/>
              <w:ind w:firstLine="0"/>
              <w:contextualSpacing w:val="0"/>
              <w:jc w:val="center"/>
              <w:rPr>
                <w:b/>
                <w:color w:val="FFFFFF"/>
              </w:rPr>
            </w:pPr>
            <w:r>
              <w:rPr>
                <w:b/>
                <w:color w:val="FFFFFF"/>
              </w:rPr>
              <w:t>Age + Period + Cohort Effects</w:t>
            </w:r>
          </w:p>
        </w:tc>
      </w:tr>
      <w:tr w:rsidR="00C67E15" w14:paraId="5343B924" w14:textId="77777777" w:rsidTr="00E44913">
        <w:trPr>
          <w:trHeight w:val="120"/>
        </w:trPr>
        <w:tc>
          <w:tcPr>
            <w:tcW w:w="1440" w:type="dxa"/>
          </w:tcPr>
          <w:p w14:paraId="22C694F9" w14:textId="77777777" w:rsidR="00C67E15" w:rsidRPr="00E44913" w:rsidRDefault="007D1B8E" w:rsidP="009F0EC6">
            <w:pPr>
              <w:pStyle w:val="normal0"/>
              <w:spacing w:before="0" w:line="240" w:lineRule="auto"/>
              <w:ind w:firstLine="0"/>
              <w:contextualSpacing w:val="0"/>
              <w:rPr>
                <w:b/>
                <w:color w:val="FFFFFF"/>
              </w:rPr>
            </w:pPr>
            <w:r>
              <w:rPr>
                <w:b/>
                <w:color w:val="FFFFFF"/>
              </w:rPr>
              <w:t>N</w:t>
            </w:r>
          </w:p>
        </w:tc>
        <w:tc>
          <w:tcPr>
            <w:tcW w:w="1727" w:type="dxa"/>
          </w:tcPr>
          <w:p w14:paraId="374DE00F" w14:textId="77777777" w:rsidR="00C67E15" w:rsidRPr="00E44913" w:rsidRDefault="007D1B8E" w:rsidP="009F0EC6">
            <w:pPr>
              <w:pStyle w:val="normal0"/>
              <w:spacing w:before="0" w:line="240" w:lineRule="auto"/>
              <w:ind w:firstLine="0"/>
              <w:contextualSpacing w:val="0"/>
              <w:rPr>
                <w:b/>
                <w:color w:val="FFFFFF"/>
              </w:rPr>
            </w:pPr>
            <w:r>
              <w:rPr>
                <w:b/>
                <w:color w:val="FFFFFF"/>
              </w:rPr>
              <w:t>LL (Null)</w:t>
            </w:r>
          </w:p>
        </w:tc>
        <w:tc>
          <w:tcPr>
            <w:tcW w:w="1727" w:type="dxa"/>
          </w:tcPr>
          <w:p w14:paraId="419983DA" w14:textId="77777777" w:rsidR="00C67E15" w:rsidRPr="00E44913" w:rsidRDefault="007D1B8E" w:rsidP="009F0EC6">
            <w:pPr>
              <w:pStyle w:val="normal0"/>
              <w:spacing w:before="0" w:line="240" w:lineRule="auto"/>
              <w:ind w:firstLine="0"/>
              <w:contextualSpacing w:val="0"/>
              <w:rPr>
                <w:b/>
                <w:color w:val="FFFFFF"/>
              </w:rPr>
            </w:pPr>
            <w:r>
              <w:rPr>
                <w:b/>
                <w:color w:val="FFFFFF"/>
              </w:rPr>
              <w:t>LL (Model)</w:t>
            </w:r>
          </w:p>
        </w:tc>
        <w:tc>
          <w:tcPr>
            <w:tcW w:w="1440" w:type="dxa"/>
          </w:tcPr>
          <w:p w14:paraId="39642B52" w14:textId="77777777" w:rsidR="00C67E15" w:rsidRPr="00E44913" w:rsidRDefault="007D1B8E" w:rsidP="009F0EC6">
            <w:pPr>
              <w:pStyle w:val="normal0"/>
              <w:spacing w:before="0" w:line="240" w:lineRule="auto"/>
              <w:ind w:firstLine="0"/>
              <w:contextualSpacing w:val="0"/>
              <w:jc w:val="center"/>
              <w:rPr>
                <w:b/>
                <w:color w:val="FFFFFF"/>
              </w:rPr>
            </w:pPr>
            <w:r>
              <w:rPr>
                <w:b/>
                <w:color w:val="FFFFFF"/>
              </w:rPr>
              <w:t>DF</w:t>
            </w:r>
          </w:p>
        </w:tc>
        <w:tc>
          <w:tcPr>
            <w:tcW w:w="1440" w:type="dxa"/>
          </w:tcPr>
          <w:p w14:paraId="52DEBC8F" w14:textId="77777777" w:rsidR="00C67E15" w:rsidRPr="00E44913" w:rsidRDefault="007D1B8E" w:rsidP="009F0EC6">
            <w:pPr>
              <w:pStyle w:val="normal0"/>
              <w:spacing w:before="0" w:line="240" w:lineRule="auto"/>
              <w:ind w:firstLine="0"/>
              <w:contextualSpacing w:val="0"/>
              <w:rPr>
                <w:b/>
                <w:color w:val="FFFFFF"/>
              </w:rPr>
            </w:pPr>
            <w:r>
              <w:rPr>
                <w:b/>
                <w:color w:val="FFFFFF"/>
              </w:rPr>
              <w:t>AIC</w:t>
            </w:r>
          </w:p>
        </w:tc>
        <w:tc>
          <w:tcPr>
            <w:tcW w:w="1440" w:type="dxa"/>
          </w:tcPr>
          <w:p w14:paraId="45F496A3" w14:textId="77777777" w:rsidR="00C67E15" w:rsidRPr="00E44913" w:rsidRDefault="00C67E15" w:rsidP="009F0EC6">
            <w:pPr>
              <w:pStyle w:val="normal0"/>
              <w:spacing w:before="0" w:line="240" w:lineRule="auto"/>
              <w:ind w:firstLine="0"/>
              <w:contextualSpacing w:val="0"/>
              <w:rPr>
                <w:b/>
                <w:color w:val="FFFFFF"/>
              </w:rPr>
            </w:pPr>
          </w:p>
        </w:tc>
      </w:tr>
      <w:tr w:rsidR="00C67E15" w14:paraId="3E9242C8" w14:textId="77777777" w:rsidTr="00E44913">
        <w:tc>
          <w:tcPr>
            <w:tcW w:w="1440" w:type="dxa"/>
          </w:tcPr>
          <w:p w14:paraId="68227052" w14:textId="77777777" w:rsidR="00C67E15" w:rsidRDefault="007D1B8E" w:rsidP="009F0EC6">
            <w:pPr>
              <w:pStyle w:val="normal0"/>
              <w:spacing w:before="0" w:line="240" w:lineRule="auto"/>
              <w:ind w:firstLine="0"/>
              <w:contextualSpacing w:val="0"/>
            </w:pPr>
            <w:r>
              <w:t>96953</w:t>
            </w:r>
          </w:p>
        </w:tc>
        <w:tc>
          <w:tcPr>
            <w:tcW w:w="1727" w:type="dxa"/>
          </w:tcPr>
          <w:p w14:paraId="0C3BD641" w14:textId="77777777" w:rsidR="00C67E15" w:rsidRDefault="007D1B8E" w:rsidP="009F0EC6">
            <w:pPr>
              <w:pStyle w:val="normal0"/>
              <w:spacing w:before="0" w:line="240" w:lineRule="auto"/>
              <w:ind w:firstLine="0"/>
              <w:contextualSpacing w:val="0"/>
            </w:pPr>
            <w:r>
              <w:t>-30195.87534</w:t>
            </w:r>
          </w:p>
        </w:tc>
        <w:tc>
          <w:tcPr>
            <w:tcW w:w="1727" w:type="dxa"/>
          </w:tcPr>
          <w:p w14:paraId="6E9734A2" w14:textId="77777777" w:rsidR="00C67E15" w:rsidRDefault="007D1B8E" w:rsidP="009F0EC6">
            <w:pPr>
              <w:pStyle w:val="normal0"/>
              <w:spacing w:before="0" w:line="240" w:lineRule="auto"/>
              <w:ind w:firstLine="0"/>
              <w:contextualSpacing w:val="0"/>
            </w:pPr>
            <w:r>
              <w:t>-29384.71125</w:t>
            </w:r>
          </w:p>
        </w:tc>
        <w:tc>
          <w:tcPr>
            <w:tcW w:w="1440" w:type="dxa"/>
          </w:tcPr>
          <w:p w14:paraId="39CB0D75" w14:textId="77777777" w:rsidR="00C67E15" w:rsidRDefault="007D1B8E" w:rsidP="009F0EC6">
            <w:pPr>
              <w:pStyle w:val="normal0"/>
              <w:spacing w:before="0" w:line="240" w:lineRule="auto"/>
              <w:ind w:firstLine="0"/>
              <w:contextualSpacing w:val="0"/>
              <w:jc w:val="center"/>
            </w:pPr>
            <w:r>
              <w:t>39</w:t>
            </w:r>
          </w:p>
        </w:tc>
        <w:tc>
          <w:tcPr>
            <w:tcW w:w="1440" w:type="dxa"/>
          </w:tcPr>
          <w:p w14:paraId="3DD01CD8" w14:textId="77777777" w:rsidR="00C67E15" w:rsidRDefault="007D1B8E" w:rsidP="009F0EC6">
            <w:pPr>
              <w:pStyle w:val="normal0"/>
              <w:spacing w:before="0" w:line="240" w:lineRule="auto"/>
              <w:ind w:firstLine="0"/>
              <w:contextualSpacing w:val="0"/>
            </w:pPr>
            <w:r>
              <w:t>58847.4225</w:t>
            </w:r>
          </w:p>
        </w:tc>
        <w:tc>
          <w:tcPr>
            <w:tcW w:w="1440" w:type="dxa"/>
          </w:tcPr>
          <w:p w14:paraId="73EF4E0D" w14:textId="77777777" w:rsidR="00C67E15" w:rsidRDefault="007D1B8E" w:rsidP="009F0EC6">
            <w:pPr>
              <w:pStyle w:val="normal0"/>
              <w:spacing w:before="0" w:line="240" w:lineRule="auto"/>
              <w:ind w:firstLine="0"/>
              <w:contextualSpacing w:val="0"/>
            </w:pPr>
            <w:proofErr w:type="gramStart"/>
            <w:r>
              <w:t>jazz</w:t>
            </w:r>
            <w:proofErr w:type="gramEnd"/>
          </w:p>
        </w:tc>
      </w:tr>
      <w:tr w:rsidR="00C67E15" w14:paraId="588D7C16" w14:textId="77777777" w:rsidTr="00E44913">
        <w:tc>
          <w:tcPr>
            <w:tcW w:w="1440" w:type="dxa"/>
          </w:tcPr>
          <w:p w14:paraId="0C18C874" w14:textId="77777777" w:rsidR="00C67E15" w:rsidRDefault="007D1B8E" w:rsidP="009F0EC6">
            <w:pPr>
              <w:pStyle w:val="normal0"/>
              <w:spacing w:before="0" w:line="240" w:lineRule="auto"/>
              <w:ind w:firstLine="0"/>
              <w:contextualSpacing w:val="0"/>
            </w:pPr>
            <w:r>
              <w:t>96972</w:t>
            </w:r>
          </w:p>
        </w:tc>
        <w:tc>
          <w:tcPr>
            <w:tcW w:w="1727" w:type="dxa"/>
          </w:tcPr>
          <w:p w14:paraId="2DCEBCCB" w14:textId="77777777" w:rsidR="00C67E15" w:rsidRDefault="007D1B8E" w:rsidP="009F0EC6">
            <w:pPr>
              <w:pStyle w:val="normal0"/>
              <w:spacing w:before="0" w:line="240" w:lineRule="auto"/>
              <w:ind w:firstLine="0"/>
              <w:contextualSpacing w:val="0"/>
            </w:pPr>
            <w:r>
              <w:t>-34992.152</w:t>
            </w:r>
          </w:p>
        </w:tc>
        <w:tc>
          <w:tcPr>
            <w:tcW w:w="1727" w:type="dxa"/>
          </w:tcPr>
          <w:p w14:paraId="6F2D897E" w14:textId="77777777" w:rsidR="00C67E15" w:rsidRDefault="007D1B8E" w:rsidP="009F0EC6">
            <w:pPr>
              <w:pStyle w:val="normal0"/>
              <w:spacing w:before="0" w:line="240" w:lineRule="auto"/>
              <w:ind w:firstLine="0"/>
              <w:contextualSpacing w:val="0"/>
            </w:pPr>
            <w:r>
              <w:t>-34584.94417</w:t>
            </w:r>
          </w:p>
        </w:tc>
        <w:tc>
          <w:tcPr>
            <w:tcW w:w="1440" w:type="dxa"/>
          </w:tcPr>
          <w:p w14:paraId="41008722" w14:textId="77777777" w:rsidR="00C67E15" w:rsidRDefault="007D1B8E" w:rsidP="009F0EC6">
            <w:pPr>
              <w:pStyle w:val="normal0"/>
              <w:spacing w:before="0" w:line="240" w:lineRule="auto"/>
              <w:ind w:firstLine="0"/>
              <w:contextualSpacing w:val="0"/>
              <w:jc w:val="center"/>
            </w:pPr>
            <w:r>
              <w:t>41</w:t>
            </w:r>
          </w:p>
        </w:tc>
        <w:tc>
          <w:tcPr>
            <w:tcW w:w="1440" w:type="dxa"/>
          </w:tcPr>
          <w:p w14:paraId="4C4CED9B" w14:textId="77777777" w:rsidR="00C67E15" w:rsidRDefault="007D1B8E" w:rsidP="009F0EC6">
            <w:pPr>
              <w:pStyle w:val="normal0"/>
              <w:spacing w:before="0" w:line="240" w:lineRule="auto"/>
              <w:ind w:firstLine="0"/>
              <w:contextualSpacing w:val="0"/>
            </w:pPr>
            <w:r>
              <w:t>69251.88835</w:t>
            </w:r>
          </w:p>
        </w:tc>
        <w:tc>
          <w:tcPr>
            <w:tcW w:w="1440" w:type="dxa"/>
          </w:tcPr>
          <w:p w14:paraId="3E442D5F" w14:textId="77777777" w:rsidR="00C67E15" w:rsidRDefault="007D1B8E" w:rsidP="009F0EC6">
            <w:pPr>
              <w:pStyle w:val="normal0"/>
              <w:spacing w:before="0" w:line="240" w:lineRule="auto"/>
              <w:ind w:firstLine="0"/>
              <w:contextualSpacing w:val="0"/>
            </w:pPr>
            <w:proofErr w:type="gramStart"/>
            <w:r>
              <w:t>classical</w:t>
            </w:r>
            <w:proofErr w:type="gramEnd"/>
          </w:p>
        </w:tc>
      </w:tr>
      <w:tr w:rsidR="00C67E15" w14:paraId="324FEAB8" w14:textId="77777777" w:rsidTr="00E44913">
        <w:tc>
          <w:tcPr>
            <w:tcW w:w="1440" w:type="dxa"/>
          </w:tcPr>
          <w:p w14:paraId="46DE4B62" w14:textId="77777777" w:rsidR="00C67E15" w:rsidRDefault="007D1B8E" w:rsidP="009F0EC6">
            <w:pPr>
              <w:pStyle w:val="normal0"/>
              <w:spacing w:before="0" w:line="240" w:lineRule="auto"/>
              <w:ind w:firstLine="0"/>
              <w:contextualSpacing w:val="0"/>
            </w:pPr>
            <w:r>
              <w:t>96912</w:t>
            </w:r>
          </w:p>
        </w:tc>
        <w:tc>
          <w:tcPr>
            <w:tcW w:w="1727" w:type="dxa"/>
          </w:tcPr>
          <w:p w14:paraId="58FEBDF3" w14:textId="77777777" w:rsidR="00C67E15" w:rsidRDefault="007D1B8E" w:rsidP="009F0EC6">
            <w:pPr>
              <w:pStyle w:val="normal0"/>
              <w:spacing w:before="0" w:line="240" w:lineRule="auto"/>
              <w:ind w:firstLine="0"/>
              <w:contextualSpacing w:val="0"/>
            </w:pPr>
            <w:r>
              <w:t>-12322.41823</w:t>
            </w:r>
          </w:p>
        </w:tc>
        <w:tc>
          <w:tcPr>
            <w:tcW w:w="1727" w:type="dxa"/>
          </w:tcPr>
          <w:p w14:paraId="3FC9FAD4" w14:textId="77777777" w:rsidR="00C67E15" w:rsidRDefault="007D1B8E" w:rsidP="009F0EC6">
            <w:pPr>
              <w:pStyle w:val="normal0"/>
              <w:spacing w:before="0" w:line="240" w:lineRule="auto"/>
              <w:ind w:firstLine="0"/>
              <w:contextualSpacing w:val="0"/>
            </w:pPr>
            <w:r>
              <w:t>-12220.70051</w:t>
            </w:r>
          </w:p>
        </w:tc>
        <w:tc>
          <w:tcPr>
            <w:tcW w:w="1440" w:type="dxa"/>
          </w:tcPr>
          <w:p w14:paraId="42A871E7" w14:textId="77777777" w:rsidR="00C67E15" w:rsidRDefault="007D1B8E" w:rsidP="009F0EC6">
            <w:pPr>
              <w:pStyle w:val="normal0"/>
              <w:spacing w:before="0" w:line="240" w:lineRule="auto"/>
              <w:ind w:firstLine="0"/>
              <w:contextualSpacing w:val="0"/>
              <w:jc w:val="center"/>
            </w:pPr>
            <w:r>
              <w:t>40</w:t>
            </w:r>
          </w:p>
        </w:tc>
        <w:tc>
          <w:tcPr>
            <w:tcW w:w="1440" w:type="dxa"/>
          </w:tcPr>
          <w:p w14:paraId="5326916B" w14:textId="77777777" w:rsidR="00C67E15" w:rsidRDefault="007D1B8E" w:rsidP="009F0EC6">
            <w:pPr>
              <w:pStyle w:val="normal0"/>
              <w:spacing w:before="0" w:line="240" w:lineRule="auto"/>
              <w:ind w:firstLine="0"/>
              <w:contextualSpacing w:val="0"/>
            </w:pPr>
            <w:r>
              <w:t>24521.40102</w:t>
            </w:r>
          </w:p>
        </w:tc>
        <w:tc>
          <w:tcPr>
            <w:tcW w:w="1440" w:type="dxa"/>
          </w:tcPr>
          <w:p w14:paraId="09A5A24C" w14:textId="77777777" w:rsidR="00C67E15" w:rsidRDefault="007D1B8E" w:rsidP="009F0EC6">
            <w:pPr>
              <w:pStyle w:val="normal0"/>
              <w:spacing w:before="0" w:line="240" w:lineRule="auto"/>
              <w:ind w:firstLine="0"/>
              <w:contextualSpacing w:val="0"/>
            </w:pPr>
            <w:proofErr w:type="gramStart"/>
            <w:r>
              <w:t>opera</w:t>
            </w:r>
            <w:proofErr w:type="gramEnd"/>
          </w:p>
        </w:tc>
      </w:tr>
      <w:tr w:rsidR="00C67E15" w14:paraId="273D2788" w14:textId="77777777" w:rsidTr="00E44913">
        <w:tc>
          <w:tcPr>
            <w:tcW w:w="1440" w:type="dxa"/>
          </w:tcPr>
          <w:p w14:paraId="3EEC55A8" w14:textId="77777777" w:rsidR="00C67E15" w:rsidRDefault="007D1B8E" w:rsidP="009F0EC6">
            <w:pPr>
              <w:pStyle w:val="normal0"/>
              <w:spacing w:before="0" w:line="240" w:lineRule="auto"/>
              <w:ind w:firstLine="0"/>
              <w:contextualSpacing w:val="0"/>
            </w:pPr>
            <w:r>
              <w:t>96869</w:t>
            </w:r>
          </w:p>
        </w:tc>
        <w:tc>
          <w:tcPr>
            <w:tcW w:w="1727" w:type="dxa"/>
          </w:tcPr>
          <w:p w14:paraId="0B9EEC72" w14:textId="77777777" w:rsidR="00C67E15" w:rsidRDefault="007D1B8E" w:rsidP="009F0EC6">
            <w:pPr>
              <w:pStyle w:val="normal0"/>
              <w:spacing w:before="0" w:line="240" w:lineRule="auto"/>
              <w:ind w:firstLine="0"/>
              <w:contextualSpacing w:val="0"/>
            </w:pPr>
            <w:r>
              <w:t>-45081.47682</w:t>
            </w:r>
          </w:p>
        </w:tc>
        <w:tc>
          <w:tcPr>
            <w:tcW w:w="1727" w:type="dxa"/>
          </w:tcPr>
          <w:p w14:paraId="6AE17FCB" w14:textId="77777777" w:rsidR="00C67E15" w:rsidRDefault="007D1B8E" w:rsidP="009F0EC6">
            <w:pPr>
              <w:pStyle w:val="normal0"/>
              <w:spacing w:before="0" w:line="240" w:lineRule="auto"/>
              <w:ind w:firstLine="0"/>
              <w:contextualSpacing w:val="0"/>
            </w:pPr>
            <w:r>
              <w:t>-44706.62301</w:t>
            </w:r>
          </w:p>
        </w:tc>
        <w:tc>
          <w:tcPr>
            <w:tcW w:w="1440" w:type="dxa"/>
          </w:tcPr>
          <w:p w14:paraId="67F0794B" w14:textId="77777777" w:rsidR="00C67E15" w:rsidRDefault="007D1B8E" w:rsidP="009F0EC6">
            <w:pPr>
              <w:pStyle w:val="normal0"/>
              <w:spacing w:before="0" w:line="240" w:lineRule="auto"/>
              <w:ind w:firstLine="0"/>
              <w:contextualSpacing w:val="0"/>
              <w:jc w:val="center"/>
            </w:pPr>
            <w:r>
              <w:t>40</w:t>
            </w:r>
          </w:p>
        </w:tc>
        <w:tc>
          <w:tcPr>
            <w:tcW w:w="1440" w:type="dxa"/>
          </w:tcPr>
          <w:p w14:paraId="0F6A177A" w14:textId="77777777" w:rsidR="00C67E15" w:rsidRDefault="007D1B8E" w:rsidP="009F0EC6">
            <w:pPr>
              <w:pStyle w:val="normal0"/>
              <w:spacing w:before="0" w:line="240" w:lineRule="auto"/>
              <w:ind w:firstLine="0"/>
              <w:contextualSpacing w:val="0"/>
            </w:pPr>
            <w:r>
              <w:t>89493.24602</w:t>
            </w:r>
          </w:p>
        </w:tc>
        <w:tc>
          <w:tcPr>
            <w:tcW w:w="1440" w:type="dxa"/>
          </w:tcPr>
          <w:p w14:paraId="74136601" w14:textId="77777777" w:rsidR="00C67E15" w:rsidRDefault="007D1B8E" w:rsidP="009F0EC6">
            <w:pPr>
              <w:pStyle w:val="normal0"/>
              <w:spacing w:before="0" w:line="240" w:lineRule="auto"/>
              <w:ind w:firstLine="0"/>
              <w:contextualSpacing w:val="0"/>
            </w:pPr>
            <w:proofErr w:type="gramStart"/>
            <w:r>
              <w:t>musical</w:t>
            </w:r>
            <w:proofErr w:type="gramEnd"/>
          </w:p>
        </w:tc>
      </w:tr>
      <w:tr w:rsidR="00C67E15" w14:paraId="7067C409" w14:textId="77777777" w:rsidTr="00E44913">
        <w:tc>
          <w:tcPr>
            <w:tcW w:w="1440" w:type="dxa"/>
          </w:tcPr>
          <w:p w14:paraId="702246EC" w14:textId="77777777" w:rsidR="00C67E15" w:rsidRDefault="007D1B8E" w:rsidP="009F0EC6">
            <w:pPr>
              <w:pStyle w:val="normal0"/>
              <w:spacing w:before="0" w:line="240" w:lineRule="auto"/>
              <w:ind w:firstLine="0"/>
              <w:contextualSpacing w:val="0"/>
            </w:pPr>
            <w:r>
              <w:t>96845</w:t>
            </w:r>
          </w:p>
        </w:tc>
        <w:tc>
          <w:tcPr>
            <w:tcW w:w="1727" w:type="dxa"/>
          </w:tcPr>
          <w:p w14:paraId="6E07C69D" w14:textId="77777777" w:rsidR="00C67E15" w:rsidRDefault="007D1B8E" w:rsidP="009F0EC6">
            <w:pPr>
              <w:pStyle w:val="normal0"/>
              <w:spacing w:before="0" w:line="240" w:lineRule="auto"/>
              <w:ind w:firstLine="0"/>
              <w:contextualSpacing w:val="0"/>
            </w:pPr>
            <w:r>
              <w:t>-15817.60051</w:t>
            </w:r>
          </w:p>
        </w:tc>
        <w:tc>
          <w:tcPr>
            <w:tcW w:w="1727" w:type="dxa"/>
          </w:tcPr>
          <w:p w14:paraId="3B5B710B" w14:textId="77777777" w:rsidR="00C67E15" w:rsidRDefault="007D1B8E" w:rsidP="009F0EC6">
            <w:pPr>
              <w:pStyle w:val="normal0"/>
              <w:spacing w:before="0" w:line="240" w:lineRule="auto"/>
              <w:ind w:firstLine="0"/>
              <w:contextualSpacing w:val="0"/>
            </w:pPr>
            <w:r>
              <w:t>-15651.84851</w:t>
            </w:r>
          </w:p>
        </w:tc>
        <w:tc>
          <w:tcPr>
            <w:tcW w:w="1440" w:type="dxa"/>
          </w:tcPr>
          <w:p w14:paraId="3E0C7E26" w14:textId="77777777" w:rsidR="00C67E15" w:rsidRDefault="007D1B8E" w:rsidP="009F0EC6">
            <w:pPr>
              <w:pStyle w:val="normal0"/>
              <w:spacing w:before="0" w:line="240" w:lineRule="auto"/>
              <w:ind w:firstLine="0"/>
              <w:contextualSpacing w:val="0"/>
              <w:jc w:val="center"/>
            </w:pPr>
            <w:r>
              <w:t>39</w:t>
            </w:r>
          </w:p>
        </w:tc>
        <w:tc>
          <w:tcPr>
            <w:tcW w:w="1440" w:type="dxa"/>
          </w:tcPr>
          <w:p w14:paraId="005058C4" w14:textId="77777777" w:rsidR="00C67E15" w:rsidRDefault="007D1B8E" w:rsidP="009F0EC6">
            <w:pPr>
              <w:pStyle w:val="normal0"/>
              <w:spacing w:before="0" w:line="240" w:lineRule="auto"/>
              <w:ind w:firstLine="0"/>
              <w:contextualSpacing w:val="0"/>
            </w:pPr>
            <w:r>
              <w:t>31381.69703</w:t>
            </w:r>
          </w:p>
        </w:tc>
        <w:tc>
          <w:tcPr>
            <w:tcW w:w="1440" w:type="dxa"/>
          </w:tcPr>
          <w:p w14:paraId="256A0C54" w14:textId="77777777" w:rsidR="00C67E15" w:rsidRDefault="007D1B8E" w:rsidP="009F0EC6">
            <w:pPr>
              <w:pStyle w:val="normal0"/>
              <w:spacing w:before="0" w:line="240" w:lineRule="auto"/>
              <w:ind w:firstLine="0"/>
              <w:contextualSpacing w:val="0"/>
            </w:pPr>
            <w:proofErr w:type="gramStart"/>
            <w:r>
              <w:t>ballet</w:t>
            </w:r>
            <w:proofErr w:type="gramEnd"/>
          </w:p>
        </w:tc>
      </w:tr>
      <w:tr w:rsidR="00C67E15" w14:paraId="672E6BF7" w14:textId="77777777" w:rsidTr="00E44913">
        <w:tc>
          <w:tcPr>
            <w:tcW w:w="1440" w:type="dxa"/>
          </w:tcPr>
          <w:p w14:paraId="57D88D79" w14:textId="77777777" w:rsidR="00C67E15" w:rsidRDefault="007D1B8E" w:rsidP="009F0EC6">
            <w:pPr>
              <w:pStyle w:val="normal0"/>
              <w:spacing w:before="0" w:line="240" w:lineRule="auto"/>
              <w:ind w:firstLine="0"/>
              <w:contextualSpacing w:val="0"/>
            </w:pPr>
            <w:r>
              <w:t>96723</w:t>
            </w:r>
          </w:p>
        </w:tc>
        <w:tc>
          <w:tcPr>
            <w:tcW w:w="1727" w:type="dxa"/>
          </w:tcPr>
          <w:p w14:paraId="29B82CB5" w14:textId="77777777" w:rsidR="00C67E15" w:rsidRDefault="007D1B8E" w:rsidP="009F0EC6">
            <w:pPr>
              <w:pStyle w:val="normal0"/>
              <w:spacing w:before="0" w:line="240" w:lineRule="auto"/>
              <w:ind w:firstLine="0"/>
              <w:contextualSpacing w:val="0"/>
            </w:pPr>
            <w:r>
              <w:t>-53431.39911</w:t>
            </w:r>
          </w:p>
        </w:tc>
        <w:tc>
          <w:tcPr>
            <w:tcW w:w="1727" w:type="dxa"/>
          </w:tcPr>
          <w:p w14:paraId="1997D5C0" w14:textId="77777777" w:rsidR="00C67E15" w:rsidRDefault="007D1B8E" w:rsidP="009F0EC6">
            <w:pPr>
              <w:pStyle w:val="normal0"/>
              <w:spacing w:before="0" w:line="240" w:lineRule="auto"/>
              <w:ind w:firstLine="0"/>
              <w:contextualSpacing w:val="0"/>
            </w:pPr>
            <w:r>
              <w:t>-52731.46822</w:t>
            </w:r>
          </w:p>
        </w:tc>
        <w:tc>
          <w:tcPr>
            <w:tcW w:w="1440" w:type="dxa"/>
          </w:tcPr>
          <w:p w14:paraId="70EFF0DA" w14:textId="77777777" w:rsidR="00C67E15" w:rsidRDefault="007D1B8E" w:rsidP="009F0EC6">
            <w:pPr>
              <w:pStyle w:val="normal0"/>
              <w:spacing w:before="0" w:line="240" w:lineRule="auto"/>
              <w:ind w:firstLine="0"/>
              <w:contextualSpacing w:val="0"/>
              <w:jc w:val="center"/>
            </w:pPr>
            <w:r>
              <w:t>41</w:t>
            </w:r>
          </w:p>
        </w:tc>
        <w:tc>
          <w:tcPr>
            <w:tcW w:w="1440" w:type="dxa"/>
          </w:tcPr>
          <w:p w14:paraId="3FF7CDB0" w14:textId="77777777" w:rsidR="00C67E15" w:rsidRDefault="007D1B8E" w:rsidP="009F0EC6">
            <w:pPr>
              <w:pStyle w:val="normal0"/>
              <w:spacing w:before="0" w:line="240" w:lineRule="auto"/>
              <w:ind w:firstLine="0"/>
              <w:contextualSpacing w:val="0"/>
            </w:pPr>
            <w:r>
              <w:t>105544.9364</w:t>
            </w:r>
          </w:p>
        </w:tc>
        <w:tc>
          <w:tcPr>
            <w:tcW w:w="1440" w:type="dxa"/>
          </w:tcPr>
          <w:p w14:paraId="209AA165" w14:textId="77777777" w:rsidR="00C67E15" w:rsidRDefault="007D1B8E" w:rsidP="009F0EC6">
            <w:pPr>
              <w:pStyle w:val="normal0"/>
              <w:spacing w:before="0" w:line="240" w:lineRule="auto"/>
              <w:ind w:firstLine="0"/>
              <w:contextualSpacing w:val="0"/>
            </w:pPr>
            <w:proofErr w:type="spellStart"/>
            <w:proofErr w:type="gramStart"/>
            <w:r>
              <w:t>artmuseum</w:t>
            </w:r>
            <w:proofErr w:type="spellEnd"/>
            <w:proofErr w:type="gramEnd"/>
          </w:p>
        </w:tc>
      </w:tr>
      <w:tr w:rsidR="00C67E15" w14:paraId="222BDA7C" w14:textId="77777777" w:rsidTr="00E44913">
        <w:tc>
          <w:tcPr>
            <w:tcW w:w="1440" w:type="dxa"/>
          </w:tcPr>
          <w:p w14:paraId="7AF0DF7C" w14:textId="77777777" w:rsidR="00C67E15" w:rsidRDefault="007D1B8E" w:rsidP="009F0EC6">
            <w:pPr>
              <w:pStyle w:val="normal0"/>
              <w:spacing w:before="0" w:line="240" w:lineRule="auto"/>
              <w:ind w:firstLine="0"/>
              <w:contextualSpacing w:val="0"/>
            </w:pPr>
            <w:r>
              <w:t>72337</w:t>
            </w:r>
          </w:p>
        </w:tc>
        <w:tc>
          <w:tcPr>
            <w:tcW w:w="1727" w:type="dxa"/>
          </w:tcPr>
          <w:p w14:paraId="05BA8273" w14:textId="77777777" w:rsidR="00C67E15" w:rsidRDefault="007D1B8E" w:rsidP="009F0EC6">
            <w:pPr>
              <w:pStyle w:val="normal0"/>
              <w:spacing w:before="0" w:line="240" w:lineRule="auto"/>
              <w:ind w:firstLine="0"/>
              <w:contextualSpacing w:val="0"/>
            </w:pPr>
            <w:r>
              <w:t>-45277.88053</w:t>
            </w:r>
          </w:p>
        </w:tc>
        <w:tc>
          <w:tcPr>
            <w:tcW w:w="1727" w:type="dxa"/>
          </w:tcPr>
          <w:p w14:paraId="5F2B268E" w14:textId="77777777" w:rsidR="00C67E15" w:rsidRDefault="007D1B8E" w:rsidP="009F0EC6">
            <w:pPr>
              <w:pStyle w:val="normal0"/>
              <w:spacing w:before="0" w:line="240" w:lineRule="auto"/>
              <w:ind w:firstLine="0"/>
              <w:contextualSpacing w:val="0"/>
            </w:pPr>
            <w:r>
              <w:t>-43893.02404</w:t>
            </w:r>
          </w:p>
        </w:tc>
        <w:tc>
          <w:tcPr>
            <w:tcW w:w="1440" w:type="dxa"/>
          </w:tcPr>
          <w:p w14:paraId="1572F8F2" w14:textId="77777777" w:rsidR="00C67E15" w:rsidRDefault="007D1B8E" w:rsidP="009F0EC6">
            <w:pPr>
              <w:pStyle w:val="normal0"/>
              <w:spacing w:before="0" w:line="240" w:lineRule="auto"/>
              <w:ind w:firstLine="0"/>
              <w:contextualSpacing w:val="0"/>
              <w:jc w:val="center"/>
            </w:pPr>
            <w:r>
              <w:t>40</w:t>
            </w:r>
          </w:p>
        </w:tc>
        <w:tc>
          <w:tcPr>
            <w:tcW w:w="1440" w:type="dxa"/>
          </w:tcPr>
          <w:p w14:paraId="76C509D8" w14:textId="77777777" w:rsidR="00C67E15" w:rsidRDefault="007D1B8E" w:rsidP="009F0EC6">
            <w:pPr>
              <w:pStyle w:val="normal0"/>
              <w:spacing w:before="0" w:line="240" w:lineRule="auto"/>
              <w:ind w:firstLine="0"/>
              <w:contextualSpacing w:val="0"/>
            </w:pPr>
            <w:r>
              <w:t>87866.04808</w:t>
            </w:r>
          </w:p>
        </w:tc>
        <w:tc>
          <w:tcPr>
            <w:tcW w:w="1440" w:type="dxa"/>
          </w:tcPr>
          <w:p w14:paraId="00178A93" w14:textId="77777777" w:rsidR="00C67E15" w:rsidRDefault="007D1B8E" w:rsidP="009F0EC6">
            <w:pPr>
              <w:pStyle w:val="normal0"/>
              <w:spacing w:before="0" w:line="240" w:lineRule="auto"/>
              <w:ind w:firstLine="0"/>
              <w:contextualSpacing w:val="0"/>
            </w:pPr>
            <w:proofErr w:type="spellStart"/>
            <w:proofErr w:type="gramStart"/>
            <w:r>
              <w:t>craft</w:t>
            </w:r>
            <w:proofErr w:type="gramEnd"/>
            <w:r>
              <w:t>_fair</w:t>
            </w:r>
            <w:proofErr w:type="spellEnd"/>
          </w:p>
        </w:tc>
      </w:tr>
      <w:tr w:rsidR="00C67E15" w14:paraId="35CFB898" w14:textId="77777777" w:rsidTr="00E44913">
        <w:tc>
          <w:tcPr>
            <w:tcW w:w="1440" w:type="dxa"/>
          </w:tcPr>
          <w:p w14:paraId="0769798E" w14:textId="77777777" w:rsidR="00C67E15" w:rsidRDefault="007D1B8E" w:rsidP="009F0EC6">
            <w:pPr>
              <w:pStyle w:val="normal0"/>
              <w:spacing w:before="0" w:line="240" w:lineRule="auto"/>
              <w:ind w:firstLine="0"/>
              <w:contextualSpacing w:val="0"/>
            </w:pPr>
            <w:r>
              <w:t>72297</w:t>
            </w:r>
          </w:p>
        </w:tc>
        <w:tc>
          <w:tcPr>
            <w:tcW w:w="1727" w:type="dxa"/>
          </w:tcPr>
          <w:p w14:paraId="7468E7AB" w14:textId="77777777" w:rsidR="00C67E15" w:rsidRDefault="007D1B8E" w:rsidP="009F0EC6">
            <w:pPr>
              <w:pStyle w:val="normal0"/>
              <w:spacing w:before="0" w:line="240" w:lineRule="auto"/>
              <w:ind w:firstLine="0"/>
              <w:contextualSpacing w:val="0"/>
            </w:pPr>
            <w:r>
              <w:t>-44412.32366</w:t>
            </w:r>
          </w:p>
        </w:tc>
        <w:tc>
          <w:tcPr>
            <w:tcW w:w="1727" w:type="dxa"/>
          </w:tcPr>
          <w:p w14:paraId="778C75F7" w14:textId="77777777" w:rsidR="00C67E15" w:rsidRDefault="007D1B8E" w:rsidP="009F0EC6">
            <w:pPr>
              <w:pStyle w:val="normal0"/>
              <w:spacing w:before="0" w:line="240" w:lineRule="auto"/>
              <w:ind w:firstLine="0"/>
              <w:contextualSpacing w:val="0"/>
            </w:pPr>
            <w:r>
              <w:t>-43458.21707</w:t>
            </w:r>
          </w:p>
        </w:tc>
        <w:tc>
          <w:tcPr>
            <w:tcW w:w="1440" w:type="dxa"/>
          </w:tcPr>
          <w:p w14:paraId="629685D5" w14:textId="77777777" w:rsidR="00C67E15" w:rsidRDefault="007D1B8E" w:rsidP="009F0EC6">
            <w:pPr>
              <w:pStyle w:val="normal0"/>
              <w:spacing w:before="0" w:line="240" w:lineRule="auto"/>
              <w:ind w:firstLine="0"/>
              <w:contextualSpacing w:val="0"/>
              <w:jc w:val="center"/>
            </w:pPr>
            <w:r>
              <w:t>40</w:t>
            </w:r>
          </w:p>
        </w:tc>
        <w:tc>
          <w:tcPr>
            <w:tcW w:w="1440" w:type="dxa"/>
          </w:tcPr>
          <w:p w14:paraId="43991505" w14:textId="77777777" w:rsidR="00C67E15" w:rsidRDefault="007D1B8E" w:rsidP="009F0EC6">
            <w:pPr>
              <w:pStyle w:val="normal0"/>
              <w:spacing w:before="0" w:line="240" w:lineRule="auto"/>
              <w:ind w:firstLine="0"/>
              <w:contextualSpacing w:val="0"/>
            </w:pPr>
            <w:r>
              <w:t>86996.43413</w:t>
            </w:r>
          </w:p>
        </w:tc>
        <w:tc>
          <w:tcPr>
            <w:tcW w:w="1440" w:type="dxa"/>
          </w:tcPr>
          <w:p w14:paraId="62C83615" w14:textId="77777777" w:rsidR="00C67E15" w:rsidRDefault="007D1B8E" w:rsidP="009F0EC6">
            <w:pPr>
              <w:pStyle w:val="normal0"/>
              <w:spacing w:before="0" w:line="240" w:lineRule="auto"/>
              <w:ind w:firstLine="0"/>
              <w:contextualSpacing w:val="0"/>
            </w:pPr>
            <w:proofErr w:type="gramStart"/>
            <w:r>
              <w:t>park</w:t>
            </w:r>
            <w:proofErr w:type="gramEnd"/>
          </w:p>
        </w:tc>
      </w:tr>
    </w:tbl>
    <w:p w14:paraId="7CE96772" w14:textId="77777777" w:rsidR="00C67E15" w:rsidRDefault="00C67E15" w:rsidP="009F0EC6">
      <w:pPr>
        <w:pStyle w:val="normal0"/>
        <w:spacing w:before="0"/>
        <w:contextualSpacing w:val="0"/>
      </w:pPr>
    </w:p>
    <w:p w14:paraId="21328484" w14:textId="77777777" w:rsidR="00C67E15" w:rsidRPr="00E44913" w:rsidRDefault="00C67E15" w:rsidP="009F0EC6">
      <w:pPr>
        <w:pStyle w:val="Heading4"/>
        <w:spacing w:before="0" w:line="360" w:lineRule="auto"/>
        <w:contextualSpacing w:val="0"/>
        <w:rPr>
          <w:b/>
          <w:sz w:val="26"/>
        </w:rPr>
      </w:pPr>
      <w:bookmarkStart w:id="126" w:name="_obr4e36wtx6d" w:colFirst="0" w:colLast="0"/>
      <w:bookmarkEnd w:id="126"/>
    </w:p>
    <w:p w14:paraId="2A12786C" w14:textId="77777777" w:rsidR="00C67E15" w:rsidRPr="00E44913" w:rsidRDefault="00C67E15" w:rsidP="009F0EC6">
      <w:pPr>
        <w:pStyle w:val="Heading4"/>
        <w:spacing w:before="0" w:line="360" w:lineRule="auto"/>
        <w:contextualSpacing w:val="0"/>
        <w:rPr>
          <w:b/>
          <w:sz w:val="26"/>
        </w:rPr>
      </w:pPr>
      <w:bookmarkStart w:id="127" w:name="_lg9xxeo4zg9d" w:colFirst="0" w:colLast="0"/>
      <w:bookmarkEnd w:id="127"/>
    </w:p>
    <w:p w14:paraId="21A2911E" w14:textId="77777777" w:rsidR="00C67E15" w:rsidRDefault="007D1B8E" w:rsidP="009F0EC6">
      <w:pPr>
        <w:pStyle w:val="normal0"/>
      </w:pPr>
      <w:r>
        <w:br w:type="page"/>
      </w:r>
    </w:p>
    <w:p w14:paraId="74A5E31E" w14:textId="77777777" w:rsidR="00C67E15" w:rsidRPr="00E44913" w:rsidRDefault="00C67E15" w:rsidP="009F0EC6">
      <w:pPr>
        <w:pStyle w:val="Heading4"/>
        <w:spacing w:before="0" w:line="360" w:lineRule="auto"/>
        <w:contextualSpacing w:val="0"/>
        <w:rPr>
          <w:b/>
          <w:sz w:val="26"/>
        </w:rPr>
      </w:pPr>
      <w:bookmarkStart w:id="128" w:name="_8wofswsotn0p" w:colFirst="0" w:colLast="0"/>
      <w:bookmarkEnd w:id="128"/>
    </w:p>
    <w:p w14:paraId="1B06F115" w14:textId="77777777" w:rsidR="00C67E15" w:rsidRPr="00E44913" w:rsidRDefault="00C67E15" w:rsidP="009F0EC6">
      <w:pPr>
        <w:pStyle w:val="Heading4"/>
        <w:spacing w:before="0" w:line="360" w:lineRule="auto"/>
        <w:contextualSpacing w:val="0"/>
        <w:rPr>
          <w:sz w:val="20"/>
        </w:rPr>
      </w:pPr>
      <w:bookmarkStart w:id="129" w:name="_tyf5h6cwgcgm" w:colFirst="0" w:colLast="0"/>
      <w:bookmarkEnd w:id="129"/>
    </w:p>
    <w:p w14:paraId="745B7DC7" w14:textId="77777777" w:rsidR="00C67E15" w:rsidRPr="00E44913" w:rsidRDefault="00C67E15" w:rsidP="009F0EC6">
      <w:pPr>
        <w:pStyle w:val="Heading4"/>
        <w:spacing w:before="0" w:line="360" w:lineRule="auto"/>
        <w:contextualSpacing w:val="0"/>
        <w:rPr>
          <w:sz w:val="20"/>
        </w:rPr>
      </w:pPr>
      <w:bookmarkStart w:id="130" w:name="_lfrxz8eoaije" w:colFirst="0" w:colLast="0"/>
      <w:bookmarkEnd w:id="130"/>
    </w:p>
    <w:p w14:paraId="74F5429C" w14:textId="77777777" w:rsidR="00C67E15" w:rsidRPr="00E44913" w:rsidRDefault="007D1B8E" w:rsidP="009F0EC6">
      <w:pPr>
        <w:pStyle w:val="normal0"/>
        <w:contextualSpacing w:val="0"/>
        <w:rPr>
          <w:b/>
        </w:rPr>
      </w:pPr>
      <w:r>
        <w:rPr>
          <w:noProof/>
        </w:rPr>
        <w:drawing>
          <wp:inline distT="114300" distB="114300" distL="114300" distR="114300" wp14:anchorId="4D24A95C" wp14:editId="1281FC47">
            <wp:extent cx="5486400" cy="3378200"/>
            <wp:effectExtent l="0" t="0" r="0" b="0"/>
            <wp:docPr id="3" name="image06.png" descr="desc-plot1.png"/>
            <wp:cNvGraphicFramePr/>
            <a:graphic xmlns:a="http://schemas.openxmlformats.org/drawingml/2006/main">
              <a:graphicData uri="http://schemas.openxmlformats.org/drawingml/2006/picture">
                <pic:pic xmlns:pic="http://schemas.openxmlformats.org/drawingml/2006/picture">
                  <pic:nvPicPr>
                    <pic:cNvPr id="0" name="image06.png" descr="desc-plot1.png"/>
                    <pic:cNvPicPr preferRelativeResize="0"/>
                  </pic:nvPicPr>
                  <pic:blipFill>
                    <a:blip r:embed="rId16"/>
                    <a:srcRect/>
                    <a:stretch>
                      <a:fillRect/>
                    </a:stretch>
                  </pic:blipFill>
                  <pic:spPr>
                    <a:xfrm>
                      <a:off x="0" y="0"/>
                      <a:ext cx="5486400" cy="3378200"/>
                    </a:xfrm>
                    <a:prstGeom prst="rect">
                      <a:avLst/>
                    </a:prstGeom>
                    <a:ln/>
                  </pic:spPr>
                </pic:pic>
              </a:graphicData>
            </a:graphic>
          </wp:inline>
        </w:drawing>
      </w:r>
      <w:r>
        <w:rPr>
          <w:b/>
        </w:rPr>
        <w:t xml:space="preserve">Figure 1. </w:t>
      </w:r>
      <w:proofErr w:type="gramStart"/>
      <w:r>
        <w:rPr>
          <w:b/>
        </w:rPr>
        <w:t>Descriptive Age, Period, and Cohort trends for all eight “core” SPPA arts participation activities (standardized to the same scale for comparability).</w:t>
      </w:r>
      <w:proofErr w:type="gramEnd"/>
      <w:r>
        <w:rPr>
          <w:b/>
        </w:rPr>
        <w:t xml:space="preserve"> </w:t>
      </w:r>
    </w:p>
    <w:p w14:paraId="00095CAD" w14:textId="77777777" w:rsidR="00C67E15" w:rsidRDefault="007D1B8E" w:rsidP="009F0EC6">
      <w:pPr>
        <w:pStyle w:val="normal0"/>
      </w:pPr>
      <w:r>
        <w:br w:type="page"/>
      </w:r>
    </w:p>
    <w:p w14:paraId="02351206" w14:textId="77777777" w:rsidR="00C67E15" w:rsidRPr="00E44913" w:rsidRDefault="00C67E15" w:rsidP="009F0EC6">
      <w:pPr>
        <w:pStyle w:val="normal0"/>
        <w:contextualSpacing w:val="0"/>
        <w:rPr>
          <w:b/>
        </w:rPr>
      </w:pPr>
    </w:p>
    <w:p w14:paraId="490113FF" w14:textId="77777777" w:rsidR="00C67E15" w:rsidRPr="00E44913" w:rsidRDefault="007D1B8E" w:rsidP="009F0EC6">
      <w:pPr>
        <w:pStyle w:val="normal0"/>
        <w:contextualSpacing w:val="0"/>
        <w:rPr>
          <w:b/>
        </w:rPr>
      </w:pPr>
      <w:r>
        <w:rPr>
          <w:noProof/>
        </w:rPr>
        <w:drawing>
          <wp:inline distT="114300" distB="114300" distL="114300" distR="114300" wp14:anchorId="1FB7E42C" wp14:editId="6CB91E2F">
            <wp:extent cx="5486400" cy="3378200"/>
            <wp:effectExtent l="0" t="0" r="0" b="0"/>
            <wp:docPr id="4" name="image07.png" descr="desc-plot2.png"/>
            <wp:cNvGraphicFramePr/>
            <a:graphic xmlns:a="http://schemas.openxmlformats.org/drawingml/2006/main">
              <a:graphicData uri="http://schemas.openxmlformats.org/drawingml/2006/picture">
                <pic:pic xmlns:pic="http://schemas.openxmlformats.org/drawingml/2006/picture">
                  <pic:nvPicPr>
                    <pic:cNvPr id="0" name="image07.png" descr="desc-plot2.png"/>
                    <pic:cNvPicPr preferRelativeResize="0"/>
                  </pic:nvPicPr>
                  <pic:blipFill>
                    <a:blip r:embed="rId17"/>
                    <a:srcRect/>
                    <a:stretch>
                      <a:fillRect/>
                    </a:stretch>
                  </pic:blipFill>
                  <pic:spPr>
                    <a:xfrm>
                      <a:off x="0" y="0"/>
                      <a:ext cx="5486400" cy="3378200"/>
                    </a:xfrm>
                    <a:prstGeom prst="rect">
                      <a:avLst/>
                    </a:prstGeom>
                    <a:ln/>
                  </pic:spPr>
                </pic:pic>
              </a:graphicData>
            </a:graphic>
          </wp:inline>
        </w:drawing>
      </w:r>
    </w:p>
    <w:p w14:paraId="4968FE63" w14:textId="77777777" w:rsidR="00C67E15" w:rsidRPr="00E44913" w:rsidRDefault="007D1B8E" w:rsidP="009F0EC6">
      <w:pPr>
        <w:pStyle w:val="normal0"/>
        <w:ind w:firstLine="0"/>
        <w:contextualSpacing w:val="0"/>
        <w:rPr>
          <w:b/>
        </w:rPr>
      </w:pPr>
      <w:r>
        <w:rPr>
          <w:b/>
        </w:rPr>
        <w:t xml:space="preserve">Figure 2. </w:t>
      </w:r>
      <w:proofErr w:type="gramStart"/>
      <w:r>
        <w:rPr>
          <w:b/>
        </w:rPr>
        <w:t>Cohort trends in arts participation in three periods, cumulative SPPA data.</w:t>
      </w:r>
      <w:proofErr w:type="gramEnd"/>
    </w:p>
    <w:p w14:paraId="5BF4010B" w14:textId="77777777" w:rsidR="00C67E15" w:rsidRPr="00E44913" w:rsidRDefault="00C67E15" w:rsidP="009F0EC6">
      <w:pPr>
        <w:pStyle w:val="normal0"/>
        <w:ind w:firstLine="0"/>
        <w:contextualSpacing w:val="0"/>
        <w:rPr>
          <w:b/>
        </w:rPr>
      </w:pPr>
    </w:p>
    <w:p w14:paraId="3AD8DE1C" w14:textId="77777777" w:rsidR="00C67E15" w:rsidRPr="00E44913" w:rsidRDefault="00C67E15" w:rsidP="009F0EC6">
      <w:pPr>
        <w:pStyle w:val="normal0"/>
        <w:contextualSpacing w:val="0"/>
        <w:rPr>
          <w:b/>
        </w:rPr>
      </w:pPr>
    </w:p>
    <w:p w14:paraId="2CCDAD38" w14:textId="77777777" w:rsidR="00C67E15" w:rsidRPr="00E44913" w:rsidRDefault="00C67E15" w:rsidP="009F0EC6">
      <w:pPr>
        <w:pStyle w:val="normal0"/>
        <w:contextualSpacing w:val="0"/>
        <w:rPr>
          <w:b/>
        </w:rPr>
      </w:pPr>
    </w:p>
    <w:p w14:paraId="697AF709" w14:textId="77777777" w:rsidR="00C67E15" w:rsidRPr="00E44913" w:rsidRDefault="00C67E15" w:rsidP="009F0EC6">
      <w:pPr>
        <w:pStyle w:val="normal0"/>
        <w:contextualSpacing w:val="0"/>
        <w:rPr>
          <w:b/>
        </w:rPr>
      </w:pPr>
    </w:p>
    <w:p w14:paraId="2D640F3A" w14:textId="77777777" w:rsidR="00C67E15" w:rsidRDefault="007D1B8E" w:rsidP="009F0EC6">
      <w:pPr>
        <w:pStyle w:val="normal0"/>
      </w:pPr>
      <w:r>
        <w:br w:type="page"/>
      </w:r>
    </w:p>
    <w:p w14:paraId="72A900AE" w14:textId="77777777" w:rsidR="00C67E15" w:rsidRPr="00E44913" w:rsidRDefault="00C67E15" w:rsidP="009F0EC6">
      <w:pPr>
        <w:pStyle w:val="normal0"/>
        <w:contextualSpacing w:val="0"/>
        <w:rPr>
          <w:b/>
        </w:rPr>
      </w:pPr>
    </w:p>
    <w:p w14:paraId="7BE58808" w14:textId="77777777" w:rsidR="00E158DF" w:rsidRDefault="00664181">
      <w:pPr>
        <w:pStyle w:val="normal0"/>
        <w:contextualSpacing w:val="0"/>
      </w:pPr>
      <w:r>
        <w:rPr>
          <w:noProof/>
        </w:rPr>
        <w:drawing>
          <wp:inline distT="114300" distB="114300" distL="114300" distR="114300" wp14:anchorId="2FA09976" wp14:editId="3F2C214E">
            <wp:extent cx="5486400" cy="5486400"/>
            <wp:effectExtent l="0" t="0" r="0" b="0"/>
            <wp:docPr id="6" name="image03.png" descr="exposure-by-cohort.png"/>
            <wp:cNvGraphicFramePr/>
            <a:graphic xmlns:a="http://schemas.openxmlformats.org/drawingml/2006/main">
              <a:graphicData uri="http://schemas.openxmlformats.org/drawingml/2006/picture">
                <pic:pic xmlns:pic="http://schemas.openxmlformats.org/drawingml/2006/picture">
                  <pic:nvPicPr>
                    <pic:cNvPr id="0" name="image03.png" descr="exposure-by-cohort.png"/>
                    <pic:cNvPicPr preferRelativeResize="0"/>
                  </pic:nvPicPr>
                  <pic:blipFill>
                    <a:blip r:embed="rId18"/>
                    <a:srcRect/>
                    <a:stretch>
                      <a:fillRect/>
                    </a:stretch>
                  </pic:blipFill>
                  <pic:spPr>
                    <a:xfrm>
                      <a:off x="0" y="0"/>
                      <a:ext cx="5486400" cy="5486400"/>
                    </a:xfrm>
                    <a:prstGeom prst="rect">
                      <a:avLst/>
                    </a:prstGeom>
                    <a:ln/>
                  </pic:spPr>
                </pic:pic>
              </a:graphicData>
            </a:graphic>
          </wp:inline>
        </w:drawing>
      </w:r>
    </w:p>
    <w:p w14:paraId="0DFD3BD9" w14:textId="77777777" w:rsidR="00C67E15" w:rsidRDefault="007D1B8E" w:rsidP="009F0EC6">
      <w:pPr>
        <w:pStyle w:val="normal0"/>
        <w:spacing w:line="240" w:lineRule="auto"/>
        <w:contextualSpacing w:val="0"/>
      </w:pPr>
      <w:r>
        <w:rPr>
          <w:b/>
        </w:rPr>
        <w:t xml:space="preserve">Figure 6. </w:t>
      </w:r>
      <w:proofErr w:type="gramStart"/>
      <w:r>
        <w:rPr>
          <w:b/>
        </w:rPr>
        <w:t>Predicted probability of exposure to the arts while growing up for members of different cohorts.</w:t>
      </w:r>
      <w:proofErr w:type="gramEnd"/>
      <w:r>
        <w:rPr>
          <w:b/>
        </w:rPr>
        <w:t xml:space="preserve"> </w:t>
      </w:r>
      <w:proofErr w:type="gramStart"/>
      <w:r>
        <w:rPr>
          <w:b/>
        </w:rPr>
        <w:t>Estimate are</w:t>
      </w:r>
      <w:proofErr w:type="gramEnd"/>
      <w:r>
        <w:rPr>
          <w:b/>
        </w:rPr>
        <w:t xml:space="preserve"> obtained from ordered </w:t>
      </w:r>
      <w:proofErr w:type="spellStart"/>
      <w:r>
        <w:rPr>
          <w:b/>
        </w:rPr>
        <w:t>logit</w:t>
      </w:r>
      <w:proofErr w:type="spellEnd"/>
      <w:r>
        <w:rPr>
          <w:b/>
        </w:rPr>
        <w:t xml:space="preserve"> models predicting having been exposed to the arts “often,” “sometimes,” “hardly ever,” or “never.” Plots show the additive probabilities of the first two responses adjusted for respondent's race, education, gender, and region of residence. Cohort effects are specified using both a linear and a quadratic term.  Panels ordered (from top left to bottom right) according to overall popularity of activity. </w:t>
      </w:r>
    </w:p>
    <w:p w14:paraId="46EDB086" w14:textId="77777777" w:rsidR="00C67E15" w:rsidRDefault="00C67E15" w:rsidP="009F0EC6">
      <w:pPr>
        <w:pStyle w:val="normal0"/>
        <w:contextualSpacing w:val="0"/>
      </w:pPr>
    </w:p>
    <w:p w14:paraId="55B81D74" w14:textId="77777777" w:rsidR="00C67E15" w:rsidRDefault="00C67E15" w:rsidP="00E44913">
      <w:pPr>
        <w:pStyle w:val="normal0"/>
        <w:spacing w:line="240" w:lineRule="auto"/>
        <w:ind w:firstLine="0"/>
        <w:contextualSpacing w:val="0"/>
        <w:rPr>
          <w:color w:val="632423"/>
          <w:sz w:val="44"/>
        </w:rPr>
      </w:pPr>
      <w:bookmarkStart w:id="131" w:name="_GoBack"/>
      <w:bookmarkEnd w:id="131"/>
    </w:p>
    <w:sectPr w:rsidR="00C67E15">
      <w:headerReference w:type="default" r:id="rId19"/>
      <w:footerReference w:type="default" r:id="rId20"/>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8" w:author="Jennifer Lena" w:date="2017-03-30T16:22:00Z" w:initials="JL">
    <w:p w14:paraId="7C1E7D9D" w14:textId="08CE95AC" w:rsidR="00664181" w:rsidRDefault="00664181">
      <w:pPr>
        <w:pStyle w:val="CommentText"/>
      </w:pPr>
      <w:r>
        <w:rPr>
          <w:rStyle w:val="CommentReference"/>
        </w:rPr>
        <w:annotationRef/>
      </w:r>
      <w:r>
        <w:t>Are there supposed to be two “plus” signs in the middle of the equation, before the sum function?</w:t>
      </w:r>
    </w:p>
  </w:comment>
  <w:comment w:id="79" w:author="Jennifer Lena" w:date="2017-03-30T16:31:00Z" w:initials="JL">
    <w:p w14:paraId="20914592" w14:textId="57665BF4" w:rsidR="00664181" w:rsidRDefault="00664181">
      <w:pPr>
        <w:pStyle w:val="CommentText"/>
      </w:pPr>
      <w:r>
        <w:rPr>
          <w:rStyle w:val="CommentReference"/>
        </w:rPr>
        <w:annotationRef/>
      </w:r>
      <w:r>
        <w:t>That’s can’t be correct.</w:t>
      </w:r>
    </w:p>
  </w:comment>
  <w:comment w:id="125" w:author="Jennifer Lena" w:date="2017-03-30T16:36:00Z" w:initials="JL">
    <w:p w14:paraId="12C4F771" w14:textId="4D561A2B" w:rsidR="00E44913" w:rsidRDefault="00E44913">
      <w:pPr>
        <w:pStyle w:val="CommentText"/>
      </w:pPr>
      <w:r>
        <w:rPr>
          <w:rStyle w:val="CommentReference"/>
        </w:rPr>
        <w:annotationRef/>
      </w:r>
      <w:r>
        <w:t>Does this have a title?</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2154FF" w14:textId="77777777" w:rsidR="00664181" w:rsidRDefault="00664181">
      <w:pPr>
        <w:spacing w:before="0" w:line="240" w:lineRule="auto"/>
      </w:pPr>
      <w:r>
        <w:separator/>
      </w:r>
    </w:p>
  </w:endnote>
  <w:endnote w:type="continuationSeparator" w:id="0">
    <w:p w14:paraId="786B3956" w14:textId="77777777" w:rsidR="00664181" w:rsidRDefault="00664181">
      <w:pPr>
        <w:spacing w:before="0" w:line="240" w:lineRule="auto"/>
      </w:pPr>
      <w:r>
        <w:continuationSeparator/>
      </w:r>
    </w:p>
  </w:endnote>
  <w:endnote w:type="continuationNotice" w:id="1">
    <w:p w14:paraId="6E320655" w14:textId="77777777" w:rsidR="00664181" w:rsidRDefault="00664181">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aramond">
    <w:panose1 w:val="02020404030301010803"/>
    <w:charset w:val="00"/>
    <w:family w:val="auto"/>
    <w:pitch w:val="variable"/>
    <w:sig w:usb0="00000003" w:usb1="00000000" w:usb2="00000000" w:usb3="00000000" w:csb0="00000001" w:csb1="00000000"/>
  </w:font>
  <w:font w:name="Lato">
    <w:altName w:val="Times New Roman"/>
    <w:charset w:val="00"/>
    <w:family w:val="auto"/>
    <w:pitch w:val="default"/>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ourier New">
    <w:panose1 w:val="020703090202050204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6CFFAE" w14:textId="77777777" w:rsidR="00664181" w:rsidRDefault="00664181">
    <w:pPr>
      <w:pStyle w:val="normal0"/>
      <w:contextualSpacing w:val="0"/>
      <w:jc w:val="right"/>
    </w:pPr>
    <w:r>
      <w:fldChar w:fldCharType="begin"/>
    </w:r>
    <w:r>
      <w:instrText>PAGE</w:instrText>
    </w:r>
    <w:r>
      <w:fldChar w:fldCharType="separate"/>
    </w:r>
    <w:r w:rsidR="00D967EC">
      <w:rPr>
        <w:noProof/>
      </w:rPr>
      <w:t>51</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2A3CF5" w14:textId="77777777" w:rsidR="00664181" w:rsidRDefault="00664181">
      <w:pPr>
        <w:spacing w:before="0" w:line="240" w:lineRule="auto"/>
      </w:pPr>
      <w:r>
        <w:separator/>
      </w:r>
    </w:p>
  </w:footnote>
  <w:footnote w:type="continuationSeparator" w:id="0">
    <w:p w14:paraId="18A4C069" w14:textId="77777777" w:rsidR="00664181" w:rsidRDefault="00664181">
      <w:pPr>
        <w:spacing w:before="0" w:line="240" w:lineRule="auto"/>
      </w:pPr>
      <w:r>
        <w:continuationSeparator/>
      </w:r>
    </w:p>
  </w:footnote>
  <w:footnote w:type="continuationNotice" w:id="1">
    <w:p w14:paraId="61A55BBD" w14:textId="77777777" w:rsidR="00664181" w:rsidRDefault="00664181">
      <w:pPr>
        <w:spacing w:before="0" w:line="240" w:lineRule="auto"/>
      </w:pPr>
    </w:p>
  </w:footnote>
  <w:footnote w:id="2">
    <w:p w14:paraId="134EC116" w14:textId="77777777" w:rsidR="00664181" w:rsidRDefault="00664181">
      <w:pPr>
        <w:pStyle w:val="Heading4"/>
        <w:contextualSpacing w:val="0"/>
        <w:rPr>
          <w:sz w:val="20"/>
        </w:rPr>
      </w:pPr>
      <w:bookmarkStart w:id="22" w:name="_v1q621dpqjc0" w:colFirst="0" w:colLast="0"/>
      <w:bookmarkEnd w:id="22"/>
      <w:r>
        <w:rPr>
          <w:vertAlign w:val="superscript"/>
        </w:rPr>
        <w:footnoteRef/>
      </w:r>
      <w:r>
        <w:rPr>
          <w:sz w:val="20"/>
          <w:szCs w:val="20"/>
        </w:rPr>
        <w:t xml:space="preserve"> There are almost as many measures of </w:t>
      </w:r>
      <w:proofErr w:type="spellStart"/>
      <w:r>
        <w:rPr>
          <w:sz w:val="20"/>
          <w:szCs w:val="20"/>
        </w:rPr>
        <w:t>omnivorousness</w:t>
      </w:r>
      <w:proofErr w:type="spellEnd"/>
      <w:r>
        <w:rPr>
          <w:sz w:val="20"/>
          <w:szCs w:val="20"/>
        </w:rPr>
        <w:t xml:space="preserve"> as there are papers on the topic. Peterson and </w:t>
      </w:r>
      <w:proofErr w:type="spellStart"/>
      <w:r>
        <w:rPr>
          <w:sz w:val="20"/>
          <w:szCs w:val="20"/>
        </w:rPr>
        <w:t>Simkus</w:t>
      </w:r>
      <w:proofErr w:type="spellEnd"/>
      <w:r>
        <w:rPr>
          <w:sz w:val="20"/>
          <w:szCs w:val="20"/>
        </w:rPr>
        <w:t xml:space="preserve"> (1992) conceptualized it as a bundle of highbrow and non-highbrow tastes. Later papers </w:t>
      </w:r>
      <w:r>
        <w:t xml:space="preserve">treated </w:t>
      </w:r>
      <w:proofErr w:type="spellStart"/>
      <w:r>
        <w:t>omnivorousness</w:t>
      </w:r>
      <w:proofErr w:type="spellEnd"/>
      <w:r>
        <w:t xml:space="preserve"> as a continuous variable in regression analyses (</w:t>
      </w:r>
      <w:proofErr w:type="spellStart"/>
      <w:r>
        <w:t>Rossman</w:t>
      </w:r>
      <w:proofErr w:type="spellEnd"/>
      <w:r>
        <w:t xml:space="preserve"> and Peterson 2015; for a review, see Peterson 2005). </w:t>
      </w:r>
      <w:proofErr w:type="gramStart"/>
      <w:r>
        <w:t>Still others subjected reports of attendance at cultural events to Multiple Correspondence Analysis, producing continuous dimensions that allow researchers to identify the most central and distal tastes (Lopez-</w:t>
      </w:r>
      <w:proofErr w:type="spellStart"/>
      <w:r>
        <w:t>Sintas</w:t>
      </w:r>
      <w:proofErr w:type="spellEnd"/>
      <w:r>
        <w:t xml:space="preserve"> and Katz-</w:t>
      </w:r>
      <w:proofErr w:type="spellStart"/>
      <w:r>
        <w:t>Gerro</w:t>
      </w:r>
      <w:proofErr w:type="spellEnd"/>
      <w:r>
        <w:t xml:space="preserve"> 2005).</w:t>
      </w:r>
      <w:proofErr w:type="gramEnd"/>
      <w:r>
        <w:t xml:space="preserve"> Later works also distinguished </w:t>
      </w:r>
      <w:proofErr w:type="spellStart"/>
      <w:r>
        <w:t>omnivorousness</w:t>
      </w:r>
      <w:proofErr w:type="spellEnd"/>
      <w:r>
        <w:t>, or breadth of taste, from frequency of engagement, or “voraciousness” (Katz-</w:t>
      </w:r>
      <w:proofErr w:type="spellStart"/>
      <w:r>
        <w:t>Gerro</w:t>
      </w:r>
      <w:proofErr w:type="spellEnd"/>
      <w:r>
        <w:t xml:space="preserve"> and Sullivan 2005). Many papers focused on music, but not all. Some focused on elites, but not all. There is no single measure of </w:t>
      </w:r>
      <w:proofErr w:type="spellStart"/>
      <w:r>
        <w:t>omnivorousness</w:t>
      </w:r>
      <w:proofErr w:type="spellEnd"/>
      <w:r>
        <w:t>, and no consensus on how the concept should be stabilized.</w:t>
      </w:r>
    </w:p>
  </w:footnote>
  <w:footnote w:id="3">
    <w:p w14:paraId="4F522994" w14:textId="77777777" w:rsidR="00664181" w:rsidRDefault="00664181">
      <w:pPr>
        <w:pStyle w:val="Heading4"/>
        <w:spacing w:before="0"/>
        <w:ind w:firstLine="720"/>
        <w:contextualSpacing w:val="0"/>
        <w:rPr>
          <w:sz w:val="20"/>
        </w:rPr>
      </w:pPr>
      <w:bookmarkStart w:id="24" w:name="_icalfx6ooi9a" w:colFirst="0" w:colLast="0"/>
      <w:bookmarkEnd w:id="24"/>
      <w:r>
        <w:rPr>
          <w:vertAlign w:val="superscript"/>
        </w:rPr>
        <w:footnoteRef/>
      </w:r>
      <w:r>
        <w:rPr>
          <w:sz w:val="20"/>
          <w:szCs w:val="20"/>
        </w:rPr>
        <w:t xml:space="preserve"> </w:t>
      </w:r>
      <w:proofErr w:type="gramStart"/>
      <w:r>
        <w:rPr>
          <w:color w:val="222222"/>
          <w:sz w:val="20"/>
          <w:szCs w:val="20"/>
        </w:rPr>
        <w:t>National Endowment for the Arts.</w:t>
      </w:r>
      <w:proofErr w:type="gramEnd"/>
      <w:r>
        <w:rPr>
          <w:color w:val="222222"/>
          <w:sz w:val="20"/>
          <w:szCs w:val="20"/>
        </w:rPr>
        <w:t xml:space="preserve"> </w:t>
      </w:r>
      <w:proofErr w:type="gramStart"/>
      <w:r>
        <w:rPr>
          <w:color w:val="222222"/>
          <w:sz w:val="20"/>
          <w:szCs w:val="20"/>
        </w:rPr>
        <w:t>Survey of Public Participation in the Arts 1982-2012 Combined File [United States].</w:t>
      </w:r>
      <w:proofErr w:type="gramEnd"/>
      <w:r>
        <w:rPr>
          <w:color w:val="222222"/>
          <w:sz w:val="20"/>
          <w:szCs w:val="20"/>
        </w:rPr>
        <w:t xml:space="preserve"> ICPSR35596-v1. Ann Arbor, MI: Inter-university Consortium for Political and Social Research [distributor], 2014-12-22. </w:t>
      </w:r>
      <w:hyperlink r:id="rId1">
        <w:r>
          <w:rPr>
            <w:color w:val="1155CC"/>
            <w:sz w:val="20"/>
            <w:szCs w:val="20"/>
            <w:u w:val="single"/>
          </w:rPr>
          <w:t>http://doi.org/10.3886/ICPSR35596.v1</w:t>
        </w:r>
      </w:hyperlink>
      <w:r>
        <w:rPr>
          <w:sz w:val="20"/>
          <w:szCs w:val="20"/>
        </w:rPr>
        <w:t xml:space="preserve"> (Last accessed 5/25/15). </w:t>
      </w:r>
    </w:p>
  </w:footnote>
  <w:footnote w:id="4">
    <w:p w14:paraId="1E1202A3" w14:textId="77777777" w:rsidR="00664181" w:rsidRDefault="00664181">
      <w:pPr>
        <w:pStyle w:val="normal0"/>
        <w:spacing w:line="240" w:lineRule="auto"/>
        <w:contextualSpacing w:val="0"/>
        <w:rPr>
          <w:sz w:val="20"/>
        </w:rPr>
      </w:pPr>
      <w:r>
        <w:rPr>
          <w:vertAlign w:val="superscript"/>
        </w:rPr>
        <w:footnoteRef/>
      </w:r>
      <w:r>
        <w:rPr>
          <w:sz w:val="20"/>
          <w:szCs w:val="20"/>
        </w:rPr>
        <w:t xml:space="preserve"> The 1982 survey holds data from 17,254 U.S. households, the 1985 survey contains information on 13,675 households</w:t>
      </w:r>
      <w:proofErr w:type="gramStart"/>
      <w:r>
        <w:rPr>
          <w:sz w:val="20"/>
          <w:szCs w:val="20"/>
        </w:rPr>
        <w:t>,  the</w:t>
      </w:r>
      <w:proofErr w:type="gramEnd"/>
      <w:r>
        <w:rPr>
          <w:sz w:val="20"/>
          <w:szCs w:val="20"/>
        </w:rPr>
        <w:t xml:space="preserve"> 1992 survey pertains to 12,736 households, and the 2002 survey contains 17,135 households, the 2008 survey includes 18,444 households, and the 2012 survey has a sample size of 18,051 households, for a cumulative sample size of 97,295. </w:t>
      </w:r>
    </w:p>
  </w:footnote>
  <w:footnote w:id="5">
    <w:p w14:paraId="33FBE1F6" w14:textId="77777777" w:rsidR="00664181" w:rsidRDefault="00664181">
      <w:pPr>
        <w:pStyle w:val="Heading4"/>
        <w:spacing w:before="0"/>
        <w:ind w:firstLine="720"/>
        <w:contextualSpacing w:val="0"/>
        <w:rPr>
          <w:sz w:val="20"/>
        </w:rPr>
      </w:pPr>
      <w:bookmarkStart w:id="29" w:name="_cjb1m5f3bkl3" w:colFirst="0" w:colLast="0"/>
      <w:bookmarkEnd w:id="29"/>
      <w:r>
        <w:rPr>
          <w:vertAlign w:val="superscript"/>
        </w:rPr>
        <w:footnoteRef/>
      </w:r>
      <w:r>
        <w:rPr>
          <w:sz w:val="20"/>
          <w:szCs w:val="20"/>
        </w:rPr>
        <w:t xml:space="preserve"> We estimate the CCRM models via maximum likelihood using the routine for multilevel </w:t>
      </w:r>
      <w:proofErr w:type="spellStart"/>
      <w:r>
        <w:rPr>
          <w:sz w:val="20"/>
          <w:szCs w:val="20"/>
        </w:rPr>
        <w:t>logit</w:t>
      </w:r>
      <w:proofErr w:type="spellEnd"/>
      <w:r>
        <w:rPr>
          <w:sz w:val="20"/>
          <w:szCs w:val="20"/>
        </w:rPr>
        <w:t xml:space="preserve"> regression </w:t>
      </w:r>
      <w:proofErr w:type="spellStart"/>
      <w:r>
        <w:rPr>
          <w:sz w:val="20"/>
          <w:szCs w:val="20"/>
        </w:rPr>
        <w:t>modelling</w:t>
      </w:r>
      <w:proofErr w:type="spellEnd"/>
      <w:r>
        <w:rPr>
          <w:sz w:val="20"/>
          <w:szCs w:val="20"/>
        </w:rPr>
        <w:t xml:space="preserve"> (</w:t>
      </w:r>
      <w:proofErr w:type="spellStart"/>
      <w:r>
        <w:rPr>
          <w:rFonts w:ascii="Courier New" w:eastAsia="Courier New" w:hAnsi="Courier New" w:cs="Courier New"/>
          <w:sz w:val="16"/>
          <w:szCs w:val="16"/>
        </w:rPr>
        <w:t>xtmelogit</w:t>
      </w:r>
      <w:proofErr w:type="spellEnd"/>
      <w:r>
        <w:rPr>
          <w:sz w:val="20"/>
          <w:szCs w:val="20"/>
        </w:rPr>
        <w:t xml:space="preserve">) included in </w:t>
      </w:r>
      <w:proofErr w:type="spellStart"/>
      <w:r>
        <w:rPr>
          <w:sz w:val="20"/>
          <w:szCs w:val="20"/>
        </w:rPr>
        <w:t>Stata</w:t>
      </w:r>
      <w:proofErr w:type="spellEnd"/>
      <w:r>
        <w:rPr>
          <w:sz w:val="20"/>
          <w:szCs w:val="20"/>
        </w:rPr>
        <w:t xml:space="preserve"> 14.</w:t>
      </w:r>
    </w:p>
  </w:footnote>
  <w:footnote w:id="6">
    <w:p w14:paraId="61185D6D" w14:textId="77777777" w:rsidR="00664181" w:rsidRDefault="00664181">
      <w:pPr>
        <w:pStyle w:val="Heading4"/>
        <w:spacing w:before="0"/>
        <w:ind w:firstLine="720"/>
        <w:contextualSpacing w:val="0"/>
        <w:rPr>
          <w:sz w:val="20"/>
        </w:rPr>
      </w:pPr>
      <w:bookmarkStart w:id="30" w:name="_79cvmsrvp9fd" w:colFirst="0" w:colLast="0"/>
      <w:bookmarkEnd w:id="30"/>
      <w:r>
        <w:rPr>
          <w:vertAlign w:val="superscript"/>
        </w:rPr>
        <w:footnoteRef/>
      </w:r>
      <w:r>
        <w:rPr>
          <w:sz w:val="20"/>
          <w:szCs w:val="20"/>
        </w:rPr>
        <w:t xml:space="preserve"> For a more elaborate outline of the analytical advantages of this mixed methods approach see </w:t>
      </w:r>
      <w:proofErr w:type="spellStart"/>
      <w:r>
        <w:rPr>
          <w:sz w:val="20"/>
          <w:szCs w:val="20"/>
        </w:rPr>
        <w:t>Spillman</w:t>
      </w:r>
      <w:proofErr w:type="spellEnd"/>
      <w:r>
        <w:rPr>
          <w:sz w:val="20"/>
          <w:szCs w:val="20"/>
        </w:rPr>
        <w:t xml:space="preserve"> (2014); for an application to the study of taste see Fishman and </w:t>
      </w:r>
      <w:proofErr w:type="spellStart"/>
      <w:r>
        <w:rPr>
          <w:sz w:val="20"/>
          <w:szCs w:val="20"/>
        </w:rPr>
        <w:t>Lizardo</w:t>
      </w:r>
      <w:proofErr w:type="spellEnd"/>
      <w:r>
        <w:rPr>
          <w:sz w:val="20"/>
          <w:szCs w:val="20"/>
        </w:rPr>
        <w:t xml:space="preserve"> (2013). </w:t>
      </w:r>
    </w:p>
  </w:footnote>
  <w:footnote w:id="7">
    <w:p w14:paraId="7EC50E3D" w14:textId="77777777" w:rsidR="00664181" w:rsidRDefault="00664181">
      <w:pPr>
        <w:pStyle w:val="normal0"/>
        <w:spacing w:line="240" w:lineRule="auto"/>
        <w:contextualSpacing w:val="0"/>
        <w:rPr>
          <w:sz w:val="20"/>
        </w:rPr>
      </w:pPr>
      <w:r>
        <w:rPr>
          <w:vertAlign w:val="superscript"/>
        </w:rPr>
        <w:footnoteRef/>
      </w:r>
      <w:r>
        <w:rPr>
          <w:sz w:val="20"/>
          <w:szCs w:val="20"/>
        </w:rPr>
        <w:t xml:space="preserve"> Over the course of the program, “total employment reached 3,749 persons. Works ranging from sculpture, murals, oils, and mosaics to craft articles, Navajo blankets, portraits, and stage sets, totaling in all 15,663 pieces, were completed. The total cost of the project was $1,312,000, of which 90.3 per cent went in wages to the artists themselves” (McDonald 1969: 62). Projects that were unfinished when PWAP was disbanded in 1934 received ongoing support from the Emergency Work Relief Program of FERA. Art works that were federal property were dispersed to public and nonprofit institutions until </w:t>
      </w:r>
      <w:proofErr w:type="gramStart"/>
      <w:r>
        <w:rPr>
          <w:sz w:val="20"/>
          <w:szCs w:val="20"/>
        </w:rPr>
        <w:t>July,</w:t>
      </w:r>
      <w:proofErr w:type="gramEnd"/>
      <w:r>
        <w:rPr>
          <w:sz w:val="20"/>
          <w:szCs w:val="20"/>
        </w:rPr>
        <w:t xml:space="preserve"> 1935. </w:t>
      </w:r>
    </w:p>
  </w:footnote>
  <w:footnote w:id="8">
    <w:p w14:paraId="68C02CB9" w14:textId="77777777" w:rsidR="00664181" w:rsidRDefault="00664181">
      <w:pPr>
        <w:pStyle w:val="normal0"/>
        <w:spacing w:line="240" w:lineRule="auto"/>
        <w:contextualSpacing w:val="0"/>
        <w:rPr>
          <w:sz w:val="20"/>
        </w:rPr>
      </w:pPr>
      <w:r>
        <w:rPr>
          <w:vertAlign w:val="superscript"/>
        </w:rPr>
        <w:footnoteRef/>
      </w:r>
      <w:r>
        <w:rPr>
          <w:sz w:val="20"/>
          <w:szCs w:val="20"/>
        </w:rPr>
        <w:t xml:space="preserve"> The output and impact of the Federal One projects may, in fact, pale in comparison to the achievements of many state and local relief administrations. New York’s was first among these, “almost unique in its progressive attitude,” and with significant reach: one accounting estimates that 12,000 people came to see a performance of Uncle Tom’s Cabin in Crotona Park (McDonald 1969: 70).</w:t>
      </w:r>
    </w:p>
  </w:footnote>
  <w:footnote w:id="9">
    <w:p w14:paraId="2F80AB12" w14:textId="77777777" w:rsidR="00664181" w:rsidRDefault="00664181">
      <w:pPr>
        <w:pStyle w:val="normal0"/>
        <w:spacing w:line="240" w:lineRule="auto"/>
        <w:contextualSpacing w:val="0"/>
        <w:rPr>
          <w:sz w:val="20"/>
        </w:rPr>
      </w:pPr>
      <w:r>
        <w:rPr>
          <w:vertAlign w:val="superscript"/>
        </w:rPr>
        <w:footnoteRef/>
      </w:r>
      <w:r>
        <w:rPr>
          <w:sz w:val="20"/>
          <w:szCs w:val="20"/>
        </w:rPr>
        <w:t xml:space="preserve"> The Federal Writers’ Project paid creators of books, poetry, pamphlets, leaflets, and radio scripts including socio-ethnic studies; expositions on industrial, labor, society, and community issues; and documents of American and Native American folklore (see Griswold 2016 for an in-depth discussion). The Federal Music Project produced a similarly massive array of works including over 1,500 compositions by 540 American composers, performed by symphony orchestras, small orchestral ensembles, string quartets, chamber music ensembles, and operatic and light opera concert ensembles; grand opera, light opera, and chamber opera companies; vocal ensembles and vocal soloists; and dance orchestras, bands, and theater orchestras (Federal Works Agency 1947: 64).</w:t>
      </w:r>
    </w:p>
  </w:footnote>
  <w:footnote w:id="10">
    <w:p w14:paraId="762FA0A9" w14:textId="77777777" w:rsidR="00664181" w:rsidRDefault="00664181">
      <w:pPr>
        <w:pStyle w:val="normal0"/>
        <w:spacing w:line="240" w:lineRule="auto"/>
        <w:contextualSpacing w:val="0"/>
        <w:rPr>
          <w:sz w:val="20"/>
        </w:rPr>
      </w:pPr>
      <w:r>
        <w:rPr>
          <w:vertAlign w:val="superscript"/>
        </w:rPr>
        <w:footnoteRef/>
      </w:r>
      <w:r>
        <w:rPr>
          <w:sz w:val="20"/>
          <w:szCs w:val="20"/>
        </w:rPr>
        <w:t xml:space="preserve"> Congress repeatedly attacked federal arts divisions based on reports of inefficiency and fraud. The Federal Theater project was abolished by Congress in 1939, charged with inefficiency, immorality, and infiltration by Communist agitators (N.A. 1939, “Relief: Hot Pan”). The other programs limped forward into the war years, when they were abandoned. </w:t>
      </w:r>
    </w:p>
  </w:footnote>
  <w:footnote w:id="11">
    <w:p w14:paraId="1C336C68" w14:textId="77777777" w:rsidR="00664181" w:rsidRDefault="00664181">
      <w:pPr>
        <w:pStyle w:val="Heading4"/>
        <w:spacing w:before="0"/>
        <w:ind w:firstLine="720"/>
        <w:contextualSpacing w:val="0"/>
        <w:rPr>
          <w:sz w:val="20"/>
        </w:rPr>
      </w:pPr>
      <w:bookmarkStart w:id="38" w:name="_u47k5b7e1fq4" w:colFirst="0" w:colLast="0"/>
      <w:bookmarkEnd w:id="38"/>
      <w:r>
        <w:rPr>
          <w:vertAlign w:val="superscript"/>
        </w:rPr>
        <w:footnoteRef/>
      </w:r>
      <w:r>
        <w:rPr>
          <w:sz w:val="20"/>
          <w:szCs w:val="20"/>
        </w:rPr>
        <w:t xml:space="preserve"> In additional analyses (available upon request) of other arts participation items, we see that Art Festivals and Craft Fairs resemble more racially diverse forms of art participation including Jazz. While we observe strong generational effects for Whites when it comes to attendance at Classical Music (symphony) and Jazz Concerts, the generational effect for Blacks is much stronger for Jazz concerts and it begins much earlier than for Whites.</w:t>
      </w:r>
    </w:p>
  </w:footnote>
  <w:footnote w:id="12">
    <w:p w14:paraId="7BD292BE" w14:textId="77777777" w:rsidR="00664181" w:rsidRDefault="00664181">
      <w:pPr>
        <w:pStyle w:val="normal0"/>
        <w:spacing w:line="240" w:lineRule="auto"/>
        <w:contextualSpacing w:val="0"/>
        <w:rPr>
          <w:sz w:val="20"/>
        </w:rPr>
      </w:pPr>
      <w:r>
        <w:rPr>
          <w:vertAlign w:val="superscript"/>
        </w:rPr>
        <w:footnoteRef/>
      </w:r>
      <w:r>
        <w:rPr>
          <w:sz w:val="20"/>
          <w:szCs w:val="20"/>
        </w:rPr>
        <w:t xml:space="preserve"> Individual grants or awards are still given in the following forms: National Heritage Fellowships (to folk and traditional artists), Creative Writing Fellowships, Translation Projects, Jazz Masters (lifetime achievement awards), and the National Medal of Arts.</w:t>
      </w:r>
    </w:p>
  </w:footnote>
  <w:footnote w:id="13">
    <w:p w14:paraId="58546F5E" w14:textId="77777777" w:rsidR="00664181" w:rsidRDefault="00664181">
      <w:pPr>
        <w:pStyle w:val="normal0"/>
        <w:spacing w:line="240" w:lineRule="auto"/>
        <w:contextualSpacing w:val="0"/>
        <w:rPr>
          <w:sz w:val="20"/>
        </w:rPr>
      </w:pPr>
      <w:r>
        <w:rPr>
          <w:vertAlign w:val="superscript"/>
        </w:rPr>
        <w:footnoteRef/>
      </w:r>
      <w:r>
        <w:rPr>
          <w:sz w:val="20"/>
          <w:szCs w:val="20"/>
        </w:rPr>
        <w:t xml:space="preserve"> In other analyses (available upon request) we have examined variation of generational and period effects on the SPPA core participation items by gender, and race by fitting group specific HAPC models to the data.</w:t>
      </w:r>
    </w:p>
  </w:footnote>
  <w:footnote w:id="14">
    <w:p w14:paraId="3A415C2A" w14:textId="77777777" w:rsidR="00664181" w:rsidRDefault="00664181">
      <w:pPr>
        <w:pStyle w:val="normal0"/>
        <w:spacing w:line="240" w:lineRule="auto"/>
        <w:contextualSpacing w:val="0"/>
        <w:rPr>
          <w:sz w:val="20"/>
        </w:rPr>
      </w:pPr>
      <w:r>
        <w:rPr>
          <w:vertAlign w:val="superscript"/>
        </w:rPr>
        <w:footnoteRef/>
      </w:r>
      <w:r>
        <w:rPr>
          <w:sz w:val="20"/>
          <w:szCs w:val="20"/>
        </w:rPr>
        <w:t xml:space="preserve"> Data files were obtained from the National Archive of Data on Arts &amp; Culture (NADAC) hosted by ICPSR at: </w:t>
      </w:r>
      <w:hyperlink r:id="rId2">
        <w:r>
          <w:rPr>
            <w:color w:val="1155CC"/>
            <w:sz w:val="20"/>
            <w:szCs w:val="20"/>
            <w:u w:val="single"/>
          </w:rPr>
          <w:t>http://www.icpsr.umich.edu/icpsrweb/NADAC/</w:t>
        </w:r>
      </w:hyperlink>
      <w:r>
        <w:rPr>
          <w:sz w:val="20"/>
          <w:szCs w:val="20"/>
        </w:rPr>
        <w:t xml:space="preserve">. </w:t>
      </w:r>
    </w:p>
  </w:footnote>
  <w:footnote w:id="15">
    <w:p w14:paraId="78798A20" w14:textId="77777777" w:rsidR="00664181" w:rsidRPr="00E44913" w:rsidRDefault="00664181">
      <w:pPr>
        <w:pStyle w:val="normal0"/>
        <w:spacing w:line="240" w:lineRule="auto"/>
        <w:contextualSpacing w:val="0"/>
        <w:rPr>
          <w:sz w:val="20"/>
        </w:rPr>
      </w:pPr>
      <w:r>
        <w:rPr>
          <w:vertAlign w:val="superscript"/>
        </w:rPr>
        <w:footnoteRef/>
      </w:r>
      <w:r>
        <w:rPr>
          <w:sz w:val="20"/>
          <w:szCs w:val="20"/>
        </w:rPr>
        <w:t xml:space="preserve"> Exact response rates for the 1973 survey are not available; for more technical details on the American and the Arts survey series, see:   </w:t>
      </w:r>
    </w:p>
    <w:p w14:paraId="69B4E9C7" w14:textId="77777777" w:rsidR="00664181" w:rsidRDefault="00664181">
      <w:pPr>
        <w:pStyle w:val="normal0"/>
        <w:spacing w:line="240" w:lineRule="auto"/>
        <w:contextualSpacing w:val="0"/>
        <w:rPr>
          <w:sz w:val="20"/>
        </w:rPr>
      </w:pPr>
      <w:hyperlink r:id="rId3" w:anchor="method">
        <w:r>
          <w:rPr>
            <w:color w:val="1155CC"/>
            <w:sz w:val="20"/>
            <w:szCs w:val="20"/>
            <w:u w:val="single"/>
          </w:rPr>
          <w:t>http://www.icpsr.umich.edu/icpsrweb/NADAC/studies/35575?archive=NADAC&amp;q=american+and+the+arts#method</w:t>
        </w:r>
      </w:hyperlink>
    </w:p>
  </w:footnote>
  <w:footnote w:id="16">
    <w:p w14:paraId="5C7976BF" w14:textId="77777777" w:rsidR="00664181" w:rsidRPr="00E44913" w:rsidRDefault="00664181">
      <w:pPr>
        <w:pStyle w:val="normal0"/>
        <w:spacing w:line="240" w:lineRule="auto"/>
        <w:contextualSpacing w:val="0"/>
        <w:rPr>
          <w:sz w:val="20"/>
        </w:rPr>
      </w:pPr>
      <w:r>
        <w:rPr>
          <w:vertAlign w:val="superscript"/>
        </w:rPr>
        <w:footnoteRef/>
      </w:r>
      <w:r>
        <w:rPr>
          <w:sz w:val="20"/>
          <w:szCs w:val="20"/>
        </w:rPr>
        <w:t xml:space="preserve"> Note that in most cases, exposure rates drop for persons born in the second half of the 1950s, which is consistent with the generational boundaries delimiting the Omnivorous Generation from their successors in the results obtained from SPPA data. We would not read too much into these results as these individuals were between 16-17 years old at the time of the interview.</w:t>
      </w:r>
    </w:p>
    <w:p w14:paraId="3ACD561A" w14:textId="77777777" w:rsidR="00664181" w:rsidRDefault="00664181">
      <w:pPr>
        <w:pStyle w:val="normal0"/>
        <w:spacing w:line="240" w:lineRule="auto"/>
        <w:contextualSpacing w:val="0"/>
        <w:rPr>
          <w:sz w:val="20"/>
        </w:rPr>
      </w:pP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99B376" w14:textId="77777777" w:rsidR="00664181" w:rsidRDefault="006641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
  <w:rsids>
    <w:rsidRoot w:val="00C67E15"/>
    <w:rsid w:val="000822AA"/>
    <w:rsid w:val="0009274C"/>
    <w:rsid w:val="002B555C"/>
    <w:rsid w:val="0047453C"/>
    <w:rsid w:val="00664181"/>
    <w:rsid w:val="007D1B8E"/>
    <w:rsid w:val="00890FD7"/>
    <w:rsid w:val="009F0EC6"/>
    <w:rsid w:val="00C67E15"/>
    <w:rsid w:val="00D967EC"/>
    <w:rsid w:val="00D978D9"/>
    <w:rsid w:val="00E158DF"/>
    <w:rsid w:val="00E449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DF8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aramond" w:eastAsia="Garamond" w:hAnsi="Garamond" w:cs="Garamond"/>
        <w:color w:val="000000"/>
        <w:sz w:val="26"/>
        <w:szCs w:val="26"/>
        <w:lang w:val="en-US" w:eastAsia="en-US" w:bidi="ar-SA"/>
      </w:rPr>
    </w:rPrDefault>
    <w:pPrDefault>
      <w:pPr>
        <w:widowControl w:val="0"/>
        <w:spacing w:before="60" w:line="360" w:lineRule="auto"/>
        <w:ind w:firstLine="720"/>
        <w:contextualSpacing/>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00"/>
      <w:ind w:firstLine="0"/>
      <w:jc w:val="left"/>
      <w:outlineLvl w:val="0"/>
    </w:pPr>
    <w:rPr>
      <w:color w:val="632423"/>
      <w:sz w:val="32"/>
      <w:szCs w:val="32"/>
    </w:rPr>
  </w:style>
  <w:style w:type="paragraph" w:styleId="Heading2">
    <w:name w:val="heading 2"/>
    <w:basedOn w:val="normal0"/>
    <w:next w:val="normal0"/>
    <w:pPr>
      <w:spacing w:before="200"/>
      <w:ind w:firstLine="0"/>
      <w:jc w:val="left"/>
      <w:outlineLvl w:val="1"/>
    </w:pPr>
    <w:rPr>
      <w:color w:val="632423"/>
      <w:sz w:val="28"/>
      <w:szCs w:val="28"/>
    </w:rPr>
  </w:style>
  <w:style w:type="paragraph" w:styleId="Heading3">
    <w:name w:val="heading 3"/>
    <w:basedOn w:val="normal0"/>
    <w:next w:val="normal0"/>
    <w:pPr>
      <w:keepNext/>
      <w:keepLines/>
      <w:spacing w:before="300"/>
      <w:ind w:firstLine="0"/>
      <w:jc w:val="left"/>
      <w:outlineLvl w:val="2"/>
    </w:pPr>
    <w:rPr>
      <w:i/>
      <w:color w:val="622423"/>
    </w:rPr>
  </w:style>
  <w:style w:type="paragraph" w:styleId="Heading4">
    <w:name w:val="heading 4"/>
    <w:basedOn w:val="normal0"/>
    <w:next w:val="normal0"/>
    <w:pPr>
      <w:spacing w:line="240" w:lineRule="auto"/>
      <w:ind w:firstLine="0"/>
      <w:outlineLvl w:val="3"/>
    </w:pPr>
    <w:rPr>
      <w:sz w:val="22"/>
      <w:szCs w:val="22"/>
    </w:rPr>
  </w:style>
  <w:style w:type="paragraph" w:styleId="Heading5">
    <w:name w:val="heading 5"/>
    <w:basedOn w:val="normal0"/>
    <w:next w:val="normal0"/>
    <w:pPr>
      <w:keepNext/>
      <w:keepLines/>
      <w:spacing w:before="320" w:after="120"/>
      <w:ind w:firstLine="0"/>
      <w:jc w:val="center"/>
      <w:outlineLvl w:val="4"/>
    </w:pPr>
    <w:rPr>
      <w:rFonts w:ascii="Lato" w:eastAsia="Lato" w:hAnsi="Lato" w:cs="Lato"/>
      <w:color w:val="622423"/>
      <w:sz w:val="22"/>
      <w:szCs w:val="22"/>
    </w:rPr>
  </w:style>
  <w:style w:type="paragraph" w:styleId="Heading6">
    <w:name w:val="heading 6"/>
    <w:basedOn w:val="normal0"/>
    <w:next w:val="normal0"/>
    <w:pPr>
      <w:keepNext/>
      <w:keepLines/>
      <w:spacing w:before="0" w:after="120"/>
      <w:ind w:firstLine="0"/>
      <w:jc w:val="center"/>
      <w:outlineLvl w:val="5"/>
    </w:pPr>
    <w:rPr>
      <w:rFonts w:ascii="Lato" w:eastAsia="Lato" w:hAnsi="Lato" w:cs="Lato"/>
      <w:color w:val="94363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spacing w:before="500" w:after="300" w:line="240" w:lineRule="auto"/>
      <w:ind w:firstLine="0"/>
      <w:jc w:val="center"/>
    </w:pPr>
    <w:rPr>
      <w:color w:val="632423"/>
      <w:sz w:val="44"/>
      <w:szCs w:val="44"/>
    </w:rPr>
  </w:style>
  <w:style w:type="paragraph" w:styleId="Subtitle">
    <w:name w:val="Subtitle"/>
    <w:basedOn w:val="normal0"/>
    <w:next w:val="normal0"/>
    <w:pPr>
      <w:ind w:firstLine="0"/>
    </w:pPr>
    <w:rPr>
      <w:b/>
      <w:sz w:val="28"/>
      <w:szCs w:val="2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F0EC6"/>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F0EC6"/>
    <w:rPr>
      <w:rFonts w:ascii="Lucida Grande" w:hAnsi="Lucida Grande" w:cs="Lucida Grande"/>
      <w:sz w:val="18"/>
      <w:szCs w:val="18"/>
    </w:rPr>
  </w:style>
  <w:style w:type="paragraph" w:styleId="Header">
    <w:name w:val="header"/>
    <w:basedOn w:val="Normal"/>
    <w:link w:val="HeaderChar"/>
    <w:uiPriority w:val="99"/>
    <w:unhideWhenUsed/>
    <w:rsid w:val="00664181"/>
    <w:pPr>
      <w:tabs>
        <w:tab w:val="center" w:pos="4320"/>
        <w:tab w:val="right" w:pos="8640"/>
      </w:tabs>
      <w:spacing w:before="0" w:line="240" w:lineRule="auto"/>
    </w:pPr>
  </w:style>
  <w:style w:type="character" w:customStyle="1" w:styleId="HeaderChar">
    <w:name w:val="Header Char"/>
    <w:basedOn w:val="DefaultParagraphFont"/>
    <w:link w:val="Header"/>
    <w:uiPriority w:val="99"/>
    <w:rsid w:val="00664181"/>
  </w:style>
  <w:style w:type="character" w:styleId="CommentReference">
    <w:name w:val="annotation reference"/>
    <w:basedOn w:val="DefaultParagraphFont"/>
    <w:uiPriority w:val="99"/>
    <w:semiHidden/>
    <w:unhideWhenUsed/>
    <w:rsid w:val="00664181"/>
    <w:rPr>
      <w:sz w:val="18"/>
      <w:szCs w:val="18"/>
    </w:rPr>
  </w:style>
  <w:style w:type="paragraph" w:styleId="CommentText">
    <w:name w:val="annotation text"/>
    <w:basedOn w:val="Normal"/>
    <w:link w:val="CommentTextChar"/>
    <w:uiPriority w:val="99"/>
    <w:semiHidden/>
    <w:unhideWhenUsed/>
    <w:rsid w:val="00664181"/>
    <w:pPr>
      <w:spacing w:line="240" w:lineRule="auto"/>
    </w:pPr>
    <w:rPr>
      <w:sz w:val="24"/>
      <w:szCs w:val="24"/>
    </w:rPr>
  </w:style>
  <w:style w:type="character" w:customStyle="1" w:styleId="CommentTextChar">
    <w:name w:val="Comment Text Char"/>
    <w:basedOn w:val="DefaultParagraphFont"/>
    <w:link w:val="CommentText"/>
    <w:uiPriority w:val="99"/>
    <w:semiHidden/>
    <w:rsid w:val="00664181"/>
    <w:rPr>
      <w:sz w:val="24"/>
      <w:szCs w:val="24"/>
    </w:rPr>
  </w:style>
  <w:style w:type="paragraph" w:styleId="CommentSubject">
    <w:name w:val="annotation subject"/>
    <w:basedOn w:val="CommentText"/>
    <w:next w:val="CommentText"/>
    <w:link w:val="CommentSubjectChar"/>
    <w:uiPriority w:val="99"/>
    <w:semiHidden/>
    <w:unhideWhenUsed/>
    <w:rsid w:val="00664181"/>
    <w:rPr>
      <w:b/>
      <w:bCs/>
      <w:sz w:val="20"/>
      <w:szCs w:val="20"/>
    </w:rPr>
  </w:style>
  <w:style w:type="character" w:customStyle="1" w:styleId="CommentSubjectChar">
    <w:name w:val="Comment Subject Char"/>
    <w:basedOn w:val="CommentTextChar"/>
    <w:link w:val="CommentSubject"/>
    <w:uiPriority w:val="99"/>
    <w:semiHidden/>
    <w:rsid w:val="00664181"/>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aramond" w:eastAsia="Garamond" w:hAnsi="Garamond" w:cs="Garamond"/>
        <w:color w:val="000000"/>
        <w:sz w:val="26"/>
        <w:szCs w:val="26"/>
        <w:lang w:val="en-US" w:eastAsia="en-US" w:bidi="ar-SA"/>
      </w:rPr>
    </w:rPrDefault>
    <w:pPrDefault>
      <w:pPr>
        <w:widowControl w:val="0"/>
        <w:spacing w:before="60" w:line="360" w:lineRule="auto"/>
        <w:ind w:firstLine="720"/>
        <w:contextualSpacing/>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00"/>
      <w:ind w:firstLine="0"/>
      <w:jc w:val="left"/>
      <w:outlineLvl w:val="0"/>
    </w:pPr>
    <w:rPr>
      <w:color w:val="632423"/>
      <w:sz w:val="32"/>
      <w:szCs w:val="32"/>
    </w:rPr>
  </w:style>
  <w:style w:type="paragraph" w:styleId="Heading2">
    <w:name w:val="heading 2"/>
    <w:basedOn w:val="normal0"/>
    <w:next w:val="normal0"/>
    <w:pPr>
      <w:spacing w:before="200"/>
      <w:ind w:firstLine="0"/>
      <w:jc w:val="left"/>
      <w:outlineLvl w:val="1"/>
    </w:pPr>
    <w:rPr>
      <w:color w:val="632423"/>
      <w:sz w:val="28"/>
      <w:szCs w:val="28"/>
    </w:rPr>
  </w:style>
  <w:style w:type="paragraph" w:styleId="Heading3">
    <w:name w:val="heading 3"/>
    <w:basedOn w:val="normal0"/>
    <w:next w:val="normal0"/>
    <w:pPr>
      <w:keepNext/>
      <w:keepLines/>
      <w:spacing w:before="300"/>
      <w:ind w:firstLine="0"/>
      <w:jc w:val="left"/>
      <w:outlineLvl w:val="2"/>
    </w:pPr>
    <w:rPr>
      <w:i/>
      <w:color w:val="622423"/>
    </w:rPr>
  </w:style>
  <w:style w:type="paragraph" w:styleId="Heading4">
    <w:name w:val="heading 4"/>
    <w:basedOn w:val="normal0"/>
    <w:next w:val="normal0"/>
    <w:pPr>
      <w:spacing w:line="240" w:lineRule="auto"/>
      <w:ind w:firstLine="0"/>
      <w:outlineLvl w:val="3"/>
    </w:pPr>
    <w:rPr>
      <w:sz w:val="22"/>
      <w:szCs w:val="22"/>
    </w:rPr>
  </w:style>
  <w:style w:type="paragraph" w:styleId="Heading5">
    <w:name w:val="heading 5"/>
    <w:basedOn w:val="normal0"/>
    <w:next w:val="normal0"/>
    <w:pPr>
      <w:keepNext/>
      <w:keepLines/>
      <w:spacing w:before="320" w:after="120"/>
      <w:ind w:firstLine="0"/>
      <w:jc w:val="center"/>
      <w:outlineLvl w:val="4"/>
    </w:pPr>
    <w:rPr>
      <w:rFonts w:ascii="Lato" w:eastAsia="Lato" w:hAnsi="Lato" w:cs="Lato"/>
      <w:color w:val="622423"/>
      <w:sz w:val="22"/>
      <w:szCs w:val="22"/>
    </w:rPr>
  </w:style>
  <w:style w:type="paragraph" w:styleId="Heading6">
    <w:name w:val="heading 6"/>
    <w:basedOn w:val="normal0"/>
    <w:next w:val="normal0"/>
    <w:pPr>
      <w:keepNext/>
      <w:keepLines/>
      <w:spacing w:before="0" w:after="120"/>
      <w:ind w:firstLine="0"/>
      <w:jc w:val="center"/>
      <w:outlineLvl w:val="5"/>
    </w:pPr>
    <w:rPr>
      <w:rFonts w:ascii="Lato" w:eastAsia="Lato" w:hAnsi="Lato" w:cs="Lato"/>
      <w:color w:val="94363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spacing w:before="500" w:after="300" w:line="240" w:lineRule="auto"/>
      <w:ind w:firstLine="0"/>
      <w:jc w:val="center"/>
    </w:pPr>
    <w:rPr>
      <w:color w:val="632423"/>
      <w:sz w:val="44"/>
      <w:szCs w:val="44"/>
    </w:rPr>
  </w:style>
  <w:style w:type="paragraph" w:styleId="Subtitle">
    <w:name w:val="Subtitle"/>
    <w:basedOn w:val="normal0"/>
    <w:next w:val="normal0"/>
    <w:pPr>
      <w:ind w:firstLine="0"/>
    </w:pPr>
    <w:rPr>
      <w:b/>
      <w:sz w:val="28"/>
      <w:szCs w:val="2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F0EC6"/>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F0EC6"/>
    <w:rPr>
      <w:rFonts w:ascii="Lucida Grande" w:hAnsi="Lucida Grande" w:cs="Lucida Grande"/>
      <w:sz w:val="18"/>
      <w:szCs w:val="18"/>
    </w:rPr>
  </w:style>
  <w:style w:type="paragraph" w:styleId="Header">
    <w:name w:val="header"/>
    <w:basedOn w:val="Normal"/>
    <w:link w:val="HeaderChar"/>
    <w:uiPriority w:val="99"/>
    <w:unhideWhenUsed/>
    <w:rsid w:val="00664181"/>
    <w:pPr>
      <w:tabs>
        <w:tab w:val="center" w:pos="4320"/>
        <w:tab w:val="right" w:pos="8640"/>
      </w:tabs>
      <w:spacing w:before="0" w:line="240" w:lineRule="auto"/>
    </w:pPr>
  </w:style>
  <w:style w:type="character" w:customStyle="1" w:styleId="HeaderChar">
    <w:name w:val="Header Char"/>
    <w:basedOn w:val="DefaultParagraphFont"/>
    <w:link w:val="Header"/>
    <w:uiPriority w:val="99"/>
    <w:rsid w:val="00664181"/>
  </w:style>
  <w:style w:type="character" w:styleId="CommentReference">
    <w:name w:val="annotation reference"/>
    <w:basedOn w:val="DefaultParagraphFont"/>
    <w:uiPriority w:val="99"/>
    <w:semiHidden/>
    <w:unhideWhenUsed/>
    <w:rsid w:val="00664181"/>
    <w:rPr>
      <w:sz w:val="18"/>
      <w:szCs w:val="18"/>
    </w:rPr>
  </w:style>
  <w:style w:type="paragraph" w:styleId="CommentText">
    <w:name w:val="annotation text"/>
    <w:basedOn w:val="Normal"/>
    <w:link w:val="CommentTextChar"/>
    <w:uiPriority w:val="99"/>
    <w:semiHidden/>
    <w:unhideWhenUsed/>
    <w:rsid w:val="00664181"/>
    <w:pPr>
      <w:spacing w:line="240" w:lineRule="auto"/>
    </w:pPr>
    <w:rPr>
      <w:sz w:val="24"/>
      <w:szCs w:val="24"/>
    </w:rPr>
  </w:style>
  <w:style w:type="character" w:customStyle="1" w:styleId="CommentTextChar">
    <w:name w:val="Comment Text Char"/>
    <w:basedOn w:val="DefaultParagraphFont"/>
    <w:link w:val="CommentText"/>
    <w:uiPriority w:val="99"/>
    <w:semiHidden/>
    <w:rsid w:val="00664181"/>
    <w:rPr>
      <w:sz w:val="24"/>
      <w:szCs w:val="24"/>
    </w:rPr>
  </w:style>
  <w:style w:type="paragraph" w:styleId="CommentSubject">
    <w:name w:val="annotation subject"/>
    <w:basedOn w:val="CommentText"/>
    <w:next w:val="CommentText"/>
    <w:link w:val="CommentSubjectChar"/>
    <w:uiPriority w:val="99"/>
    <w:semiHidden/>
    <w:unhideWhenUsed/>
    <w:rsid w:val="00664181"/>
    <w:rPr>
      <w:b/>
      <w:bCs/>
      <w:sz w:val="20"/>
      <w:szCs w:val="20"/>
    </w:rPr>
  </w:style>
  <w:style w:type="character" w:customStyle="1" w:styleId="CommentSubjectChar">
    <w:name w:val="Comment Subject Char"/>
    <w:basedOn w:val="CommentTextChar"/>
    <w:link w:val="CommentSubject"/>
    <w:uiPriority w:val="99"/>
    <w:semiHidden/>
    <w:rsid w:val="006641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9851705">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olizardo@nd.edu" TargetMode="External"/><Relationship Id="rId20" Type="http://schemas.openxmlformats.org/officeDocument/2006/relationships/footer" Target="footer1.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www.nea.gov" TargetMode="External"/><Relationship Id="rId11" Type="http://schemas.openxmlformats.org/officeDocument/2006/relationships/hyperlink" Target="http://www.codecogs.com/eqnedit.php?latex=P%5Cleft(Y_%7Bijkl%7D%5Cright)%20=%20%5Cgamma_0%20&amp;plus;%20%5Cbeta_1%20age%20&amp;plus;%20%5Cbeta_2%20age%5E2%20&amp;plus;%20v_%7Boj%7D%20&amp;plus;%20v_%7B0k%7D" TargetMode="External"/><Relationship Id="rId12" Type="http://schemas.openxmlformats.org/officeDocument/2006/relationships/image" Target="media/image1.png"/><Relationship Id="rId13" Type="http://schemas.openxmlformats.org/officeDocument/2006/relationships/comments" Target="comments.xml"/><Relationship Id="rId14" Type="http://schemas.openxmlformats.org/officeDocument/2006/relationships/hyperlink" Target="http://www.festival.si.edu/about-us/mission-and-history/smithsonian" TargetMode="External"/><Relationship Id="rId15" Type="http://schemas.openxmlformats.org/officeDocument/2006/relationships/hyperlink" Target="http://doi.org/10.3886/ICPSR35575.v1"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eader" Target="header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jcl42@columbia.edu"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doi.org/10.3886/ICPSR35596.v1" TargetMode="External"/><Relationship Id="rId2" Type="http://schemas.openxmlformats.org/officeDocument/2006/relationships/hyperlink" Target="http://www.icpsr.umich.edu/icpsrweb/NADAC/" TargetMode="External"/><Relationship Id="rId3" Type="http://schemas.openxmlformats.org/officeDocument/2006/relationships/hyperlink" Target="http://www.icpsr.umich.edu/icpsrweb/NADAC/studies/35575?archive=NADAC&amp;q=american+and+the+a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02DC98-65EB-6842-8B38-3581620B0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14651</Words>
  <Characters>83514</Characters>
  <Application>Microsoft Macintosh Word</Application>
  <DocSecurity>0</DocSecurity>
  <Lines>695</Lines>
  <Paragraphs>195</Paragraphs>
  <ScaleCrop>false</ScaleCrop>
  <Company/>
  <LinksUpToDate>false</LinksUpToDate>
  <CharactersWithSpaces>97970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Jennifer Lena</cp:lastModifiedBy>
  <cp:revision>2</cp:revision>
  <dcterms:created xsi:type="dcterms:W3CDTF">2017-03-30T20:39:00Z</dcterms:created>
  <dcterms:modified xsi:type="dcterms:W3CDTF">2017-03-30T20:39:00Z</dcterms:modified>
</cp:coreProperties>
</file>