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after="0" w:lineRule="auto"/>
        <w:rPr/>
      </w:pPr>
      <w:bookmarkStart w:colFirst="0" w:colLast="0" w:name="_gjdgxs" w:id="0"/>
      <w:bookmarkEnd w:id="0"/>
      <w:r w:rsidDel="00000000" w:rsidR="00000000" w:rsidRPr="00000000">
        <w:rPr>
          <w:rtl w:val="0"/>
        </w:rPr>
        <w:t xml:space="preserve">The Making of an “Omnivorous Generation”</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02">
      <w:pPr>
        <w:pStyle w:val="Subtitle"/>
        <w:pageBreakBefore w:val="0"/>
        <w:spacing w:line="240" w:lineRule="auto"/>
        <w:rPr/>
      </w:pPr>
      <w:bookmarkStart w:colFirst="0" w:colLast="0" w:name="_30j0zll" w:id="1"/>
      <w:bookmarkEnd w:id="1"/>
      <w:r w:rsidDel="00000000" w:rsidR="00000000" w:rsidRPr="00000000">
        <w:rPr>
          <w:rtl w:val="0"/>
        </w:rPr>
        <w:tab/>
      </w:r>
    </w:p>
    <w:p w:rsidR="00000000" w:rsidDel="00000000" w:rsidP="00000000" w:rsidRDefault="00000000" w:rsidRPr="00000000" w14:paraId="00000003">
      <w:pPr>
        <w:pStyle w:val="Subtitle"/>
        <w:pageBreakBefore w:val="0"/>
        <w:spacing w:line="240" w:lineRule="auto"/>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Subtitle"/>
        <w:pageBreakBefore w:val="0"/>
        <w:spacing w:line="240" w:lineRule="auto"/>
        <w:rPr/>
      </w:pPr>
      <w:r w:rsidDel="00000000" w:rsidR="00000000" w:rsidRPr="00000000">
        <w:rPr>
          <w:rtl w:val="0"/>
        </w:rPr>
        <w:t xml:space="preserve">Jennifer C. Lena</w:t>
      </w:r>
    </w:p>
    <w:p w:rsidR="00000000" w:rsidDel="00000000" w:rsidP="00000000" w:rsidRDefault="00000000" w:rsidRPr="00000000" w14:paraId="00000005">
      <w:pPr>
        <w:pStyle w:val="Subtitle"/>
        <w:pageBreakBefore w:val="0"/>
        <w:spacing w:line="240" w:lineRule="auto"/>
        <w:rPr/>
      </w:pPr>
      <w:r w:rsidDel="00000000" w:rsidR="00000000" w:rsidRPr="00000000">
        <w:rPr>
          <w:i w:val="1"/>
          <w:iCs w:val="1"/>
          <w:rtl w:val="0"/>
        </w:rPr>
        <w:t xml:space="preserve">Columbia University, Teachers College</w:t>
      </w:r>
      <w:r w:rsidDel="00000000" w:rsidR="00000000" w:rsidRPr="00000000">
        <w:rPr>
          <w:rtl w:val="0"/>
        </w:rPr>
      </w:r>
    </w:p>
    <w:p w:rsidR="00000000" w:rsidDel="00000000" w:rsidP="00000000" w:rsidRDefault="00000000" w:rsidRPr="00000000" w14:paraId="00000006">
      <w:pPr>
        <w:pStyle w:val="Subtitle"/>
        <w:pageBreakBefore w:val="0"/>
        <w:spacing w:line="240" w:lineRule="auto"/>
        <w:rPr/>
      </w:pPr>
      <w:r w:rsidDel="00000000" w:rsidR="00000000" w:rsidRPr="00000000">
        <w:rPr>
          <w:rtl w:val="0"/>
        </w:rPr>
      </w:r>
    </w:p>
    <w:p w:rsidR="00000000" w:rsidDel="00000000" w:rsidP="00000000" w:rsidRDefault="00000000" w:rsidRPr="00000000" w14:paraId="00000007">
      <w:pPr>
        <w:pStyle w:val="Subtitle"/>
        <w:pageBreakBefore w:val="0"/>
        <w:spacing w:line="240" w:lineRule="auto"/>
        <w:rPr/>
      </w:pPr>
      <w:r w:rsidDel="00000000" w:rsidR="00000000" w:rsidRPr="00000000">
        <w:rPr>
          <w:rtl w:val="0"/>
        </w:rPr>
        <w:t xml:space="preserve">Omar Lizardo</w:t>
      </w:r>
    </w:p>
    <w:p w:rsidR="00000000" w:rsidDel="00000000" w:rsidP="00000000" w:rsidRDefault="00000000" w:rsidRPr="00000000" w14:paraId="00000008">
      <w:pPr>
        <w:pStyle w:val="Subtitle"/>
        <w:pageBreakBefore w:val="0"/>
        <w:spacing w:line="240" w:lineRule="auto"/>
        <w:rPr/>
      </w:pPr>
      <w:bookmarkStart w:colFirst="0" w:colLast="0" w:name="_3znysh7" w:id="3"/>
      <w:bookmarkEnd w:id="3"/>
      <w:r w:rsidDel="00000000" w:rsidR="00000000" w:rsidRPr="00000000">
        <w:rPr>
          <w:i w:val="1"/>
          <w:iCs w:val="1"/>
          <w:rtl w:val="0"/>
        </w:rPr>
        <w:t xml:space="preserve">University of Notre Dame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Keywords: Omnivorousness, generation, culture, valorization, vernacular, folk, institutions, New Deal, Progressive Era, museums, organizations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Word Count: </w:t>
      </w:r>
      <w:r w:rsidDel="00000000" w:rsidR="00000000" w:rsidRPr="00000000">
        <w:rPr>
          <w:rtl w:val="0"/>
        </w:rPr>
        <w:t xml:space="preserve">14,745</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(plus </w:t>
      </w:r>
      <w:r w:rsidDel="00000000" w:rsidR="00000000" w:rsidRPr="00000000">
        <w:rPr>
          <w:rtl w:val="0"/>
        </w:rPr>
        <w:t xml:space="preserve">1034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in Appendix)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pStyle w:val="Subtitle"/>
        <w:pageBreakBefore w:val="0"/>
        <w:spacing w:line="240" w:lineRule="auto"/>
        <w:rPr/>
      </w:pPr>
      <w:bookmarkStart w:colFirst="0" w:colLast="0" w:name="_2et92p0" w:id="4"/>
      <w:bookmarkEnd w:id="4"/>
      <w:r w:rsidDel="00000000" w:rsidR="00000000" w:rsidRPr="00000000">
        <w:rPr>
          <w:rtl w:val="0"/>
        </w:rPr>
      </w:r>
    </w:p>
    <w:p w:rsidR="00000000" w:rsidDel="00000000" w:rsidP="00000000" w:rsidRDefault="00000000" w:rsidRPr="00000000" w14:paraId="00000010">
      <w:pPr>
        <w:pStyle w:val="Subtitle"/>
        <w:pageBreakBefore w:val="0"/>
        <w:spacing w:line="240" w:lineRule="auto"/>
        <w:rPr/>
      </w:pPr>
      <w:bookmarkStart w:colFirst="0" w:colLast="0" w:name="_tyjcwt" w:id="5"/>
      <w:bookmarkEnd w:id="5"/>
      <w:r w:rsidDel="00000000" w:rsidR="00000000" w:rsidRPr="00000000">
        <w:rPr>
          <w:rtl w:val="0"/>
        </w:rPr>
      </w:r>
    </w:p>
    <w:p w:rsidR="00000000" w:rsidDel="00000000" w:rsidP="00000000" w:rsidRDefault="00000000" w:rsidRPr="00000000" w14:paraId="00000011">
      <w:pPr>
        <w:pStyle w:val="Subtitle"/>
        <w:pageBreakBefore w:val="0"/>
        <w:spacing w:line="240" w:lineRule="auto"/>
        <w:rPr/>
      </w:pPr>
      <w:bookmarkStart w:colFirst="0" w:colLast="0" w:name="_3dy6vkm" w:id="6"/>
      <w:bookmarkEnd w:id="6"/>
      <w:r w:rsidDel="00000000" w:rsidR="00000000" w:rsidRPr="00000000">
        <w:rPr>
          <w:rtl w:val="0"/>
        </w:rPr>
      </w:r>
    </w:p>
    <w:p w:rsidR="00000000" w:rsidDel="00000000" w:rsidP="00000000" w:rsidRDefault="00000000" w:rsidRPr="00000000" w14:paraId="00000012">
      <w:pPr>
        <w:pStyle w:val="Subtitle"/>
        <w:pageBreakBefore w:val="0"/>
        <w:spacing w:line="240" w:lineRule="auto"/>
        <w:rPr/>
      </w:pPr>
      <w:bookmarkStart w:colFirst="0" w:colLast="0" w:name="_1t3h5sf" w:id="7"/>
      <w:bookmarkEnd w:id="7"/>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pStyle w:val="Subtitle"/>
        <w:pageBreakBefore w:val="0"/>
        <w:spacing w:line="240" w:lineRule="auto"/>
        <w:rPr/>
      </w:pPr>
      <w:bookmarkStart w:colFirst="0" w:colLast="0" w:name="_4d34og8" w:id="8"/>
      <w:bookmarkEnd w:id="8"/>
      <w:r w:rsidDel="00000000" w:rsidR="00000000" w:rsidRPr="00000000">
        <w:rPr>
          <w:rtl w:val="0"/>
        </w:rPr>
      </w:r>
    </w:p>
    <w:p w:rsidR="00000000" w:rsidDel="00000000" w:rsidP="00000000" w:rsidRDefault="00000000" w:rsidRPr="00000000" w14:paraId="00000015">
      <w:pPr>
        <w:pStyle w:val="Subtitle"/>
        <w:pageBreakBefore w:val="0"/>
        <w:spacing w:line="240" w:lineRule="auto"/>
        <w:rPr/>
      </w:pPr>
      <w:bookmarkStart w:colFirst="0" w:colLast="0" w:name="_2s8eyo1" w:id="9"/>
      <w:bookmarkEnd w:id="9"/>
      <w:r w:rsidDel="00000000" w:rsidR="00000000" w:rsidRPr="00000000">
        <w:rPr>
          <w:rtl w:val="0"/>
        </w:rPr>
      </w:r>
    </w:p>
    <w:p w:rsidR="00000000" w:rsidDel="00000000" w:rsidP="00000000" w:rsidRDefault="00000000" w:rsidRPr="00000000" w14:paraId="00000016">
      <w:pPr>
        <w:pStyle w:val="Subtitle"/>
        <w:pageBreakBefore w:val="0"/>
        <w:spacing w:line="240" w:lineRule="auto"/>
        <w:rPr/>
      </w:pPr>
      <w:bookmarkStart w:colFirst="0" w:colLast="0" w:name="_17dp8vu" w:id="10"/>
      <w:bookmarkEnd w:id="10"/>
      <w:r w:rsidDel="00000000" w:rsidR="00000000" w:rsidRPr="00000000">
        <w:rPr>
          <w:rtl w:val="0"/>
        </w:rPr>
      </w:r>
    </w:p>
    <w:p w:rsidR="00000000" w:rsidDel="00000000" w:rsidP="00000000" w:rsidRDefault="00000000" w:rsidRPr="00000000" w14:paraId="00000017">
      <w:pPr>
        <w:pStyle w:val="Subtitle"/>
        <w:pageBreakBefore w:val="0"/>
        <w:spacing w:line="240" w:lineRule="auto"/>
        <w:rPr/>
      </w:pPr>
      <w:bookmarkStart w:colFirst="0" w:colLast="0" w:name="_3rdcrjn" w:id="11"/>
      <w:bookmarkEnd w:id="11"/>
      <w:r w:rsidDel="00000000" w:rsidR="00000000" w:rsidRPr="00000000">
        <w:rPr>
          <w:rtl w:val="0"/>
        </w:rPr>
      </w:r>
    </w:p>
    <w:p w:rsidR="00000000" w:rsidDel="00000000" w:rsidP="00000000" w:rsidRDefault="00000000" w:rsidRPr="00000000" w14:paraId="00000018">
      <w:pPr>
        <w:pStyle w:val="Subtitle"/>
        <w:pageBreakBefore w:val="0"/>
        <w:spacing w:line="240" w:lineRule="auto"/>
        <w:rPr/>
      </w:pPr>
      <w:bookmarkStart w:colFirst="0" w:colLast="0" w:name="_26in1rg" w:id="12"/>
      <w:bookmarkEnd w:id="12"/>
      <w:r w:rsidDel="00000000" w:rsidR="00000000" w:rsidRPr="00000000">
        <w:rPr>
          <w:rtl w:val="0"/>
        </w:rPr>
      </w:r>
    </w:p>
    <w:p w:rsidR="00000000" w:rsidDel="00000000" w:rsidP="00000000" w:rsidRDefault="00000000" w:rsidRPr="00000000" w14:paraId="00000019">
      <w:pPr>
        <w:pStyle w:val="Subtitle"/>
        <w:pageBreakBefore w:val="0"/>
        <w:spacing w:line="240" w:lineRule="auto"/>
        <w:rPr/>
      </w:pPr>
      <w:bookmarkStart w:colFirst="0" w:colLast="0" w:name="_lnxbz9" w:id="13"/>
      <w:bookmarkEnd w:id="13"/>
      <w:r w:rsidDel="00000000" w:rsidR="00000000" w:rsidRPr="00000000">
        <w:rPr>
          <w:sz w:val="24"/>
          <w:szCs w:val="24"/>
          <w:rtl w:val="0"/>
        </w:rPr>
        <w:t xml:space="preserve">*</w:t>
      </w:r>
      <w:r w:rsidDel="00000000" w:rsidR="00000000" w:rsidRPr="00000000">
        <w:rPr>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7">
        <w:r w:rsidDel="00000000" w:rsidR="00000000" w:rsidRPr="00000000">
          <w:rPr>
            <w:color w:val="1155cc"/>
            <w:sz w:val="20"/>
            <w:szCs w:val="20"/>
            <w:u w:val="single"/>
            <w:rtl w:val="0"/>
          </w:rPr>
          <w:t xml:space="preserve">jcl42@columbia.edu</w:t>
        </w:r>
      </w:hyperlink>
      <w:r w:rsidDel="00000000" w:rsidR="00000000" w:rsidRPr="00000000">
        <w:rPr>
          <w:sz w:val="20"/>
          <w:szCs w:val="20"/>
          <w:rtl w:val="0"/>
        </w:rPr>
        <w:t xml:space="preserve"> or Omar Lizardo, 810 Flanner Hall Notre Dame, IN 46556, Email: </w:t>
      </w:r>
      <w:hyperlink r:id="rId8">
        <w:r w:rsidDel="00000000" w:rsidR="00000000" w:rsidRPr="00000000">
          <w:rPr>
            <w:color w:val="1155cc"/>
            <w:sz w:val="20"/>
            <w:szCs w:val="20"/>
            <w:u w:val="single"/>
            <w:rtl w:val="0"/>
          </w:rPr>
          <w:t xml:space="preserve">olizardo@nd.edu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rPr/>
      </w:pPr>
      <w:bookmarkStart w:colFirst="0" w:colLast="0" w:name="_35nkun2" w:id="14"/>
      <w:bookmarkEnd w:id="14"/>
      <w:r w:rsidDel="00000000" w:rsidR="00000000" w:rsidRPr="00000000">
        <w:rPr>
          <w:rtl w:val="0"/>
        </w:rPr>
      </w:r>
    </w:p>
    <w:p w:rsidR="00000000" w:rsidDel="00000000" w:rsidP="00000000" w:rsidRDefault="00000000" w:rsidRPr="00000000" w14:paraId="0000001B">
      <w:pPr>
        <w:pStyle w:val="Subtitle"/>
        <w:pageBreakBefore w:val="0"/>
        <w:rPr/>
      </w:pPr>
      <w:bookmarkStart w:colFirst="0" w:colLast="0" w:name="_1ksv4uv" w:id="15"/>
      <w:bookmarkEnd w:id="15"/>
      <w:r w:rsidDel="00000000" w:rsidR="00000000" w:rsidRPr="00000000">
        <w:rPr>
          <w:rtl w:val="0"/>
        </w:rPr>
      </w:r>
    </w:p>
    <w:p w:rsidR="00000000" w:rsidDel="00000000" w:rsidP="00000000" w:rsidRDefault="00000000" w:rsidRPr="00000000" w14:paraId="0000001C">
      <w:pPr>
        <w:pStyle w:val="Subtitle"/>
        <w:pageBreakBefore w:val="0"/>
        <w:rPr/>
      </w:pPr>
      <w:bookmarkStart w:colFirst="0" w:colLast="0" w:name="_3j2qqm3" w:id="16"/>
      <w:bookmarkEnd w:id="16"/>
      <w:r w:rsidDel="00000000" w:rsidR="00000000" w:rsidRPr="00000000">
        <w:rPr>
          <w:rtl w:val="0"/>
        </w:rPr>
        <w:t xml:space="preserve">Abstract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begin by confirming and advancing research indicating </w:t>
      </w:r>
      <w:r w:rsidDel="00000000" w:rsidR="00000000" w:rsidRPr="00000000">
        <w:rPr>
          <w:rtl w:val="0"/>
        </w:rPr>
        <w:t xml:space="preserve">cohort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-specific effects in Americans’ cultural omnivorousness. </w:t>
      </w:r>
      <w:r w:rsidDel="00000000" w:rsidR="00000000" w:rsidRPr="00000000">
        <w:rPr>
          <w:rtl w:val="0"/>
        </w:rPr>
        <w:t xml:space="preserve">U</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w:t>
      </w:r>
      <w:r w:rsidDel="00000000" w:rsidR="00000000" w:rsidRPr="00000000">
        <w:rPr>
          <w:rtl w:val="0"/>
        </w:rPr>
        <w:t xml:space="preserve">ing</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data from the most </w:t>
      </w:r>
      <w:r w:rsidDel="00000000" w:rsidR="00000000" w:rsidRPr="00000000">
        <w:rPr>
          <w:rtl w:val="0"/>
        </w:rPr>
        <w:t xml:space="preserve">recent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cumulative release of the Survey for Public Participation in the Arts</w:t>
      </w:r>
      <w:r w:rsidDel="00000000" w:rsidR="00000000" w:rsidRPr="00000000">
        <w:rPr>
          <w:rtl w:val="0"/>
        </w:rPr>
        <w:t xml:space="preserve">, o</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ur analysis uncovers a distinct “omnivorous generation” born in the post-Progressive Era (</w:t>
      </w:r>
      <w:r w:rsidDel="00000000" w:rsidR="00000000" w:rsidRPr="00000000">
        <w:rPr>
          <w:rtl w:val="0"/>
        </w:rPr>
        <w:t xml:space="preserve">1930-1950)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Mirroring prior analyses of the features of status-defining tastes which have linked transformations in tastes to those in arts organizations and institutions, we find one powerful potential explanation in the New Deal era art works programs.</w:t>
      </w:r>
      <w:r w:rsidDel="00000000" w:rsidR="00000000" w:rsidRPr="00000000">
        <w:rPr>
          <w:b w:val="1"/>
          <w:bCs w:val="1"/>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historical analysis reveals that institutional entrepreneurship by government arts administrators increased the diversity of art on offer to this generation and promoted its artistic legitimation. We argue that the “historicality” embedded in cohorts is a key driver of contemporaneous patterns of cultural choice, generating durable dispositions toward cultural participation among members of this generation that are still evident today, making them distinct from both their </w:t>
      </w:r>
      <w:r w:rsidDel="00000000" w:rsidR="00000000" w:rsidRPr="00000000">
        <w:rPr>
          <w:rtl w:val="0"/>
        </w:rPr>
        <w:t xml:space="preserve">predecessors and successors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pageBreakBefore w:val="0"/>
        <w:rPr/>
      </w:pPr>
      <w:bookmarkStart w:colFirst="0" w:colLast="0" w:name="_1y810tw" w:id="17"/>
      <w:bookmarkEnd w:id="17"/>
      <w:r w:rsidDel="00000000" w:rsidR="00000000" w:rsidRPr="00000000">
        <w:rPr>
          <w:rtl w:val="0"/>
        </w:rPr>
        <w:t xml:space="preserve">1.0 Introduction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summarized by the notion of “omnivorousness” (Peterson 2005). 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arts broadly defined (López-Sintas and Katz-Gerro 2005; DiMaggio and Mukhtar 2004).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w:t>
      </w:r>
      <w:r w:rsidDel="00000000" w:rsidR="00000000" w:rsidRPr="00000000">
        <w:rPr>
          <w:rtl w:val="0"/>
        </w:rPr>
        <w:t xml:space="preserve">In this respect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there has been a relative dearth of work empirically examining how differences in patterns of artistic engagement may be reflective of the “historicality”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a previous point in time (Fishman and Lizardo 2013).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this paper, we synthesize variegated lines of work pointing to linkages between production and consumption domains and institutional legacies embedded in unique cohort experiences (Abbott 2016; Greve and Rao 2014; Fishman and Lizardo 2013). Our argument is that historically durable dispositions towards “omnivorous” forms of arts consumption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p>
    <w:p w:rsidR="00000000" w:rsidDel="00000000" w:rsidP="00000000" w:rsidRDefault="00000000" w:rsidRPr="00000000" w14:paraId="00000023">
      <w:pPr>
        <w:pStyle w:val="Heading2"/>
        <w:pageBreakBefore w:val="0"/>
        <w:jc w:val="both"/>
        <w:rPr/>
      </w:pPr>
      <w:bookmarkStart w:colFirst="0" w:colLast="0" w:name="_4i7ojhp" w:id="18"/>
      <w:bookmarkEnd w:id="18"/>
      <w:r w:rsidDel="00000000" w:rsidR="00000000" w:rsidRPr="00000000">
        <w:rPr>
          <w:sz w:val="26"/>
          <w:szCs w:val="26"/>
          <w:rtl w:val="0"/>
        </w:rPr>
        <w:t xml:space="preserve">1.1 Cultural Omnivorousness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American cultural omnivore was introduced in Peterson and Simkus’s (1992) analysis of elites’ musical preferences, although earlier studies suggested it would be found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Lynes 1954; Shils 1958; Wilensky 1964). The initial series of studies predominantly relied upon the SPPA’s data on cultural participation and taste, demonstrating a particular interest in music as a site of taste discrimination. Peterson and Simkus (1992) concluded that only a small minority of college-educated elite Americans remained committed to univorous tastes for “highbrow” culture (e.g., classical music and opera), and a growing majority enjoyed popular musical entertainment. They argued that “highbrow snobbery” had been replaced by “highbrow omnivorousness.”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Studies of cultural omnivorousness now comprise a vast, international, and wide-ranging literature featuring various definitions, conceptualizations, and operationalizations of the construct (for reviews, see Peterson 2005; Ollivier 2008; Robette and Roueff 2014).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What all the definitions have in common is that omnivorousness is meant to capture the breadth of involvement of an individual in a given domain of cultural engagement (e.g., music, television, comedy) or the arts broadly defined.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different approaches to conceptualizing omnivorousness can be sorted along two dimensions: First, there is the distinction between measures of omnivorousness as concerned with taste judgments (e.g. of like or dislike) or more behavioral measures of cultural participation. Second, there is the issue as to whether omnivorousness is best thought of as breadth of engagement within a domain or as boundary crossing (across genres, domains, or hierarchies like “highbrow” and “popular”). As described by Ollivier (2008: 122</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ff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dimensions define a possible space of conceptualizations of the omnivorousness construct. Rather than arguing about which conceptualization or measurement strategy is best, we follow a more pragmatic route. Our own approach follows López-Sintas and Katz-Gerro (2005) in investigating the phenomenon with respect to a range of activities that have received cultural legitimation and institutional supports as “the arts.” Thus, our conception of omnivorousness is both domain-specific (although allowing for quite a range of variation across forms), and focuses on patterns of consumption behavior.</w:t>
      </w:r>
    </w:p>
    <w:p w:rsidR="00000000" w:rsidDel="00000000" w:rsidP="00000000" w:rsidRDefault="00000000" w:rsidRPr="00000000" w14:paraId="00000027">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1ci93xb" w:id="19"/>
      <w:bookmarkEnd w:id="19"/>
      <w:r w:rsidDel="00000000" w:rsidR="00000000" w:rsidRPr="00000000">
        <w:rPr>
          <w:sz w:val="26"/>
          <w:szCs w:val="26"/>
          <w:rtl w:val="0"/>
        </w:rPr>
        <w:t xml:space="preserve">1.2 Generations and Taste Publics</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features and institutional processes.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macrosocial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linking the institutional past with the behavioral present (Abbott 2016: 10; Greve and Rao 2014; Fishman and Lizardo 2013). Investigation of the features of omnivorous cultural consumption may serve as an ideal testbed for this process, as periods of intensive investment in the arts are often accompanied by the legitimation of novel aesthetic objects; persons who came of age during these periods may “carry over” such dispositions to their engagement with art over time.</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2bn6wsx" w:id="20"/>
      <w:bookmarkEnd w:id="20"/>
      <w:r w:rsidDel="00000000" w:rsidR="00000000" w:rsidRPr="00000000">
        <w:rPr>
          <w:rtl w:val="0"/>
        </w:rPr>
        <w:t xml:space="preserve">2.0 Are There Omnivorous Generations?</w:t>
      </w:r>
      <w:r w:rsidDel="00000000" w:rsidR="00000000" w:rsidRPr="00000000">
        <w:rPr>
          <w:rtl w:val="0"/>
        </w:rPr>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2xcytpi" w:id="21"/>
      <w:bookmarkEnd w:id="21"/>
      <w:r w:rsidDel="00000000" w:rsidR="00000000" w:rsidRPr="00000000">
        <w:rPr>
          <w:sz w:val="26"/>
          <w:szCs w:val="26"/>
          <w:rtl w:val="0"/>
        </w:rPr>
        <w:t xml:space="preserve">2.1 Data Source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begin by empirically considering whether Americans’ cultural omnivorousness, centered around patterns of participation in a wide range of cultural forms related to the arts, exhibit </w:t>
      </w:r>
      <w:r w:rsidDel="00000000" w:rsidR="00000000" w:rsidRPr="00000000">
        <w:rPr>
          <w:rtl w:val="0"/>
        </w:rPr>
        <w:t xml:space="preserve">generation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-specific effects. This possibility was raised in López-Sintas and Katz-Gerro’s (2005) study of behavioral indicators of the omnivorous disposition, taken from three waves (1982, 1992, 2002) of the Survey of Public Participation in the Arts (SPPA).  López-Sintas and Katz-Gerro (2005) note that, rather than observing an unilinear trend in which less omnivorous cohorts are replaced by more omnivorous ones, the “omnivorousness trend developed unevenly over the 20 years” and is characterized by period-specific effects. This reflects the null relationship between cohort and omnivorousness uncovered by Garcia-Alvarez, Katz-Gerro and López-Sintas (2007: 433). </w:t>
      </w:r>
      <w:r w:rsidDel="00000000" w:rsidR="00000000" w:rsidRPr="00000000">
        <w:rPr>
          <w:rtl w:val="0"/>
        </w:rPr>
        <w:t xml:space="preserve">We analyze the same data source and behavioral indicators of engagement as López-Sintas and Katz-Gerro (2005), but augment the cumulative data set with the two most recent survey waves (2008 and 2012), while relying on a technique explicitly developed to tease out cohort from period and age effects in substantively meaningful ways (Yang and Land 2006, 2008; Reeves 2015). Until recently, scholars lacked both data and means to adjudicate between cohort and generational effects on outcomes like taste omnivorousness, and this article takes advantage of advances in both domains.</w:t>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in previous work (e.g. DiMaggio and Mukhtar 2004; López-Sintas and Katz-Gerro 2005), we rely on the cumulative data file containing six waves of the the Survey of Public Participation in the Arts (SPPA), covering 30 years (1982-2012).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SPPA is sponsored by the Research Division of the National Endowment for the Arts (</w:t>
      </w:r>
      <w:hyperlink r:id="rId9">
        <w:r w:rsidDel="00000000" w:rsidR="00000000" w:rsidRPr="00000000">
          <w:rPr>
            <w:rFonts w:ascii="Garamond" w:cs="Garamond" w:eastAsia="Garamond" w:hAnsi="Garamond"/>
            <w:b w:val="0"/>
            <w:bCs w:val="0"/>
            <w:i w:val="0"/>
            <w:iCs w:val="0"/>
            <w:smallCaps w:val="0"/>
            <w:strike w:val="0"/>
            <w:color w:val="1155cc"/>
            <w:sz w:val="26"/>
            <w:szCs w:val="26"/>
            <w:u w:val="single"/>
            <w:shd w:fill="auto" w:val="clear"/>
            <w:vertAlign w:val="baseline"/>
            <w:rtl w:val="0"/>
          </w:rPr>
          <w:t xml:space="preserve">http://www.nea.gov</w:t>
        </w:r>
      </w:hyperlink>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SPPA is appropriate for our purpose for several reasons. First, these data have been used to establish a good portion of the research on omnivorousness in the U.S.; in order to advance research in this tradition we utilize the same data source. In keeping with current trends in the field, our operationalization makes use of all the </w:t>
      </w:r>
      <w:r w:rsidDel="00000000" w:rsidR="00000000" w:rsidRPr="00000000">
        <w:rPr>
          <w:rtl w:val="0"/>
        </w:rPr>
        <w:t xml:space="preserve">core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These data include genres with stable canons that enjoy generations of fans (classical, ballet, opera) and those which enjoyed recent artistic legitimation efforts (jazz, musicals, craft fairs and art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omnivorousness (Bourdieu 1987, 1993, 1996).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Table 1 shows the percentage of respondents who reported having attended each activity for all six survey waves. The table also reports the number of respondents for whom we have non-missing data on each item in each year.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[Table 1 About Here]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z4u46yqb2hzx" w:id="22"/>
      <w:bookmarkEnd w:id="22"/>
      <w:r w:rsidDel="00000000" w:rsidR="00000000" w:rsidRPr="00000000">
        <w:rPr>
          <w:rtl w:val="0"/>
        </w:rPr>
        <w:t xml:space="preserve">2.2 Uncovering Cohort Effects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color w:val="000000"/>
          <w:sz w:val="26"/>
          <w:szCs w:val="26"/>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color w:val="000000"/>
          <w:sz w:val="26"/>
          <w:szCs w:val="26"/>
          <w:rtl w:val="0"/>
        </w:rPr>
        <w:t xml:space="preserve">groupings</w:t>
      </w:r>
      <w:r w:rsidDel="00000000" w:rsidR="00000000" w:rsidRPr="00000000">
        <w:rPr>
          <w:color w:val="000000"/>
          <w:sz w:val="26"/>
          <w:szCs w:val="26"/>
          <w:rtl w:val="0"/>
        </w:rPr>
        <w:t xml:space="preserve"> of persons defined by a common event and experiences (Ryder 1965). We opt for this approach here given its theoretical fit with the Mannheim-inspired notion of generation-specific taste publics developed earlier. </w:t>
      </w:r>
      <w:r w:rsidDel="00000000" w:rsidR="00000000" w:rsidRPr="00000000">
        <w:rPr>
          <w:rtl w:val="0"/>
        </w:rPr>
        <w:t xml:space="preserve">Substantively, Yang and Land’s (2006) hierarchical age-period-cohort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 and Jones (2014) have argued that HAPC models can sometimes fail to recover true cohort (or period effects) when the data generating process does not meet certain conditions. In a response drafted by some of the leading demographers Reither et al (2015) argue that HAPC approach will recover cohort and period effects whenever data are extensive enough to display sufficient variation (and not exact linear dependencies)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2 About Here]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oeyyjzz4v746" w:id="23"/>
      <w:bookmarkEnd w:id="23"/>
      <w:r w:rsidDel="00000000" w:rsidR="00000000" w:rsidRPr="00000000">
        <w:rPr>
          <w:rtl w:val="0"/>
        </w:rPr>
        <w:t xml:space="preserve">2.3 Preliminary Analyses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the first recommendation, table 2 shows the results of goodness of fitness test for logistic regression models predicting arts participation across all age activities using age, period, and cohort as predictor. In each model the age, cohort effects are specified non-parametrically as a series of dummy variables coding groups of respondents based on a five-year window (results are substantively the same when we vary these windows). We used Akaike’s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1 About Here]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pattern of variation across the three dimensions? Figure 1 provides a descriptive plot of all age, period, and cohort trends. One thing to look for here is sufficient distinctiveness in the trends across dimensions (Reither et al 2015),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1950. Note that the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2 About Here]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relatively simple (and thus undemanding of these data) </w:t>
      </w:r>
      <w:r w:rsidDel="00000000" w:rsidR="00000000" w:rsidRPr="00000000">
        <w:rPr>
          <w:rtl w:val="0"/>
        </w:rPr>
        <w:t xml:space="preserve">strategy </w:t>
      </w:r>
      <w:r w:rsidDel="00000000" w:rsidR="00000000" w:rsidRPr="00000000">
        <w:rPr>
          <w:rtl w:val="0"/>
        </w:rPr>
        <w:t xml:space="preserve">is the “graphical” approach for disaggregating period and cohort effects advocated by Reeves (2015) in the context of arts participation data. This is an approach Voas and Chaves (2016) follow when identifying cohort changes in religious participation in the U.S.  The graphical approach consists of the visual inspection of plots with survey year on the x-axis and a given outcome on the y-axis, with separate lines (either theoretically or empirically determined) for cohort clusters. These are shown in Figure 2. The results show that the seeming omnivorousness of the post-progressive era cohorts (1930-1960) is not a period specific artifact of any one survey wave, but instead it reappears across surveys separated by as much as two decades. Although we can observe evidence of a negative period effect in the leftmost panel of figure 1 (downward movement in the y axis with in 2002 and 2012 in relation to 1982), the inverted u-shaped pattern favoring post-progressive era cohorts is robust across survey waves and arts participation outcomes. </w:t>
      </w:r>
    </w:p>
    <w:p w:rsidR="00000000" w:rsidDel="00000000" w:rsidP="00000000" w:rsidRDefault="00000000" w:rsidRPr="00000000" w14:paraId="00000044">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3as4poj" w:id="24"/>
      <w:bookmarkEnd w:id="24"/>
      <w:r w:rsidDel="00000000" w:rsidR="00000000" w:rsidRPr="00000000">
        <w:rPr>
          <w:sz w:val="26"/>
          <w:szCs w:val="26"/>
          <w:rtl w:val="0"/>
        </w:rPr>
        <w:t xml:space="preserve">2.4 Multivariate Analyses</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“omnivorous” with respect to arts participation, it is concentrated among persons who came of age in the immediate post-progressive and post-war period (1930s, 1940s, 1950s). Here, we examine whether we can replicate the observed generational clustering result in a multivariate context, adjusting for possible confounders, and modeling the interplay of age, period, and cohort within the HAPC framework described earlier.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multivariate models include a dummy variable for respondents who completed some college or above In addition, our specification also holds constant other individual (and, at the cohort level, compositional) predictors of engagement with the arts: race (DiMaggio and Ostrower 1990 with dummy variables for respondents who self-identify as black or white), gender (Lizardo 2006). Finally, sensitivity analyses (reported in the Appendix) suggested that a cubic specification of the individual age effect provided the most conservative estimates of the cohort effect (being no different than a fully nonparametric specification) and therefore we opted for that here (quadratic and linear specifications of the age effect provide substantively identical results).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since we have only six cross-sectional surveys at our disposal, we specify the period effects directly as person-level fixed effects leaving only the cohort effects as group level random effects. Thus, our model is a two-level random-effects model and not a cross-classified random effects model. This approach yields gains in efficiency and ease of interpretation in relation to specifying both period and cohort estimates as fixed effects (Yang and Land 2008).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previous work (e.g. Bell and Jones 2014) has criticized the practice of assuming that cohort groups be defined by fixed intervals (e.g. five years) as lacking substantive grounding, we specified random-effects models in which cohorts were defined using a sliding window ranging from two to eight years for each of the eight core arts participation activities in the SPPA. This way, we can ascertain whether the cohort-effect patterns that we obtain are sensitive to this analytic choice.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that we estimate can be written as: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0" w:firstLine="0"/>
        <w:rPr/>
      </w:pPr>
      <w:hyperlink r:id="rId10">
        <w:r w:rsidDel="00000000" w:rsidR="00000000" w:rsidRPr="00000000">
          <w:rPr/>
          <w:drawing>
            <wp:inline distB="19050" distT="19050" distL="19050" distR="19050">
              <wp:extent cx="5524500" cy="7112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524500" cy="711200"/>
                      </a:xfrm>
                      <a:prstGeom prst="rect"/>
                      <a:ln/>
                    </pic:spPr>
                  </pic:pic>
                </a:graphicData>
              </a:graphic>
            </wp:inline>
          </w:drawing>
        </w:r>
      </w:hyperlink>
      <w:r w:rsidDel="00000000" w:rsidR="00000000" w:rsidRPr="00000000">
        <w:rPr>
          <w:rtl w:val="0"/>
        </w:rPr>
        <w:t xml:space="preserve">(1)</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vertAlign w:val="superscript"/>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w:t>
      </w:r>
      <w:r w:rsidDel="00000000" w:rsidR="00000000" w:rsidRPr="00000000">
        <w:rPr>
          <w:i w:val="1"/>
          <w:iCs w:val="1"/>
          <w:rtl w:val="0"/>
        </w:rPr>
        <w:t xml:space="preserve">θ</w:t>
      </w:r>
      <w:r w:rsidDel="00000000" w:rsidR="00000000" w:rsidRPr="00000000">
        <w:rPr>
          <w:i w:val="1"/>
          <w:iCs w:val="1"/>
          <w:vertAlign w:val="subscript"/>
          <w:rtl w:val="0"/>
        </w:rPr>
        <w:t xml:space="preserve">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a variable indicating the respondent’s age at the time of the survey. The result of interest in this model will be an estimate of the 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age, period and socio-demographic influences.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vertAlign w:val="superscript"/>
        </w:rPr>
      </w:pPr>
      <w:r w:rsidDel="00000000" w:rsidR="00000000" w:rsidRPr="00000000">
        <w:rPr>
          <w:rtl w:val="0"/>
        </w:rP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the sense in which this term is sometimes misused in variables-oriented analysis, but instead is </w:t>
      </w:r>
      <w:r w:rsidDel="00000000" w:rsidR="00000000" w:rsidRPr="00000000">
        <w:rPr>
          <w:rtl w:val="0"/>
        </w:rPr>
        <w:t xml:space="preserve">descriptive</w:t>
      </w:r>
      <w:r w:rsidDel="00000000" w:rsidR="00000000" w:rsidRPr="00000000">
        <w:rPr>
          <w:rtl w:val="0"/>
        </w:rPr>
        <w:t xml:space="preserve"> (Spillman 2014). Our strategy is to deploy this statistical framework to establish a broad, empirical pattern of generational effects on arts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chd6tfis5olc" w:id="25"/>
      <w:bookmarkEnd w:id="25"/>
      <w:r w:rsidDel="00000000" w:rsidR="00000000" w:rsidRPr="00000000">
        <w:rPr>
          <w:rtl w:val="0"/>
        </w:rPr>
        <w:t xml:space="preserve">2.5 </w:t>
      </w:r>
      <w:r w:rsidDel="00000000" w:rsidR="00000000" w:rsidRPr="00000000">
        <w:rPr>
          <w:rtl w:val="0"/>
        </w:rPr>
        <w:t xml:space="preserve">Results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results of the multivariate analysis are presented in Tables 3 and 4 which show coefficient estimates, cohort-level random effects estimates, and model fit statistics for the two-level HAPC with cohort groups defined as four-year clusters, and Figures 3a-3b, which plots the random-effects estimate of cohort group membership  (on the y-axis) by year of birth (on the x-axis) for all eight arts participation outcomes, for four specifications of cohort group size (as two-year, four-year, six-year, and eight-year clusters).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3 About Here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Table 3 shows, the effects of individual level characteristics are statistically significant across outcomes and consistent (in terms of directionality) with previous work on socio-demographic determinants of arts participation (women, whites, and the college educated are more likely to participate). More importantly, looking at the variance estimates for group-level cohort effects, we find significant variation across generational clusters net of age, period, and socio-demographics for six out of the eight core activities, with the only exception being Opera and Ballet, which as Table 1 shows are also the least engaged in activities.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4 About Here]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Figures 3a-3c show, the direction and magnitude of the cohort effects across the arts participation for which there is significant cohort heterogeneity replicate the “u-shaped” pattern uncovered in the descriptive plots, revealing an arts participation boost for people born between 1930 and 1950. Across institutionally distinct arts participation practices, we find that, with few exceptions, cohorts born during these years have higher positive deviations in expected engagement than their earlier and later born counterparts. Table 4 confirms that positive and statistically significant cohort deviations are concentrated among these set of cohorts (with the exception of Jazz which shows positive cohort deviations for persons born in the late 1950s and early 1960s). Note that while the magnitude of the estimate </w:t>
      </w:r>
      <w:r w:rsidDel="00000000" w:rsidR="00000000" w:rsidRPr="00000000">
        <w:rPr>
          <w:rtl w:val="0"/>
        </w:rPr>
        <w:t xml:space="preserve">d</w:t>
      </w:r>
      <w:r w:rsidDel="00000000" w:rsidR="00000000" w:rsidRPr="00000000">
        <w:rPr>
          <w:rtl w:val="0"/>
        </w:rPr>
        <w:t xml:space="preserve">oes fluctuate slightly depending on how many years are used to define the cohort window, the overall pattern of results is the same whether cohorts are defined using small (or two years) or large (e.g. eight years) definitions, with the latter essentially “smoothing” over shorter term fluctuations but keeping the same overall pattern. Additional analyses presented in the appendix show that holding the cohort window constant, the results are substantively the same under different functional specifications of the age effect.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3 About Here]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cross-cohort age distribution becomes truncated as we move to more recently born cohorts (or move back to the earliest cohorts), we are more cautious about interpreting the negative cohort deviations at the extreme boundaries (e.g. 1890-1900 and 1980 to 1990), although as shown in Table 4, in most cases these actually normalize back to the cross-cohort average (this is the horizontal line across the plots shown in Figure 3). This indicates that it is the post-progressive era cohorts that are distinctive in their higher likelihood to participate. In this respect,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“omnivorous” in this particular domain (DiMaggio and Mukhtar 2004). The cohort born between 1930 and 1950 appears to be an Omnivorous Generation.</w:t>
      </w:r>
      <w:r w:rsidDel="00000000" w:rsidR="00000000" w:rsidRPr="00000000">
        <w:rPr>
          <w:rtl w:val="0"/>
        </w:rPr>
      </w:r>
    </w:p>
    <w:p w:rsidR="00000000" w:rsidDel="00000000" w:rsidP="00000000" w:rsidRDefault="00000000" w:rsidRPr="00000000" w14:paraId="0000005D">
      <w:pPr>
        <w:pStyle w:val="Heading2"/>
        <w:pageBreakBefore w:val="0"/>
        <w:jc w:val="both"/>
        <w:rPr/>
      </w:pPr>
      <w:bookmarkStart w:colFirst="0" w:colLast="0" w:name="_1pxezwc" w:id="26"/>
      <w:bookmarkEnd w:id="26"/>
      <w:r w:rsidDel="00000000" w:rsidR="00000000" w:rsidRPr="00000000">
        <w:rPr>
          <w:sz w:val="26"/>
          <w:szCs w:val="26"/>
          <w:rtl w:val="0"/>
        </w:rPr>
        <w:t xml:space="preserve">2.6</w:t>
      </w:r>
      <w:r w:rsidDel="00000000" w:rsidR="00000000" w:rsidRPr="00000000">
        <w:rPr>
          <w:sz w:val="26"/>
          <w:szCs w:val="26"/>
          <w:rtl w:val="0"/>
        </w:rPr>
        <w:t xml:space="preserve"> Summary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Results from </w:t>
      </w:r>
      <w:r w:rsidDel="00000000" w:rsidR="00000000" w:rsidRPr="00000000">
        <w:rPr>
          <w:rtl w:val="0"/>
        </w:rPr>
        <w:t xml:space="preserve">period-cohort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plots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and random-effects Hierarchical Age-Period-Cohort (HAPC) </w:t>
      </w:r>
      <w:r w:rsidDel="00000000" w:rsidR="00000000" w:rsidRPr="00000000">
        <w:rPr>
          <w:rtl w:val="0"/>
        </w:rPr>
        <w:t xml:space="preserve">Models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point to the existence of a distinct Omnivorous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detailed in the supplementary analyses reported in the Appendix (</w:t>
      </w:r>
      <w:r w:rsidDel="00000000" w:rsidR="00000000" w:rsidRPr="00000000">
        <w:rPr>
          <w:rtl w:val="0"/>
        </w:rPr>
        <w:t xml:space="preserv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ection </w:t>
      </w:r>
      <w:r w:rsidDel="00000000" w:rsidR="00000000" w:rsidRPr="00000000">
        <w:rPr>
          <w:rtl w:val="0"/>
        </w:rPr>
        <w:t xml:space="preserve">1, Figure 5)</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results are robust to alternative specifications of the </w:t>
      </w:r>
      <w:r w:rsidDel="00000000" w:rsidR="00000000" w:rsidRPr="00000000">
        <w:rPr>
          <w:rtl w:val="0"/>
        </w:rPr>
        <w:t xml:space="preserve">age effects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there is suggestive evidence that members of this generational cluster are more likely to report more exposure to the arts during their formative years than persons born before 1930 (section 3, figure 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these results strongly suggest that persons born in the three decades immediately following the Progressive Era are distinctive enough in their pattern of cultural engagement to be considered an “Omnivorous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omnivorousness as a linear cohort trend over time, in favor of a generational specificity argument, confirming recent but preliminary work in the field (Rossman and Peterson 2015; López-Sintas and Katz-Gerro 2005).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When research in the mid-1990s discovered patterns of omnivorousness among elites, scholars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inter alia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an historically rooted transformation related to artistic classification, dissemination, and production systems (DiMaggio 1987, 2000).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p>
    <w:p w:rsidR="00000000" w:rsidDel="00000000" w:rsidP="00000000" w:rsidRDefault="00000000" w:rsidRPr="00000000" w14:paraId="00000062">
      <w:pPr>
        <w:pStyle w:val="Heading1"/>
        <w:pageBreakBefore w:val="0"/>
        <w:jc w:val="both"/>
        <w:rPr/>
      </w:pPr>
      <w:bookmarkStart w:colFirst="0" w:colLast="0" w:name="_49x2ik5" w:id="27"/>
      <w:bookmarkEnd w:id="27"/>
      <w:r w:rsidDel="00000000" w:rsidR="00000000" w:rsidRPr="00000000">
        <w:rPr>
          <w:rtl w:val="0"/>
        </w:rPr>
        <w:t xml:space="preserve">3.0 Institutional and Organizational Impacts on Taste Publics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rsidR="00000000" w:rsidDel="00000000" w:rsidP="00000000" w:rsidRDefault="00000000" w:rsidRPr="00000000" w14:paraId="00000064">
      <w:pPr>
        <w:pStyle w:val="Heading2"/>
        <w:pageBreakBefore w:val="0"/>
        <w:jc w:val="both"/>
        <w:rPr/>
      </w:pPr>
      <w:bookmarkStart w:colFirst="0" w:colLast="0" w:name="_2p2csry" w:id="28"/>
      <w:bookmarkEnd w:id="28"/>
      <w:r w:rsidDel="00000000" w:rsidR="00000000" w:rsidRPr="00000000">
        <w:rPr>
          <w:sz w:val="26"/>
          <w:szCs w:val="26"/>
          <w:rtl w:val="0"/>
        </w:rPr>
        <w:t xml:space="preserve">3.1 The Emergence of High Culture as an Exemplar Case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rsidR="00000000" w:rsidDel="00000000" w:rsidP="00000000" w:rsidRDefault="00000000" w:rsidRPr="00000000" w14:paraId="00000067">
      <w:pPr>
        <w:pStyle w:val="Heading2"/>
        <w:pageBreakBefore w:val="0"/>
        <w:jc w:val="both"/>
        <w:rPr/>
      </w:pPr>
      <w:bookmarkStart w:colFirst="0" w:colLast="0" w:name="_147n2zr" w:id="29"/>
      <w:bookmarkEnd w:id="29"/>
      <w:r w:rsidDel="00000000" w:rsidR="00000000" w:rsidRPr="00000000">
        <w:rPr>
          <w:sz w:val="26"/>
          <w:szCs w:val="26"/>
          <w:rtl w:val="0"/>
        </w:rPr>
        <w:t xml:space="preserve">3.2 Artistic Valorization and the WPA</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les arts moyennes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--was the locus of intense cultural entrepreneurship in the first half of the twentieth century.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No movement better illustrates the intensity of 20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72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State-level support for indigent artists began as early as 1931, but the first Federal, non-relief project for artists, the Public Works of Art project, was initiated in 1933.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Greengard et al 1986: 58-60).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6"/>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one historian opined: “the resulting output of Americana was overwhelming” (Mathews 1975: 334).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7"/>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arts diversified, arts administrators worked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Time Magazine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reported that Sokoloff’s payroll included a 22-piece “gypsy orchestra” in Pittsburg, a Hungarian ensemble in Chicago, and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típica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8"/>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somewhat easier to trace the fate of the WPA arts administrators, some of whom went on to helm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He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significance of the aesthetic legitimation of some vernacular culture as art can also be seen in the creation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Omnivorous Generation.</w:t>
      </w:r>
    </w:p>
    <w:p w:rsidR="00000000" w:rsidDel="00000000" w:rsidP="00000000" w:rsidRDefault="00000000" w:rsidRPr="00000000" w14:paraId="00000076">
      <w:pPr>
        <w:pStyle w:val="Heading2"/>
        <w:pageBreakBefore w:val="0"/>
        <w:jc w:val="both"/>
        <w:rPr/>
      </w:pPr>
      <w:bookmarkStart w:colFirst="0" w:colLast="0" w:name="_3o7alnk" w:id="30"/>
      <w:bookmarkEnd w:id="30"/>
      <w:r w:rsidDel="00000000" w:rsidR="00000000" w:rsidRPr="00000000">
        <w:rPr>
          <w:sz w:val="26"/>
          <w:szCs w:val="26"/>
          <w:rtl w:val="0"/>
        </w:rPr>
        <w:t xml:space="preserve">3.3 Supplementary Quantitative Analysis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Given our argument, it is instructive to compare generational differences across consumption domains that differ both by (a) levels of differentiation across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Mukhtar 2004; López-Sintas and Katz-Gerro 2005). If our argument is on the right track, we should find sharper cohort differentiation patterns setting apart the Omnivorous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t xml:space="preserve">[Figure 4 About Here]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Figures </w:t>
      </w:r>
      <w:r w:rsidDel="00000000" w:rsidR="00000000" w:rsidRPr="00000000">
        <w:rPr>
          <w:rtl w:val="0"/>
        </w:rPr>
        <w:t xml:space="preserve">4a-4b</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show the results of </w:t>
      </w:r>
      <w:r w:rsidDel="00000000" w:rsidR="00000000" w:rsidRPr="00000000">
        <w:rPr>
          <w:rtl w:val="0"/>
        </w:rPr>
        <w:t xml:space="preserve">group-level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random-effects estimates from HAPC models estimated for persons </w:t>
      </w:r>
      <w:r w:rsidDel="00000000" w:rsidR="00000000" w:rsidRPr="00000000">
        <w:rPr>
          <w:rtl w:val="0"/>
        </w:rPr>
        <w:t xml:space="preserve">with or without college experience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for both participation in Art Festivals/Craft Fairs and Art Museum attendance (respectively). As before, the cohort effect is the deviation in the expected probability of participation in comparison to the cohort- and group-specific (college-educated versus non-college-educated) rate. Since the effects are normalized to each group’s baseline, it is not appropriate to interpret these as absolute effects across education groups but only as relative cross-cohort effects within education</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groups.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deviations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from the overall baseline expectation for the</w:t>
      </w:r>
      <w:r w:rsidDel="00000000" w:rsidR="00000000" w:rsidRPr="00000000">
        <w:rPr>
          <w:rtl w:val="0"/>
        </w:rPr>
        <w:t xml:space="preserve">ir own education group</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than college educated people born during those years have in relation to their </w:t>
      </w:r>
      <w:r w:rsidDel="00000000" w:rsidR="00000000" w:rsidRPr="00000000">
        <w:rPr>
          <w:rFonts w:ascii="Garamond" w:cs="Garamond" w:eastAsia="Garamond" w:hAnsi="Garamond"/>
          <w:b w:val="0"/>
          <w:bCs w:val="0"/>
          <w:smallCaps w:val="0"/>
          <w:strike w:val="0"/>
          <w:color w:val="000000"/>
          <w:sz w:val="26"/>
          <w:szCs w:val="26"/>
          <w:u w:val="none"/>
          <w:shd w:fill="auto" w:val="clear"/>
          <w:vertAlign w:val="baseline"/>
          <w:rtl w:val="0"/>
        </w:rPr>
        <w:t xml:space="preserve">own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results of this analysis show the Omnivorous Generation effect crosses the education divide, and it illustrates the mediation of this generation’s arts engagement by artistic form and education. First, the generational effect is of a stronger substantive magnitude for Art Festival/Craft Fair attendance than attendance at Art Museums. Second, there </w:t>
      </w:r>
      <w:r w:rsidDel="00000000" w:rsidR="00000000" w:rsidRPr="00000000">
        <w:rPr>
          <w:rtl w:val="0"/>
        </w:rPr>
        <w:t xml:space="preserve">are differences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the cohort effect by educational group: it is stronger for college educated persons born between 1930 and 1950 in the case of art </w:t>
      </w:r>
      <w:r w:rsidDel="00000000" w:rsidR="00000000" w:rsidRPr="00000000">
        <w:rPr>
          <w:rtl w:val="0"/>
        </w:rPr>
        <w:t xml:space="preserve">Museums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However, the difference within this cohort between those with college educations and those without is </w:t>
      </w:r>
      <w:r w:rsidDel="00000000" w:rsidR="00000000" w:rsidRPr="00000000">
        <w:rPr>
          <w:rtl w:val="0"/>
        </w:rPr>
        <w:t xml:space="preserve">essentially null when it comes to the more accessible activity of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Art Festival</w:t>
      </w:r>
      <w:r w:rsidDel="00000000" w:rsidR="00000000" w:rsidRPr="00000000">
        <w:rPr>
          <w:rtl w:val="0"/>
        </w:rPr>
        <w:t xml:space="preserve"> participation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Third, when it comes to this last activity we can observe positive cohort effects (in relation to generational peers without a college education) among non-college educated Americans born </w:t>
      </w:r>
      <w:r w:rsidDel="00000000" w:rsidR="00000000" w:rsidRPr="00000000">
        <w:rPr>
          <w:rtl w:val="0"/>
        </w:rPr>
        <w:t xml:space="preserve">as early as the 1920s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w:t>
      </w:r>
      <w:r w:rsidDel="00000000" w:rsidR="00000000" w:rsidRPr="00000000">
        <w:rPr>
          <w:rtl w:val="0"/>
        </w:rPr>
        <w:t xml:space="preserve">more overtly elite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forms of arts participation.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7D">
      <w:pPr>
        <w:pStyle w:val="Heading2"/>
        <w:pageBreakBefore w:val="0"/>
        <w:jc w:val="both"/>
        <w:rPr/>
      </w:pPr>
      <w:bookmarkStart w:colFirst="0" w:colLast="0" w:name="_23ckvvd" w:id="31"/>
      <w:bookmarkEnd w:id="31"/>
      <w:r w:rsidDel="00000000" w:rsidR="00000000" w:rsidRPr="00000000">
        <w:rPr>
          <w:rtl w:val="0"/>
        </w:rPr>
        <w:t xml:space="preserve">3.4 Alternative Explanations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Based on an analysis of the cumulative data file covering six waves of the SPPA, our results confirm López-Sintas and Kat</w:t>
      </w:r>
      <w:r w:rsidDel="00000000" w:rsidR="00000000" w:rsidRPr="00000000">
        <w:rPr>
          <w:rtl w:val="0"/>
        </w:rPr>
        <w:t xml:space="preserve">z</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-Gerro (2005) and Rossman and Peterson’s (2015) conception of omnivorousness as a generational phenomenon. Prior analyses of the features of status-defining tastes in the United States have linked transformations in tastes to transformations in arts organizations and institutions (DiMaggio 1982; Peterson and Kern 1996). Based on the discovery of an omnivorous generation of Americans born in the post-Progressive Era, we hypothesize that this cohort’s exposure to a novel set of experiences in and around the American arts, as a result of New Deal arts programs and their diversification of the artistic canon, is one likely contributor.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changes we link to the New Deal are not taking place in a vacuum, and might have been buttressed by other transformations noted by scholars seeking to explain the rise of omnivorousness. Those include the “emergence of an inclusive national culture, linking local economies, identities, and lifestyles” (Hall 1984); the occlusion of administrative control of the arts from an essentially hereditary, urban elite by a large class of upwardly-mobile college graduates (DiMaggio 2000); the subsequent managerial revolution in the arts (Zolberg 1986; Meyer 1979; DiMaggio 1991, 2000); the expansion of art education, advocacy, and trade union and guild solidarity by artists (McDonald 1969: 345); and the expansion of public, foundation, and corporate support for the arts (Zolberg 1981, 1986; DiMaggio 2000). Some have also pointed toward macro-social transformations including pervasive and powerful media presentations of global culture (Appadurai 1996; Kuipers and de Kloet 2009; Wright, Purhonen and Heikkilä 2013), the exhaustion of the modernist aesthetic as a cultural force and the subsequent hegemony of consumer culture (Wright 2011; Hanquinet, Roose and Savage 2014), and increasing social and geographic mobility (Peterson and Kern 1996; Van Eijck 2001; Daenekindt and Roose 2014; Emmison 2003).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current research is not designed to adjudicate between possible explanations for our primary finding of an Omnivorous Generation, we hypothesize that some lines of inquiry are more likely to yield results than others. Any theory that contains generative mechanisms with stable state properties, or which exert increasing influence, like social and geographic mobility, can not explain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That we witness declining arts participation and declining rates of omnivorousness in more recent birth cohorts, suggests that this specie of mechanism is unlikely to be present.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omnivorousness decline in the post-1950s birth cohorts? We have focused our analysis on the main finding of an omnivorous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Federal subsidies for individual artists were reintroduced by the National Endowment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(Chartrand and McCaughey 1989).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while it is difficult to compare dollar-to-dollar the impact of WPA-era agencies and the NEA (due to distributed and poor record-keeping in the 1930s and 40s, and the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omnivorousness and the legitimation of new works and new genres, but not because there is a “meltdown scenario” in which the arts have begun to fail as a signal of cultural capital (DiMaggio and Mukhtar 2004).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(see Appendix), and mainly bear on the question of whether later generations exist.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Finally, it is important to note that some studies of omnivorousness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re-specification of the concept of omnivorousness to refer to “taste groups” has led to profound confusion in the field; we think it’s original use in dialogue with art genres holds the greatest potential for future research.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the literature on omnivorousness has grown, scholars have discovered evidence in multiple other nations, including Netherlands, France, Germany, Spain, Austria, and Australia among others (see Peterson 2015 for a review). Does global evidence of omnivorousness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omnivorousness can function as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trait, because group-level measurement of the phenomenon is the ideal method to adjudicate these hypotheses.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such discoveries were made, scholars would have to explain how varied policy structures (and funding models) produced similar distributions of taste (and prestige). In the broadest sense, the factors that gave birth to the Omnivorous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Omnivorous Generation in the U.S., while reliance on third-party provision of organizational grants to encourage participation (post-1965) has not. All government support for the arts is not equal, and that logic must guide replication studies abroad.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rsidR="00000000" w:rsidDel="00000000" w:rsidP="00000000" w:rsidRDefault="00000000" w:rsidRPr="00000000" w14:paraId="00000088">
      <w:pPr>
        <w:pStyle w:val="Heading1"/>
        <w:pageBreakBefore w:val="0"/>
        <w:rPr/>
      </w:pPr>
      <w:bookmarkStart w:colFirst="0" w:colLast="0" w:name="_ihv636" w:id="32"/>
      <w:bookmarkEnd w:id="32"/>
      <w:r w:rsidDel="00000000" w:rsidR="00000000" w:rsidRPr="00000000">
        <w:rPr>
          <w:rtl w:val="0"/>
        </w:rPr>
        <w:t xml:space="preserve">4.0 Discussion and Concluding Remarks</w:t>
      </w:r>
    </w:p>
    <w:p w:rsidR="00000000" w:rsidDel="00000000" w:rsidP="00000000" w:rsidRDefault="00000000" w:rsidRPr="00000000" w14:paraId="00000089">
      <w:pPr>
        <w:pStyle w:val="Heading2"/>
        <w:pageBreakBefore w:val="0"/>
        <w:spacing w:before="400" w:lineRule="auto"/>
        <w:rPr/>
      </w:pPr>
      <w:bookmarkStart w:colFirst="0" w:colLast="0" w:name="_32hioqz" w:id="33"/>
      <w:bookmarkEnd w:id="33"/>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demonstrating the analytic payoff of taking temporality seriously for the purpose of elucidating the mechanisms that generate cultural tastes (Reeves 2015). Unlike our peers, we focus on omnivorousness as a group-level phenomenon, demonstrating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the omnivore taste phenomenon in a more encompassing macro-historical context, one attentive to case-specific historical trajectories (Johnston and Baumann 2007; Fishman and Lizardo 2013; Hanquinet, Roose and Savage 2014; Prieur and Savage 2013; Lizardo 2008; Wright 2011).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omnivorousness in terms that do not take into account the specific historical conditions under which clusters of individuals come of age has its limitations. Simply put, future research needs to consider the possibility that the current focus on individual-level omnivorousness masks variegated, partially overlapping institutional processes of artistic valorization, whose outcomes ripple through distinct generations of art consumers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analysis does suggest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Most research in the field focuses on individual level stratification within generations, traceable to class, gender, or race.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We argue 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8D">
      <w:pPr>
        <w:pStyle w:val="Heading2"/>
        <w:pageBreakBefore w:val="0"/>
        <w:spacing w:before="400" w:lineRule="auto"/>
        <w:rPr/>
      </w:pPr>
      <w:bookmarkStart w:colFirst="0" w:colLast="0" w:name="_1hmsyys" w:id="34"/>
      <w:bookmarkEnd w:id="34"/>
      <w:r w:rsidDel="00000000" w:rsidR="00000000" w:rsidRPr="00000000">
        <w:rPr>
          <w:rtl w:val="0"/>
        </w:rPr>
        <w:t xml:space="preserve">4.2 Contributions to Comparative Cultural Policy Studies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the Omnivorous Generation of art consumers, and facilitating a moment of great institutional change in which the artistic canon expanded our access to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real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American character. </w:t>
      </w:r>
    </w:p>
    <w:p w:rsidR="00000000" w:rsidDel="00000000" w:rsidP="00000000" w:rsidRDefault="00000000" w:rsidRPr="00000000" w14:paraId="0000009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4r55umqvevr" w:id="35"/>
      <w:bookmarkEnd w:id="35"/>
      <w:r w:rsidDel="00000000" w:rsidR="00000000" w:rsidRPr="00000000">
        <w:rPr>
          <w:rtl w:val="0"/>
        </w:rPr>
      </w:r>
    </w:p>
    <w:p w:rsidR="00000000" w:rsidDel="00000000" w:rsidP="00000000" w:rsidRDefault="00000000" w:rsidRPr="00000000" w14:paraId="0000009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9191kr5z63mq" w:id="36"/>
      <w:bookmarkEnd w:id="36"/>
      <w:r w:rsidDel="00000000" w:rsidR="00000000" w:rsidRPr="00000000">
        <w:br w:type="page"/>
      </w:r>
      <w:r w:rsidDel="00000000" w:rsidR="00000000" w:rsidRPr="00000000">
        <w:rPr>
          <w:rtl w:val="0"/>
        </w:rPr>
      </w:r>
    </w:p>
    <w:p w:rsidR="00000000" w:rsidDel="00000000" w:rsidP="00000000" w:rsidRDefault="00000000" w:rsidRPr="00000000" w14:paraId="00000093">
      <w:pPr>
        <w:pStyle w:val="Title"/>
        <w:pageBreakBefore w:val="0"/>
        <w:rPr/>
      </w:pPr>
      <w:bookmarkStart w:colFirst="0" w:colLast="0" w:name="_41mghml" w:id="37"/>
      <w:bookmarkEnd w:id="37"/>
      <w:r w:rsidDel="00000000" w:rsidR="00000000" w:rsidRPr="00000000">
        <w:rPr>
          <w:rtl w:val="0"/>
        </w:rPr>
        <w:t xml:space="preserve">Appendix </w:t>
      </w:r>
    </w:p>
    <w:p w:rsidR="00000000" w:rsidDel="00000000" w:rsidP="00000000" w:rsidRDefault="00000000" w:rsidRPr="00000000" w14:paraId="0000009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sxnyyjj8oj2d" w:id="38"/>
      <w:bookmarkEnd w:id="38"/>
      <w:r w:rsidDel="00000000" w:rsidR="00000000" w:rsidRPr="00000000">
        <w:rPr>
          <w:rtl w:val="0"/>
        </w:rPr>
        <w:t xml:space="preserve">1.0 Sensitivity to Functional Form of the Age Effect</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above, the age-period-cohort problem is ultimately one of perfect co-linearity between three pieces of information, and there are no assumption-free ways of resolving that co-linearity. The HAPC framework provides one way of tackling the issue while making reasonable, sociological assumptions (e.g. treating cohort as generational “groups”). However, since we want to draw substantively meaningful empirical conclusions from this analysis, the reader may wonder how sensible such conclusions are to the analytic choices embedded in the method. One such assumption is how to specify the functional form of the age effect. Here the analyst can choose between parametric (e.g. linear, quadratic, cubic) or fully nonparametric (age entered as a series of dummy variables coding for age groups) approaches. One worry is that a given set of cohort effects are not robust to these set of choices.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ascertain whether our results are robust to this issue, we estimate four HAPC models fixing the cohort definition to group defined by four-year intervals (as we note above our results are robust to various ways of defining cohort group size), with different specifications of the age effect: Linear, quadratic, cubic, and non-parametric (a series of dummy variables coding for five-year age groups). The results are shown in Figure 5. As the figure shows, the overall estimate of the </w:t>
      </w:r>
      <w:r w:rsidDel="00000000" w:rsidR="00000000" w:rsidRPr="00000000">
        <w:rPr>
          <w:i w:val="1"/>
          <w:iCs w:val="1"/>
          <w:rtl w:val="0"/>
        </w:rPr>
        <w:t xml:space="preserve">size</w:t>
      </w:r>
      <w:r w:rsidDel="00000000" w:rsidR="00000000" w:rsidRPr="00000000">
        <w:rPr>
          <w:rtl w:val="0"/>
        </w:rPr>
        <w:t xml:space="preserve"> of the cohort effect are sensitive to the functional specification of the age effect. However, the overall </w:t>
      </w:r>
      <w:r w:rsidDel="00000000" w:rsidR="00000000" w:rsidRPr="00000000">
        <w:rPr>
          <w:i w:val="1"/>
          <w:iCs w:val="1"/>
          <w:rtl w:val="0"/>
        </w:rPr>
        <w:t xml:space="preserve">pattern</w:t>
      </w:r>
      <w:r w:rsidDel="00000000" w:rsidR="00000000" w:rsidRPr="00000000">
        <w:rPr>
          <w:rtl w:val="0"/>
        </w:rPr>
        <w:t xml:space="preserve"> of results (with cohort groups born between 1930 and 1950 being the most likely to display positive deviations from the average) is the same regardless of the functional form of the age effect chosen. The linear (and to some extent quadratic) specifications provide less conservative estimates of the size of the cohort effect, while the cubic and non-parametric versions drive the magnitude of the cohort effect downward and thus provide a more conservative estimate. Because the cubic specification combines the parsimony of a parametric specification with the capacity to provide more conservative estimates, we chose it as our go to specification in the results reported in the main text. </w:t>
      </w:r>
    </w:p>
    <w:p w:rsidR="00000000" w:rsidDel="00000000" w:rsidP="00000000" w:rsidRDefault="00000000" w:rsidRPr="00000000" w14:paraId="00000097">
      <w:pPr>
        <w:pStyle w:val="Heading1"/>
        <w:pageBreakBefore w:val="0"/>
        <w:rPr/>
      </w:pPr>
      <w:bookmarkStart w:colFirst="0" w:colLast="0" w:name="_3fwokq0" w:id="39"/>
      <w:bookmarkEnd w:id="39"/>
      <w:r w:rsidDel="00000000" w:rsidR="00000000" w:rsidRPr="00000000">
        <w:rPr>
          <w:rtl w:val="0"/>
        </w:rPr>
        <w:t xml:space="preserve">2.0 Was the Omnivorous Generation More Likely to Have Higher Levels of Early Exposure to the Arts?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potential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to have greater exposure to the arts. Is there direct evidence for this exposure?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Respondents were selected via a multistage, cluster random sampling design; thus, when weighted, the data are representative of the U.S. population at the time.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3"/>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Respondents were asked: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survey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N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6  About Here]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w:t>
      </w:r>
      <w:r w:rsidDel="00000000" w:rsidR="00000000" w:rsidRPr="00000000">
        <w:rPr>
          <w:rtl w:val="0"/>
        </w:rPr>
        <w:t xml:space="preserve">Note that only Ballet and</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O</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pera demonstrated more equivocal results, and these are precisely the activities in the SPPA that a</w:t>
      </w:r>
      <w:r w:rsidDel="00000000" w:rsidR="00000000" w:rsidRPr="00000000">
        <w:rPr>
          <w:rtl w:val="0"/>
        </w:rPr>
        <w:t xml:space="preserve">lso demonstrate the weakest evidence for generational effects. Overall,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cross-cohort differences in early exposure can be observed for every other art activity, always favoring the omnivorous generation over their pre-1930 predecessors.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4"/>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all, these results provide strong corroborating information for the underlying mechanisms suggested by the historical analysis presented above. </w:t>
      </w:r>
    </w:p>
    <w:p w:rsidR="00000000" w:rsidDel="00000000" w:rsidP="00000000" w:rsidRDefault="00000000" w:rsidRPr="00000000" w14:paraId="000000A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rctx9e6uwekx" w:id="40"/>
      <w:bookmarkEnd w:id="40"/>
      <w:r w:rsidDel="00000000" w:rsidR="00000000" w:rsidRPr="00000000">
        <w:rPr>
          <w:rtl w:val="0"/>
        </w:rPr>
      </w:r>
    </w:p>
    <w:p w:rsidR="00000000" w:rsidDel="00000000" w:rsidP="00000000" w:rsidRDefault="00000000" w:rsidRPr="00000000" w14:paraId="000000A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e1fc45vcs7x" w:id="41"/>
      <w:bookmarkEnd w:id="41"/>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pageBreakBefore w:val="0"/>
        <w:rPr/>
      </w:pPr>
      <w:bookmarkStart w:colFirst="0" w:colLast="0" w:name="_1v1yuxt" w:id="42"/>
      <w:bookmarkEnd w:id="42"/>
      <w:r w:rsidDel="00000000" w:rsidR="00000000" w:rsidRPr="00000000">
        <w:rPr>
          <w:rtl w:val="0"/>
        </w:rPr>
        <w:t xml:space="preserve">References</w:t>
      </w:r>
    </w:p>
    <w:p w:rsidR="00000000" w:rsidDel="00000000" w:rsidP="00000000" w:rsidRDefault="00000000" w:rsidRPr="00000000" w14:paraId="000000A6">
      <w:pPr>
        <w:pStyle w:val="Heading6"/>
        <w:keepNext w:val="0"/>
        <w:keepLines w:val="0"/>
        <w:pageBreakBefore w:val="0"/>
        <w:spacing w:after="0" w:lineRule="auto"/>
        <w:ind w:left="720" w:hanging="720"/>
        <w:jc w:val="both"/>
        <w:rPr/>
      </w:pPr>
      <w:bookmarkStart w:colFirst="0" w:colLast="0" w:name="_4f1mdlm" w:id="43"/>
      <w:bookmarkEnd w:id="43"/>
      <w:r w:rsidDel="00000000" w:rsidR="00000000" w:rsidRPr="00000000">
        <w:rPr>
          <w:rFonts w:ascii="Garamond" w:cs="Garamond" w:eastAsia="Garamond" w:hAnsi="Garamond"/>
          <w:color w:val="000000"/>
          <w:sz w:val="26"/>
          <w:szCs w:val="26"/>
          <w:rtl w:val="0"/>
        </w:rPr>
        <w:t xml:space="preserve">Abbott, Andrew. 2016. “The Historicality of Individuals.” Pp. 3-15 in Processual Sociology. University of Chicago Press.</w:t>
      </w:r>
      <w:r w:rsidDel="00000000" w:rsidR="00000000" w:rsidRPr="00000000">
        <w:rPr>
          <w:rtl w:val="0"/>
        </w:rPr>
      </w:r>
    </w:p>
    <w:p w:rsidR="00000000" w:rsidDel="00000000" w:rsidP="00000000" w:rsidRDefault="00000000" w:rsidRPr="00000000" w14:paraId="000000A7">
      <w:pPr>
        <w:pStyle w:val="Heading6"/>
        <w:keepNext w:val="0"/>
        <w:keepLines w:val="0"/>
        <w:pageBreakBefore w:val="0"/>
        <w:spacing w:after="0" w:lineRule="auto"/>
        <w:ind w:left="720" w:hanging="720"/>
        <w:jc w:val="both"/>
        <w:rPr/>
      </w:pPr>
      <w:bookmarkStart w:colFirst="0" w:colLast="0" w:name="_2u6wntf" w:id="44"/>
      <w:bookmarkEnd w:id="44"/>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American Journal of Sociology. Vol. 101 (4): 797-839.</w:t>
      </w:r>
      <w:r w:rsidDel="00000000" w:rsidR="00000000" w:rsidRPr="00000000">
        <w:rPr>
          <w:rtl w:val="0"/>
        </w:rPr>
      </w:r>
    </w:p>
    <w:p w:rsidR="00000000" w:rsidDel="00000000" w:rsidP="00000000" w:rsidRDefault="00000000" w:rsidRPr="00000000" w14:paraId="000000A8">
      <w:pPr>
        <w:pStyle w:val="Heading6"/>
        <w:keepNext w:val="0"/>
        <w:keepLines w:val="0"/>
        <w:pageBreakBefore w:val="0"/>
        <w:spacing w:after="0" w:lineRule="auto"/>
        <w:ind w:left="720" w:hanging="720"/>
        <w:jc w:val="both"/>
        <w:rPr/>
      </w:pPr>
      <w:bookmarkStart w:colFirst="0" w:colLast="0" w:name="_19c6y18" w:id="45"/>
      <w:bookmarkEnd w:id="45"/>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 Sociology Compass 2(5): 1416-1430.</w:t>
      </w:r>
      <w:r w:rsidDel="00000000" w:rsidR="00000000" w:rsidRPr="00000000">
        <w:rPr>
          <w:rtl w:val="0"/>
        </w:rPr>
      </w:r>
    </w:p>
    <w:p w:rsidR="00000000" w:rsidDel="00000000" w:rsidP="00000000" w:rsidRDefault="00000000" w:rsidRPr="00000000" w14:paraId="000000A9">
      <w:pPr>
        <w:pStyle w:val="Heading6"/>
        <w:keepNext w:val="0"/>
        <w:keepLines w:val="0"/>
        <w:pageBreakBefore w:val="0"/>
        <w:spacing w:after="0" w:lineRule="auto"/>
        <w:ind w:left="720" w:hanging="720"/>
        <w:jc w:val="both"/>
        <w:rPr/>
      </w:pPr>
      <w:bookmarkStart w:colFirst="0" w:colLast="0" w:name="_3tbugp1" w:id="46"/>
      <w:bookmarkEnd w:id="46"/>
      <w:r w:rsidDel="00000000" w:rsidR="00000000" w:rsidRPr="00000000">
        <w:rPr>
          <w:rFonts w:ascii="Garamond" w:cs="Garamond" w:eastAsia="Garamond" w:hAnsi="Garamond"/>
          <w:color w:val="000000"/>
          <w:sz w:val="26"/>
          <w:szCs w:val="26"/>
          <w:rtl w:val="0"/>
        </w:rPr>
        <w:t xml:space="preserve">Alexander, Victoria D. and Marilyn Rueschemeyer 2005. Art and the State: The Visual Arts in Comparative Perspective. London: Palgrave Macmillan.</w:t>
      </w:r>
      <w:r w:rsidDel="00000000" w:rsidR="00000000" w:rsidRPr="00000000">
        <w:rPr>
          <w:rtl w:val="0"/>
        </w:rPr>
      </w:r>
    </w:p>
    <w:p w:rsidR="00000000" w:rsidDel="00000000" w:rsidP="00000000" w:rsidRDefault="00000000" w:rsidRPr="00000000" w14:paraId="000000AA">
      <w:pPr>
        <w:pStyle w:val="Heading6"/>
        <w:keepNext w:val="0"/>
        <w:keepLines w:val="0"/>
        <w:pageBreakBefore w:val="0"/>
        <w:spacing w:after="0" w:lineRule="auto"/>
        <w:ind w:left="720" w:hanging="720"/>
        <w:jc w:val="both"/>
        <w:rPr/>
      </w:pPr>
      <w:bookmarkStart w:colFirst="0" w:colLast="0" w:name="_28h4qwu" w:id="47"/>
      <w:bookmarkEnd w:id="47"/>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Social Forces 82: 871-894.</w:t>
      </w:r>
      <w:r w:rsidDel="00000000" w:rsidR="00000000" w:rsidRPr="00000000">
        <w:rPr>
          <w:rtl w:val="0"/>
        </w:rPr>
      </w:r>
    </w:p>
    <w:p w:rsidR="00000000" w:rsidDel="00000000" w:rsidP="00000000" w:rsidRDefault="00000000" w:rsidRPr="00000000" w14:paraId="000000AB">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Appadurai, Arjun. 1996. Modernity at Large: Cultural Dimensions of Globalization. University of Minnesota Press.</w:t>
      </w:r>
      <w:r w:rsidDel="00000000" w:rsidR="00000000" w:rsidRPr="00000000">
        <w:rPr>
          <w:rtl w:val="0"/>
        </w:rPr>
      </w:r>
    </w:p>
    <w:p w:rsidR="00000000" w:rsidDel="00000000" w:rsidP="00000000" w:rsidRDefault="00000000" w:rsidRPr="00000000" w14:paraId="000000AC">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Vernacular Modernism: Heimat, Globalization, and the Built Environment, Umbach, Maiken and Bernd Hüppauf (eds.). Stanford: Stanford UP. </w:t>
      </w:r>
      <w:r w:rsidDel="00000000" w:rsidR="00000000" w:rsidRPr="00000000">
        <w:rPr>
          <w:rtl w:val="0"/>
        </w:rPr>
      </w:r>
    </w:p>
    <w:p w:rsidR="00000000" w:rsidDel="00000000" w:rsidP="00000000" w:rsidRDefault="00000000" w:rsidRPr="00000000" w14:paraId="000000AD">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American Sociological Review. Vol. 66: 404-426.</w:t>
      </w:r>
    </w:p>
    <w:p w:rsidR="00000000" w:rsidDel="00000000" w:rsidP="00000000" w:rsidRDefault="00000000" w:rsidRPr="00000000" w14:paraId="000000AE">
      <w:pPr>
        <w:pStyle w:val="Heading6"/>
        <w:keepNext w:val="0"/>
        <w:keepLines w:val="0"/>
        <w:pageBreakBefore w:val="0"/>
        <w:spacing w:after="0" w:lineRule="auto"/>
        <w:ind w:left="720" w:hanging="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Bell, Andrew, And Kelvyn Jones. 2014. “Another Futile Quest? A Simulation Study Of Yang And Land's Hierarchical Age-period-cohort Model.” Demographic Research 30: 333-360.</w:t>
      </w:r>
    </w:p>
    <w:p w:rsidR="00000000" w:rsidDel="00000000" w:rsidP="00000000" w:rsidRDefault="00000000" w:rsidRPr="00000000" w14:paraId="000000AF">
      <w:pPr>
        <w:pStyle w:val="Heading6"/>
        <w:keepNext w:val="0"/>
        <w:keepLines w:val="0"/>
        <w:pageBreakBefore w:val="0"/>
        <w:spacing w:after="0" w:lineRule="auto"/>
        <w:ind w:left="720" w:hanging="720"/>
        <w:jc w:val="both"/>
        <w:rPr/>
      </w:pPr>
      <w:bookmarkStart w:colFirst="0" w:colLast="0" w:name="_nmf14n" w:id="48"/>
      <w:bookmarkEnd w:id="48"/>
      <w:r w:rsidDel="00000000" w:rsidR="00000000" w:rsidRPr="00000000">
        <w:rPr>
          <w:rFonts w:ascii="Garamond" w:cs="Garamond" w:eastAsia="Garamond" w:hAnsi="Garamond"/>
          <w:color w:val="000000"/>
          <w:sz w:val="26"/>
          <w:szCs w:val="26"/>
          <w:rtl w:val="0"/>
        </w:rPr>
        <w:t xml:space="preserve">Biddle, George. 1939. </w:t>
      </w:r>
      <w:r w:rsidDel="00000000" w:rsidR="00000000" w:rsidRPr="00000000">
        <w:rPr>
          <w:rFonts w:ascii="Garamond" w:cs="Garamond" w:eastAsia="Garamond" w:hAnsi="Garamond"/>
          <w:color w:val="000000"/>
          <w:sz w:val="26"/>
          <w:szCs w:val="26"/>
          <w:rtl w:val="0"/>
        </w:rPr>
        <w:t xml:space="preserve">An American Artist’s Story. Boston: Little, Brown &amp; Co.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smallCaps w:val="0"/>
          <w:strike w:val="0"/>
          <w:color w:val="000000"/>
          <w:sz w:val="26"/>
          <w:szCs w:val="26"/>
          <w:u w:val="none"/>
          <w:shd w:fill="auto" w:val="clear"/>
          <w:vertAlign w:val="baseline"/>
          <w:rtl w:val="0"/>
        </w:rPr>
        <w:t xml:space="preserve">Bourdieu, Pierre. 1965. Un Art Moyen: Essai sur les Usages Sociaux de la Photographie. Paris: Editions de Minuit.</w:t>
      </w:r>
    </w:p>
    <w:p w:rsidR="00000000" w:rsidDel="00000000" w:rsidP="00000000" w:rsidRDefault="00000000" w:rsidRPr="00000000" w14:paraId="000000B1">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1987. Distin</w:t>
      </w:r>
      <w:r w:rsidDel="00000000" w:rsidR="00000000" w:rsidRPr="00000000">
        <w:rPr>
          <w:rFonts w:ascii="Garamond" w:cs="Garamond" w:eastAsia="Garamond" w:hAnsi="Garamond"/>
          <w:color w:val="000000"/>
          <w:sz w:val="26"/>
          <w:szCs w:val="26"/>
          <w:rtl w:val="0"/>
        </w:rPr>
        <w:t xml:space="preserve">ction: A Social Critique of the Judgement of Taste. Cambridge: Harvard UP.</w:t>
      </w:r>
      <w:r w:rsidDel="00000000" w:rsidR="00000000" w:rsidRPr="00000000">
        <w:rPr>
          <w:rtl w:val="0"/>
        </w:rPr>
      </w:r>
    </w:p>
    <w:p w:rsidR="00000000" w:rsidDel="00000000" w:rsidP="00000000" w:rsidRDefault="00000000" w:rsidRPr="00000000" w14:paraId="000000B2">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1993. The Field of Cultural Production. New York: Columbia University Press. </w:t>
      </w:r>
      <w:r w:rsidDel="00000000" w:rsidR="00000000" w:rsidRPr="00000000">
        <w:rPr>
          <w:rtl w:val="0"/>
        </w:rPr>
      </w:r>
    </w:p>
    <w:p w:rsidR="00000000" w:rsidDel="00000000" w:rsidP="00000000" w:rsidRDefault="00000000" w:rsidRPr="00000000" w14:paraId="000000B3">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1996. The Rules of Art: Genesis and Structure of the Literary Field. Cambridge, UK: Polity Press.</w:t>
      </w:r>
      <w:r w:rsidDel="00000000" w:rsidR="00000000" w:rsidRPr="00000000">
        <w:rPr>
          <w:rtl w:val="0"/>
        </w:rPr>
      </w:r>
    </w:p>
    <w:p w:rsidR="00000000" w:rsidDel="00000000" w:rsidP="00000000" w:rsidRDefault="00000000" w:rsidRPr="00000000" w14:paraId="000000B4">
      <w:pPr>
        <w:pStyle w:val="Heading6"/>
        <w:keepNext w:val="0"/>
        <w:keepLines w:val="0"/>
        <w:pageBreakBefore w:val="0"/>
        <w:spacing w:after="0" w:lineRule="auto"/>
        <w:ind w:left="720" w:hanging="720"/>
        <w:jc w:val="both"/>
        <w:rPr/>
      </w:pPr>
      <w:bookmarkStart w:colFirst="0" w:colLast="0" w:name="_37m2jsg" w:id="49"/>
      <w:bookmarkEnd w:id="49"/>
      <w:r w:rsidDel="00000000" w:rsidR="00000000" w:rsidRPr="00000000">
        <w:rPr>
          <w:rFonts w:ascii="Garamond" w:cs="Garamond" w:eastAsia="Garamond" w:hAnsi="Garamond"/>
          <w:color w:val="000000"/>
          <w:sz w:val="26"/>
          <w:szCs w:val="26"/>
          <w:rtl w:val="0"/>
        </w:rPr>
        <w:t xml:space="preserve">Chartrand, H. and C. McCaughey. 1989. “The Arm’s Length Principle and The Arts: An International Perspective--Past, Present, and Future.” In M. Cummings and M. Schuster Eds., Who’s To Pay for the Arts? An International Search for Models of Support. New York: ACA Books.</w:t>
      </w:r>
      <w:r w:rsidDel="00000000" w:rsidR="00000000" w:rsidRPr="00000000">
        <w:rPr>
          <w:rtl w:val="0"/>
        </w:rPr>
      </w:r>
    </w:p>
    <w:p w:rsidR="00000000" w:rsidDel="00000000" w:rsidP="00000000" w:rsidRDefault="00000000" w:rsidRPr="00000000" w14:paraId="000000B5">
      <w:pPr>
        <w:pStyle w:val="Heading6"/>
        <w:keepNext w:val="0"/>
        <w:keepLines w:val="0"/>
        <w:pageBreakBefore w:val="0"/>
        <w:spacing w:after="0" w:lineRule="auto"/>
        <w:ind w:left="720" w:hanging="720"/>
        <w:jc w:val="both"/>
        <w:rPr/>
      </w:pPr>
      <w:bookmarkStart w:colFirst="0" w:colLast="0" w:name="_1mrcu09" w:id="50"/>
      <w:bookmarkEnd w:id="50"/>
      <w:r w:rsidDel="00000000" w:rsidR="00000000" w:rsidRPr="00000000">
        <w:rPr>
          <w:rFonts w:ascii="Garamond" w:cs="Garamond" w:eastAsia="Garamond" w:hAnsi="Garamond"/>
          <w:color w:val="000000"/>
          <w:sz w:val="26"/>
          <w:szCs w:val="26"/>
          <w:rtl w:val="0"/>
        </w:rPr>
        <w:t xml:space="preserve">Clemens, Elisabeth S, and James M Cook. 1999. “Politics and institutionalism: Explaining durability and change.” Annual Review of Sociology 25: 441-466.</w:t>
      </w:r>
      <w:r w:rsidDel="00000000" w:rsidR="00000000" w:rsidRPr="00000000">
        <w:rPr>
          <w:rtl w:val="0"/>
        </w:rPr>
      </w:r>
    </w:p>
    <w:p w:rsidR="00000000" w:rsidDel="00000000" w:rsidP="00000000" w:rsidRDefault="00000000" w:rsidRPr="00000000" w14:paraId="000000B6">
      <w:pPr>
        <w:pStyle w:val="Heading6"/>
        <w:keepNext w:val="0"/>
        <w:keepLines w:val="0"/>
        <w:pageBreakBefore w:val="0"/>
        <w:spacing w:after="0" w:lineRule="auto"/>
        <w:ind w:left="720" w:hanging="720"/>
        <w:jc w:val="both"/>
        <w:rPr/>
      </w:pPr>
      <w:bookmarkStart w:colFirst="0" w:colLast="0" w:name="_46r0co2" w:id="51"/>
      <w:bookmarkEnd w:id="51"/>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Engaging Art: The Next Great Transformation of America’s Cultural Life, edited by S. J. Tepper and B. Ivey. New York: Routledge.</w:t>
      </w:r>
      <w:r w:rsidDel="00000000" w:rsidR="00000000" w:rsidRPr="00000000">
        <w:rPr>
          <w:rtl w:val="0"/>
        </w:rPr>
      </w:r>
    </w:p>
    <w:p w:rsidR="00000000" w:rsidDel="00000000" w:rsidP="00000000" w:rsidRDefault="00000000" w:rsidRPr="00000000" w14:paraId="000000B7">
      <w:pPr>
        <w:pStyle w:val="Heading6"/>
        <w:keepNext w:val="0"/>
        <w:keepLines w:val="0"/>
        <w:pageBreakBefore w:val="0"/>
        <w:spacing w:after="0" w:lineRule="auto"/>
        <w:ind w:left="720" w:hanging="720"/>
        <w:jc w:val="both"/>
        <w:rPr/>
      </w:pPr>
      <w:bookmarkStart w:colFirst="0" w:colLast="0" w:name="_2lwamvv" w:id="52"/>
      <w:bookmarkEnd w:id="52"/>
      <w:r w:rsidDel="00000000" w:rsidR="00000000" w:rsidRPr="00000000">
        <w:rPr>
          <w:rFonts w:ascii="Garamond" w:cs="Garamond" w:eastAsia="Garamond" w:hAnsi="Garamond"/>
          <w:color w:val="000000"/>
          <w:sz w:val="26"/>
          <w:szCs w:val="26"/>
          <w:rtl w:val="0"/>
        </w:rPr>
        <w:t xml:space="preserve">Cowen, Tyler. 2004. “How the United States Funds the Arts.” Washington D.C.: National Endowment for the Arts, Office of Research and Analysis.</w:t>
      </w:r>
      <w:r w:rsidDel="00000000" w:rsidR="00000000" w:rsidRPr="00000000">
        <w:rPr>
          <w:rtl w:val="0"/>
        </w:rPr>
      </w:r>
    </w:p>
    <w:p w:rsidR="00000000" w:rsidDel="00000000" w:rsidP="00000000" w:rsidRDefault="00000000" w:rsidRPr="00000000" w14:paraId="000000B8">
      <w:pPr>
        <w:pStyle w:val="Heading6"/>
        <w:keepNext w:val="0"/>
        <w:keepLines w:val="0"/>
        <w:pageBreakBefore w:val="0"/>
        <w:spacing w:after="0" w:lineRule="auto"/>
        <w:ind w:left="720" w:hanging="720"/>
        <w:jc w:val="both"/>
        <w:rPr/>
      </w:pPr>
      <w:bookmarkStart w:colFirst="0" w:colLast="0" w:name="_111kx3o" w:id="53"/>
      <w:bookmarkEnd w:id="53"/>
      <w:r w:rsidDel="00000000" w:rsidR="00000000" w:rsidRPr="00000000">
        <w:rPr>
          <w:rFonts w:ascii="Garamond" w:cs="Garamond" w:eastAsia="Garamond" w:hAnsi="Garamond"/>
          <w:color w:val="000000"/>
          <w:sz w:val="26"/>
          <w:szCs w:val="26"/>
          <w:rtl w:val="0"/>
        </w:rPr>
        <w:t xml:space="preserve">Crane, Diana. 1989. The Transformation of the Avant-Garde: The New York Art World, 1940-1985. Chicago: University of Chicago Press.</w:t>
      </w:r>
      <w:r w:rsidDel="00000000" w:rsidR="00000000" w:rsidRPr="00000000">
        <w:rPr>
          <w:rtl w:val="0"/>
        </w:rPr>
      </w:r>
    </w:p>
    <w:p w:rsidR="00000000" w:rsidDel="00000000" w:rsidP="00000000" w:rsidRDefault="00000000" w:rsidRPr="00000000" w14:paraId="000000B9">
      <w:pPr>
        <w:pStyle w:val="Heading6"/>
        <w:keepNext w:val="0"/>
        <w:keepLines w:val="0"/>
        <w:pageBreakBefore w:val="0"/>
        <w:spacing w:after="0" w:lineRule="auto"/>
        <w:ind w:left="720" w:hanging="720"/>
        <w:jc w:val="both"/>
        <w:rPr/>
      </w:pPr>
      <w:bookmarkStart w:colFirst="0" w:colLast="0" w:name="_3l18frh" w:id="54"/>
      <w:bookmarkEnd w:id="54"/>
      <w:r w:rsidDel="00000000" w:rsidR="00000000" w:rsidRPr="00000000">
        <w:rPr>
          <w:rFonts w:ascii="Garamond" w:cs="Garamond" w:eastAsia="Garamond" w:hAnsi="Garamond"/>
          <w:color w:val="000000"/>
          <w:sz w:val="26"/>
          <w:szCs w:val="26"/>
          <w:rtl w:val="0"/>
        </w:rPr>
        <w:t xml:space="preserve">Daenekindt, Stijn and Henk Roose. 2014. “Social Mobility and Cultural Dissonance.” Poetics 42: 82-97.</w:t>
      </w:r>
      <w:r w:rsidDel="00000000" w:rsidR="00000000" w:rsidRPr="00000000">
        <w:rPr>
          <w:rtl w:val="0"/>
        </w:rPr>
      </w:r>
    </w:p>
    <w:p w:rsidR="00000000" w:rsidDel="00000000" w:rsidP="00000000" w:rsidRDefault="00000000" w:rsidRPr="00000000" w14:paraId="000000BA">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BB">
      <w:pPr>
        <w:pStyle w:val="Heading6"/>
        <w:keepNext w:val="0"/>
        <w:keepLines w:val="0"/>
        <w:pageBreakBefore w:val="0"/>
        <w:spacing w:after="0" w:lineRule="auto"/>
        <w:ind w:left="720" w:hanging="720"/>
        <w:jc w:val="both"/>
        <w:rPr/>
      </w:pPr>
      <w:bookmarkStart w:colFirst="0" w:colLast="0" w:name="_206ipza" w:id="55"/>
      <w:bookmarkEnd w:id="55"/>
      <w:r w:rsidDel="00000000" w:rsidR="00000000" w:rsidRPr="00000000">
        <w:rPr>
          <w:rFonts w:ascii="Garamond" w:cs="Garamond" w:eastAsia="Garamond" w:hAnsi="Garamond"/>
          <w:color w:val="000000"/>
          <w:sz w:val="26"/>
          <w:szCs w:val="26"/>
          <w:rtl w:val="0"/>
        </w:rPr>
        <w:t xml:space="preserve">DiMaggio, Paul. 1987. “Classification in Art.” American Sociological Review. 52: 440-55. </w:t>
      </w:r>
      <w:r w:rsidDel="00000000" w:rsidR="00000000" w:rsidRPr="00000000">
        <w:rPr>
          <w:rtl w:val="0"/>
        </w:rPr>
      </w:r>
    </w:p>
    <w:p w:rsidR="00000000" w:rsidDel="00000000" w:rsidP="00000000" w:rsidRDefault="00000000" w:rsidRPr="00000000" w14:paraId="000000BC">
      <w:pPr>
        <w:pStyle w:val="Heading6"/>
        <w:keepNext w:val="0"/>
        <w:keepLines w:val="0"/>
        <w:pageBreakBefore w:val="0"/>
        <w:spacing w:after="0" w:lineRule="auto"/>
        <w:ind w:left="720" w:hanging="720"/>
        <w:jc w:val="both"/>
        <w:rPr/>
      </w:pPr>
      <w:bookmarkStart w:colFirst="0" w:colLast="0" w:name="_4k668n3" w:id="56"/>
      <w:bookmarkEnd w:id="56"/>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The New Institutionalism in Organizational Analysis. Chicago, IL: University of Chicago Press.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DiMaggio, Paul. 2000. “Social Structure, Institutions, and Cultural Goods: The Case of the United States.” Pp. 38-62 in Gigi Bradford, Michael Gary, and Glenn Wallach (eds.),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The Politics of Culture: Policy Perspectives for Individuals, Institutions, and Communities.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New York, NY: The New Press.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DiMaggio, Paul, and Michael Useem. 1978. “Cultural Democracy in a Period of Cultural Expansion: The Social Composition of Arts Audiences in the United States.”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Social Problems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26: 179-197.</w:t>
      </w:r>
    </w:p>
    <w:p w:rsidR="00000000" w:rsidDel="00000000" w:rsidP="00000000" w:rsidRDefault="00000000" w:rsidRPr="00000000" w14:paraId="000000BF">
      <w:pPr>
        <w:pStyle w:val="Heading6"/>
        <w:keepNext w:val="0"/>
        <w:keepLines w:val="0"/>
        <w:pageBreakBefore w:val="0"/>
        <w:spacing w:after="0" w:lineRule="auto"/>
        <w:ind w:left="720" w:hanging="720"/>
        <w:jc w:val="both"/>
        <w:rPr/>
      </w:pPr>
      <w:bookmarkStart w:colFirst="0" w:colLast="0" w:name="_2zbgiuw" w:id="57"/>
      <w:bookmarkEnd w:id="57"/>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Emmison, Michael.  2003. “Social Class and Social Mobility: Reconfiguring the Cultural Omnivore Thesis.”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Journal of Sociology</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39: 211-230.</w:t>
      </w:r>
    </w:p>
    <w:p w:rsidR="00000000" w:rsidDel="00000000" w:rsidP="00000000" w:rsidRDefault="00000000" w:rsidRPr="00000000" w14:paraId="000000C1">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C2">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American Journal of Sociology. Vol. 104: 597-641.</w:t>
      </w:r>
      <w:r w:rsidDel="00000000" w:rsidR="00000000" w:rsidRPr="00000000">
        <w:rPr>
          <w:rtl w:val="0"/>
        </w:rPr>
      </w:r>
    </w:p>
    <w:p w:rsidR="00000000" w:rsidDel="00000000" w:rsidP="00000000" w:rsidRDefault="00000000" w:rsidRPr="00000000" w14:paraId="000000C3">
      <w:pPr>
        <w:pStyle w:val="Heading6"/>
        <w:keepNext w:val="0"/>
        <w:keepLines w:val="0"/>
        <w:pageBreakBefore w:val="0"/>
        <w:spacing w:after="0" w:lineRule="auto"/>
        <w:ind w:left="720" w:hanging="720"/>
        <w:jc w:val="both"/>
        <w:rPr/>
      </w:pPr>
      <w:bookmarkStart w:colFirst="0" w:colLast="0" w:name="_1egqt2p" w:id="58"/>
      <w:bookmarkEnd w:id="58"/>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C4">
      <w:pPr>
        <w:pStyle w:val="Heading6"/>
        <w:keepNext w:val="0"/>
        <w:keepLines w:val="0"/>
        <w:pageBreakBefore w:val="0"/>
        <w:spacing w:after="0" w:lineRule="auto"/>
        <w:ind w:left="720" w:hanging="720"/>
        <w:jc w:val="both"/>
        <w:rPr/>
      </w:pPr>
      <w:bookmarkStart w:colFirst="0" w:colLast="0" w:name="_3ygebqi" w:id="59"/>
      <w:bookmarkEnd w:id="59"/>
      <w:r w:rsidDel="00000000" w:rsidR="00000000" w:rsidRPr="00000000">
        <w:rPr>
          <w:rFonts w:ascii="Garamond" w:cs="Garamond" w:eastAsia="Garamond" w:hAnsi="Garamond"/>
          <w:color w:val="000000"/>
          <w:sz w:val="26"/>
          <w:szCs w:val="26"/>
          <w:rtl w:val="0"/>
        </w:rPr>
        <w:t xml:space="preserve">Foushee, Ola Maie. 1972.  </w:t>
      </w:r>
      <w:r w:rsidDel="00000000" w:rsidR="00000000" w:rsidRPr="00000000">
        <w:rPr>
          <w:rFonts w:ascii="Garamond" w:cs="Garamond" w:eastAsia="Garamond" w:hAnsi="Garamond"/>
          <w:i w:val="1"/>
          <w:iCs w:val="1"/>
          <w:color w:val="000000"/>
          <w:sz w:val="26"/>
          <w:szCs w:val="26"/>
          <w:rtl w:val="0"/>
        </w:rPr>
        <w:t xml:space="preserve">Art in North Carolina: Episodes and Development, 1585-1970</w:t>
      </w:r>
      <w:r w:rsidDel="00000000" w:rsidR="00000000" w:rsidRPr="00000000">
        <w:rPr>
          <w:rFonts w:ascii="Garamond" w:cs="Garamond" w:eastAsia="Garamond" w:hAnsi="Garamond"/>
          <w:color w:val="000000"/>
          <w:sz w:val="26"/>
          <w:szCs w:val="26"/>
          <w:rtl w:val="0"/>
        </w:rPr>
        <w:t xml:space="preserve">. Charlotte, NC.</w:t>
      </w:r>
      <w:r w:rsidDel="00000000" w:rsidR="00000000" w:rsidRPr="00000000">
        <w:rPr>
          <w:rtl w:val="0"/>
        </w:rPr>
      </w:r>
    </w:p>
    <w:p w:rsidR="00000000" w:rsidDel="00000000" w:rsidP="00000000" w:rsidRDefault="00000000" w:rsidRPr="00000000" w14:paraId="000000C5">
      <w:pPr>
        <w:pStyle w:val="Heading6"/>
        <w:keepNext w:val="0"/>
        <w:keepLines w:val="0"/>
        <w:pageBreakBefore w:val="0"/>
        <w:spacing w:after="0" w:lineRule="auto"/>
        <w:ind w:left="720" w:hanging="720"/>
        <w:jc w:val="both"/>
        <w:rPr/>
      </w:pPr>
      <w:bookmarkStart w:colFirst="0" w:colLast="0" w:name="_2dlolyb" w:id="60"/>
      <w:bookmarkEnd w:id="60"/>
      <w:r w:rsidDel="00000000" w:rsidR="00000000" w:rsidRPr="00000000">
        <w:rPr>
          <w:rFonts w:ascii="Garamond" w:cs="Garamond" w:eastAsia="Garamond" w:hAnsi="Garamond"/>
          <w:color w:val="000000"/>
          <w:sz w:val="26"/>
          <w:szCs w:val="26"/>
          <w:rtl w:val="0"/>
        </w:rPr>
        <w:t xml:space="preserve">Gans, Herbert J. 1999. Popular Culture and High Culture: An Analysis and Evaluation of Taste. New York: Basic Books.</w:t>
      </w:r>
      <w:r w:rsidDel="00000000" w:rsidR="00000000" w:rsidRPr="00000000">
        <w:rPr>
          <w:rtl w:val="0"/>
        </w:rPr>
      </w:r>
    </w:p>
    <w:p w:rsidR="00000000" w:rsidDel="00000000" w:rsidP="00000000" w:rsidRDefault="00000000" w:rsidRPr="00000000" w14:paraId="000000C6">
      <w:pPr>
        <w:pStyle w:val="Heading6"/>
        <w:keepNext w:val="0"/>
        <w:keepLines w:val="0"/>
        <w:pageBreakBefore w:val="0"/>
        <w:spacing w:after="0" w:lineRule="auto"/>
        <w:ind w:left="720" w:hanging="720"/>
        <w:jc w:val="both"/>
        <w:rPr/>
      </w:pPr>
      <w:bookmarkStart w:colFirst="0" w:colLast="0" w:name="_sqyw64" w:id="61"/>
      <w:bookmarkEnd w:id="61"/>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C7">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C8">
      <w:pPr>
        <w:pStyle w:val="Heading6"/>
        <w:keepNext w:val="0"/>
        <w:keepLines w:val="0"/>
        <w:pageBreakBefore w:val="0"/>
        <w:spacing w:after="0" w:lineRule="auto"/>
        <w:ind w:left="720" w:hanging="720"/>
        <w:jc w:val="both"/>
        <w:rPr/>
      </w:pPr>
      <w:bookmarkStart w:colFirst="0" w:colLast="0" w:name="_3cqmetx" w:id="62"/>
      <w:bookmarkEnd w:id="62"/>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Griswold, Wendy. 2016.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American Guides: The Federal Writers’ Project and the Casting of American Culture.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Chicago: University of Chicago Press. </w:t>
      </w:r>
    </w:p>
    <w:p w:rsidR="00000000" w:rsidDel="00000000" w:rsidP="00000000" w:rsidRDefault="00000000" w:rsidRPr="00000000" w14:paraId="000000CA">
      <w:pPr>
        <w:pStyle w:val="Heading6"/>
        <w:keepNext w:val="0"/>
        <w:keepLines w:val="0"/>
        <w:pageBreakBefore w:val="0"/>
        <w:spacing w:after="0" w:lineRule="auto"/>
        <w:ind w:left="720" w:hanging="720"/>
        <w:jc w:val="both"/>
        <w:rPr/>
      </w:pPr>
      <w:bookmarkStart w:colFirst="0" w:colLast="0" w:name="_1rvwp1q" w:id="63"/>
      <w:bookmarkEnd w:id="63"/>
      <w:r w:rsidDel="00000000" w:rsidR="00000000" w:rsidRPr="00000000">
        <w:rPr>
          <w:rFonts w:ascii="Garamond" w:cs="Garamond" w:eastAsia="Garamond" w:hAnsi="Garamond"/>
          <w:color w:val="000000"/>
          <w:sz w:val="26"/>
          <w:szCs w:val="26"/>
          <w:rtl w:val="0"/>
        </w:rPr>
        <w:t xml:space="preserve">Hall, Peter D. 1984. The Organization of American Culture. New York: New York University Press.</w:t>
      </w:r>
      <w:r w:rsidDel="00000000" w:rsidR="00000000" w:rsidRPr="00000000">
        <w:rPr>
          <w:rtl w:val="0"/>
        </w:rPr>
      </w:r>
    </w:p>
    <w:p w:rsidR="00000000" w:rsidDel="00000000" w:rsidP="00000000" w:rsidRDefault="00000000" w:rsidRPr="00000000" w14:paraId="000000CB">
      <w:pPr>
        <w:pStyle w:val="Heading6"/>
        <w:keepNext w:val="0"/>
        <w:keepLines w:val="0"/>
        <w:pageBreakBefore w:val="0"/>
        <w:spacing w:after="0" w:lineRule="auto"/>
        <w:ind w:left="720" w:hanging="720"/>
        <w:jc w:val="both"/>
        <w:rPr/>
      </w:pPr>
      <w:bookmarkStart w:colFirst="0" w:colLast="0" w:name="_4bvk7pj" w:id="64"/>
      <w:bookmarkEnd w:id="64"/>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CC">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CD">
      <w:pPr>
        <w:pStyle w:val="Heading6"/>
        <w:keepNext w:val="0"/>
        <w:keepLines w:val="0"/>
        <w:pageBreakBefore w:val="0"/>
        <w:spacing w:after="0" w:lineRule="auto"/>
        <w:ind w:left="720" w:hanging="720"/>
        <w:jc w:val="both"/>
        <w:rPr/>
      </w:pPr>
      <w:bookmarkStart w:colFirst="0" w:colLast="0" w:name="_2r0uhxc" w:id="65"/>
      <w:bookmarkEnd w:id="65"/>
      <w:r w:rsidDel="00000000" w:rsidR="00000000" w:rsidRPr="00000000">
        <w:rPr>
          <w:rFonts w:ascii="Garamond" w:cs="Garamond" w:eastAsia="Garamond" w:hAnsi="Garamond"/>
          <w:color w:val="000000"/>
          <w:sz w:val="26"/>
          <w:szCs w:val="26"/>
          <w:rtl w:val="0"/>
        </w:rPr>
        <w:t xml:space="preserve">Katz-Gerro, Tally. 2002. “Highbrow Cultural Consumption and Class Distinction in Italy, West Germany, Sweden, and the United States.”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81: 207-229. </w:t>
      </w:r>
      <w:r w:rsidDel="00000000" w:rsidR="00000000" w:rsidRPr="00000000">
        <w:rPr>
          <w:rtl w:val="0"/>
        </w:rPr>
      </w:r>
    </w:p>
    <w:p w:rsidR="00000000" w:rsidDel="00000000" w:rsidP="00000000" w:rsidRDefault="00000000" w:rsidRPr="00000000" w14:paraId="000000CE">
      <w:pPr>
        <w:pStyle w:val="Heading6"/>
        <w:keepNext w:val="0"/>
        <w:keepLines w:val="0"/>
        <w:pageBreakBefore w:val="0"/>
        <w:spacing w:after="0" w:lineRule="auto"/>
        <w:ind w:left="720" w:hanging="720"/>
        <w:jc w:val="both"/>
        <w:rPr/>
      </w:pPr>
      <w:bookmarkStart w:colFirst="0" w:colLast="0" w:name="_1664s55" w:id="66"/>
      <w:bookmarkEnd w:id="66"/>
      <w:r w:rsidDel="00000000" w:rsidR="00000000" w:rsidRPr="00000000">
        <w:rPr>
          <w:rFonts w:ascii="Garamond" w:cs="Garamond" w:eastAsia="Garamond" w:hAnsi="Garamond"/>
          <w:color w:val="000000"/>
          <w:sz w:val="26"/>
          <w:szCs w:val="26"/>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CF">
      <w:pPr>
        <w:pStyle w:val="Heading6"/>
        <w:keepNext w:val="0"/>
        <w:keepLines w:val="0"/>
        <w:pageBreakBefore w:val="0"/>
        <w:spacing w:after="0" w:lineRule="auto"/>
        <w:ind w:left="720" w:hanging="720"/>
        <w:jc w:val="both"/>
        <w:rPr/>
      </w:pPr>
      <w:bookmarkStart w:colFirst="0" w:colLast="0" w:name="_3q5sasy" w:id="67"/>
      <w:bookmarkEnd w:id="67"/>
      <w:r w:rsidDel="00000000" w:rsidR="00000000" w:rsidRPr="00000000">
        <w:rPr>
          <w:rFonts w:ascii="Garamond" w:cs="Garamond" w:eastAsia="Garamond" w:hAnsi="Garamond"/>
          <w:color w:val="000000"/>
          <w:sz w:val="26"/>
          <w:szCs w:val="26"/>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rFonts w:ascii="Garamond" w:cs="Garamond" w:eastAsia="Garamond" w:hAnsi="Garamond"/>
          <w:i w:val="1"/>
          <w:iCs w:val="1"/>
          <w:color w:val="000000"/>
          <w:sz w:val="26"/>
          <w:szCs w:val="26"/>
          <w:rtl w:val="0"/>
        </w:rPr>
        <w:t xml:space="preserve">Social Science Research</w:t>
      </w:r>
      <w:r w:rsidDel="00000000" w:rsidR="00000000" w:rsidRPr="00000000">
        <w:rPr>
          <w:rFonts w:ascii="Garamond" w:cs="Garamond" w:eastAsia="Garamond" w:hAnsi="Garamond"/>
          <w:color w:val="000000"/>
          <w:sz w:val="26"/>
          <w:szCs w:val="26"/>
          <w:rtl w:val="0"/>
        </w:rPr>
        <w:t xml:space="preserve">. 29: 92-122. </w:t>
      </w:r>
      <w:r w:rsidDel="00000000" w:rsidR="00000000" w:rsidRPr="00000000">
        <w:rPr>
          <w:rtl w:val="0"/>
        </w:rPr>
      </w:r>
    </w:p>
    <w:p w:rsidR="00000000" w:rsidDel="00000000" w:rsidP="00000000" w:rsidRDefault="00000000" w:rsidRPr="00000000" w14:paraId="000000D0">
      <w:pPr>
        <w:pStyle w:val="Heading6"/>
        <w:keepNext w:val="0"/>
        <w:keepLines w:val="0"/>
        <w:pageBreakBefore w:val="0"/>
        <w:spacing w:after="0" w:lineRule="auto"/>
        <w:ind w:left="720" w:hanging="720"/>
        <w:jc w:val="both"/>
        <w:rPr/>
      </w:pPr>
      <w:bookmarkStart w:colFirst="0" w:colLast="0" w:name="_25b2l0r" w:id="68"/>
      <w:bookmarkEnd w:id="68"/>
      <w:r w:rsidDel="00000000" w:rsidR="00000000" w:rsidRPr="00000000">
        <w:rPr>
          <w:rFonts w:ascii="Garamond" w:cs="Garamond" w:eastAsia="Garamond" w:hAnsi="Garamond"/>
          <w:color w:val="000000"/>
          <w:sz w:val="26"/>
          <w:szCs w:val="26"/>
          <w:rtl w:val="0"/>
        </w:rPr>
        <w:t xml:space="preserve">Kuipers, Giselinde, and Jeroen de Kloet. 2009. “Banal Cosmopolitanism and The Lord of the Rings: The Limited Role of National Differences in Global Media Consumption.”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37(2): 99–118.</w:t>
      </w:r>
      <w:r w:rsidDel="00000000" w:rsidR="00000000" w:rsidRPr="00000000">
        <w:rPr>
          <w:rtl w:val="0"/>
        </w:rPr>
      </w:r>
    </w:p>
    <w:p w:rsidR="00000000" w:rsidDel="00000000" w:rsidP="00000000" w:rsidRDefault="00000000" w:rsidRPr="00000000" w14:paraId="000000D1">
      <w:pPr>
        <w:pStyle w:val="Heading6"/>
        <w:keepNext w:val="0"/>
        <w:keepLines w:val="0"/>
        <w:pageBreakBefore w:val="0"/>
        <w:spacing w:after="0" w:lineRule="auto"/>
        <w:ind w:left="720" w:hanging="720"/>
        <w:jc w:val="both"/>
        <w:rPr>
          <w:rFonts w:ascii="Garamond" w:cs="Garamond" w:eastAsia="Garamond" w:hAnsi="Garamond"/>
        </w:rPr>
      </w:pPr>
      <w:bookmarkStart w:colFirst="0" w:colLast="0" w:name="_kgcv8k" w:id="69"/>
      <w:bookmarkEnd w:id="69"/>
      <w:r w:rsidDel="00000000" w:rsidR="00000000" w:rsidRPr="00000000">
        <w:rPr>
          <w:rFonts w:ascii="Cardo" w:cs="Cardo" w:eastAsia="Cardo" w:hAnsi="Cardo"/>
          <w:color w:val="000000"/>
          <w:sz w:val="26"/>
          <w:szCs w:val="26"/>
          <w:rtl w:val="0"/>
        </w:rPr>
        <w:t xml:space="preserve">Lambert, Paul, Bergman, Manfred Max, Prandy, Ken. 2005. “Leisurely Moments or Lifetimes? Contexts and the Study of Leisure, Consumption, and Stratiﬁcation.” Presented at the British Household Panel Survey-2005 Research Conference, Colchester, UK.</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Lamont, Michele, 1992. </w:t>
      </w:r>
      <w:r w:rsidDel="00000000" w:rsidR="00000000" w:rsidRPr="00000000">
        <w:rPr>
          <w:rFonts w:ascii="Garamond" w:cs="Garamond" w:eastAsia="Garamond" w:hAnsi="Garamond"/>
          <w:b w:val="0"/>
          <w:bCs w:val="0"/>
          <w:i w:val="1"/>
          <w:iCs w:val="1"/>
          <w:smallCaps w:val="0"/>
          <w:strike w:val="0"/>
          <w:color w:val="333333"/>
          <w:sz w:val="26"/>
          <w:szCs w:val="26"/>
          <w:highlight w:val="white"/>
          <w:u w:val="none"/>
          <w:vertAlign w:val="baseline"/>
          <w:rtl w:val="0"/>
        </w:rPr>
        <w:t xml:space="preserve">Money, Morals, and Manners: The Culture of the French and the American Upper-Middle Class.</w:t>
      </w: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 Chicago: University of Chicago Press.</w:t>
      </w:r>
      <w:r w:rsidDel="00000000" w:rsidR="00000000" w:rsidRPr="00000000">
        <w:rPr>
          <w:rtl w:val="0"/>
        </w:rPr>
      </w:r>
    </w:p>
    <w:p w:rsidR="00000000" w:rsidDel="00000000" w:rsidP="00000000" w:rsidRDefault="00000000" w:rsidRPr="00000000" w14:paraId="000000D3">
      <w:pPr>
        <w:pStyle w:val="Heading6"/>
        <w:keepNext w:val="0"/>
        <w:keepLines w:val="0"/>
        <w:pageBreakBefore w:val="0"/>
        <w:spacing w:after="0" w:lineRule="auto"/>
        <w:ind w:left="720" w:hanging="720"/>
        <w:jc w:val="both"/>
        <w:rPr/>
      </w:pPr>
      <w:bookmarkStart w:colFirst="0" w:colLast="0" w:name="_34g0dwd" w:id="70"/>
      <w:bookmarkEnd w:id="70"/>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The Metropolitan Museum of Art Bulletin, LXXII(1). New York: The Metropolitan Museum of Art.</w:t>
      </w:r>
      <w:r w:rsidDel="00000000" w:rsidR="00000000" w:rsidRPr="00000000">
        <w:rPr>
          <w:rtl w:val="0"/>
        </w:rPr>
      </w:r>
    </w:p>
    <w:p w:rsidR="00000000" w:rsidDel="00000000" w:rsidP="00000000" w:rsidRDefault="00000000" w:rsidRPr="00000000" w14:paraId="000000D4">
      <w:pPr>
        <w:pStyle w:val="Heading6"/>
        <w:keepNext w:val="0"/>
        <w:keepLines w:val="0"/>
        <w:pageBreakBefore w:val="0"/>
        <w:spacing w:after="0" w:lineRule="auto"/>
        <w:ind w:left="720" w:hanging="720"/>
        <w:jc w:val="both"/>
        <w:rPr/>
      </w:pPr>
      <w:bookmarkStart w:colFirst="0" w:colLast="0" w:name="_1jlao46" w:id="71"/>
      <w:bookmarkEnd w:id="71"/>
      <w:r w:rsidDel="00000000" w:rsidR="00000000" w:rsidRPr="00000000">
        <w:rPr>
          <w:rFonts w:ascii="Garamond" w:cs="Garamond" w:eastAsia="Garamond" w:hAnsi="Garamond"/>
          <w:color w:val="000000"/>
          <w:sz w:val="26"/>
          <w:szCs w:val="26"/>
          <w:rtl w:val="0"/>
        </w:rPr>
        <w:t xml:space="preserve">Lena, Jennifer C. 2012. </w:t>
      </w:r>
      <w:r w:rsidDel="00000000" w:rsidR="00000000" w:rsidRPr="00000000">
        <w:rPr>
          <w:rFonts w:ascii="Garamond" w:cs="Garamond" w:eastAsia="Garamond" w:hAnsi="Garamond"/>
          <w:i w:val="1"/>
          <w:iCs w:val="1"/>
          <w:color w:val="000000"/>
          <w:sz w:val="26"/>
          <w:szCs w:val="26"/>
          <w:rtl w:val="0"/>
        </w:rPr>
        <w:t xml:space="preserve">Banding Together: How Communities Create Genres in Popular Culture</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D5">
      <w:pPr>
        <w:pStyle w:val="Heading6"/>
        <w:keepNext w:val="0"/>
        <w:keepLines w:val="0"/>
        <w:pageBreakBefore w:val="0"/>
        <w:spacing w:after="0" w:lineRule="auto"/>
        <w:ind w:left="720" w:hanging="720"/>
        <w:jc w:val="both"/>
        <w:rPr/>
      </w:pPr>
      <w:bookmarkStart w:colFirst="0" w:colLast="0" w:name="_43ky6rz" w:id="72"/>
      <w:bookmarkEnd w:id="72"/>
      <w:r w:rsidDel="00000000" w:rsidR="00000000" w:rsidRPr="00000000">
        <w:rPr>
          <w:rFonts w:ascii="Garamond" w:cs="Garamond" w:eastAsia="Garamond" w:hAnsi="Garamond"/>
          <w:color w:val="000000"/>
          <w:sz w:val="26"/>
          <w:szCs w:val="26"/>
          <w:rtl w:val="0"/>
        </w:rPr>
        <w:t xml:space="preserve">Levine, Lawrence W. 1988. </w:t>
      </w:r>
      <w:r w:rsidDel="00000000" w:rsidR="00000000" w:rsidRPr="00000000">
        <w:rPr>
          <w:rFonts w:ascii="Garamond" w:cs="Garamond" w:eastAsia="Garamond" w:hAnsi="Garamond"/>
          <w:i w:val="1"/>
          <w:iCs w:val="1"/>
          <w:color w:val="000000"/>
          <w:sz w:val="26"/>
          <w:szCs w:val="26"/>
          <w:rtl w:val="0"/>
        </w:rPr>
        <w:t xml:space="preserve">Highbrow/Lowbrow.</w:t>
      </w:r>
      <w:r w:rsidDel="00000000" w:rsidR="00000000" w:rsidRPr="00000000">
        <w:rPr>
          <w:rFonts w:ascii="Garamond" w:cs="Garamond" w:eastAsia="Garamond" w:hAnsi="Garamond"/>
          <w:color w:val="000000"/>
          <w:sz w:val="26"/>
          <w:szCs w:val="26"/>
          <w:rtl w:val="0"/>
        </w:rPr>
        <w:t xml:space="preserve"> Cambridge, MA: Harvard University Press.</w:t>
      </w:r>
      <w:r w:rsidDel="00000000" w:rsidR="00000000" w:rsidRPr="00000000">
        <w:rPr>
          <w:rtl w:val="0"/>
        </w:rPr>
      </w:r>
    </w:p>
    <w:p w:rsidR="00000000" w:rsidDel="00000000" w:rsidP="00000000" w:rsidRDefault="00000000" w:rsidRPr="00000000" w14:paraId="000000D6">
      <w:pPr>
        <w:pStyle w:val="Heading6"/>
        <w:keepNext w:val="0"/>
        <w:keepLines w:val="0"/>
        <w:pageBreakBefore w:val="0"/>
        <w:spacing w:after="0" w:lineRule="auto"/>
        <w:ind w:left="720" w:hanging="720"/>
        <w:jc w:val="both"/>
        <w:rPr/>
      </w:pPr>
      <w:bookmarkStart w:colFirst="0" w:colLast="0" w:name="_2iq8gzs" w:id="73"/>
      <w:bookmarkEnd w:id="73"/>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2/2008, doi: 10.2383/27709.</w:t>
      </w:r>
      <w:r w:rsidDel="00000000" w:rsidR="00000000" w:rsidRPr="00000000">
        <w:rPr>
          <w:rtl w:val="0"/>
        </w:rPr>
      </w:r>
    </w:p>
    <w:p w:rsidR="00000000" w:rsidDel="00000000" w:rsidP="00000000" w:rsidRDefault="00000000" w:rsidRPr="00000000" w14:paraId="000000D7">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Lizardo, Omar and Sara Skiles. 2009. “Highbrow omnivorousness on the Small Screen? Cultural Industry Systems and Patterns of Cultural Choice in Europe.”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 1-23.</w:t>
      </w:r>
      <w:r w:rsidDel="00000000" w:rsidR="00000000" w:rsidRPr="00000000">
        <w:rPr>
          <w:rtl w:val="0"/>
        </w:rPr>
      </w:r>
    </w:p>
    <w:p w:rsidR="00000000" w:rsidDel="00000000" w:rsidP="00000000" w:rsidRDefault="00000000" w:rsidRPr="00000000" w14:paraId="000000D8">
      <w:pPr>
        <w:pStyle w:val="Heading6"/>
        <w:keepNext w:val="0"/>
        <w:keepLines w:val="0"/>
        <w:pageBreakBefore w:val="0"/>
        <w:spacing w:after="0" w:lineRule="auto"/>
        <w:ind w:left="720" w:hanging="720"/>
        <w:jc w:val="both"/>
        <w:rPr/>
      </w:pPr>
      <w:bookmarkStart w:colFirst="0" w:colLast="0" w:name="_xvir7l" w:id="74"/>
      <w:bookmarkEnd w:id="74"/>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D9">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Lopes, Paul. 2002. The Rise of a Jazz Art World. New York: Cambridge University Press.</w:t>
      </w:r>
      <w:r w:rsidDel="00000000" w:rsidR="00000000" w:rsidRPr="00000000">
        <w:rPr>
          <w:rtl w:val="0"/>
        </w:rPr>
      </w:r>
    </w:p>
    <w:p w:rsidR="00000000" w:rsidDel="00000000" w:rsidP="00000000" w:rsidRDefault="00000000" w:rsidRPr="00000000" w14:paraId="000000DA">
      <w:pPr>
        <w:pStyle w:val="Heading6"/>
        <w:keepNext w:val="0"/>
        <w:keepLines w:val="0"/>
        <w:pageBreakBefore w:val="0"/>
        <w:spacing w:after="0" w:lineRule="auto"/>
        <w:ind w:left="720" w:hanging="720"/>
        <w:jc w:val="both"/>
        <w:rPr/>
      </w:pPr>
      <w:bookmarkStart w:colFirst="0" w:colLast="0" w:name="_3hv69ve" w:id="75"/>
      <w:bookmarkEnd w:id="75"/>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 </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Lynes, Russell, 1954. </w:t>
      </w:r>
      <w:r w:rsidDel="00000000" w:rsidR="00000000" w:rsidRPr="00000000">
        <w:rPr>
          <w:rFonts w:ascii="Garamond" w:cs="Garamond" w:eastAsia="Garamond" w:hAnsi="Garamond"/>
          <w:b w:val="0"/>
          <w:bCs w:val="0"/>
          <w:i w:val="1"/>
          <w:iCs w:val="1"/>
          <w:smallCaps w:val="0"/>
          <w:strike w:val="0"/>
          <w:color w:val="333333"/>
          <w:sz w:val="26"/>
          <w:szCs w:val="26"/>
          <w:highlight w:val="white"/>
          <w:u w:val="none"/>
          <w:vertAlign w:val="baseline"/>
          <w:rtl w:val="0"/>
        </w:rPr>
        <w:t xml:space="preserve">The Tastemakers</w:t>
      </w: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 New York: Harper.</w:t>
      </w:r>
      <w:r w:rsidDel="00000000" w:rsidR="00000000" w:rsidRPr="00000000">
        <w:rPr>
          <w:rtl w:val="0"/>
        </w:rPr>
      </w:r>
    </w:p>
    <w:p w:rsidR="00000000" w:rsidDel="00000000" w:rsidP="00000000" w:rsidRDefault="00000000" w:rsidRPr="00000000" w14:paraId="000000DC">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Umbach, Maiken and Bernd Hüppauf, (eds). 2005. Vernacular Modernism: Heimat, Globalization, and the Built Environment. Stanford, CA: Stanford University Press.</w:t>
      </w:r>
      <w:r w:rsidDel="00000000" w:rsidR="00000000" w:rsidRPr="00000000">
        <w:rPr>
          <w:rtl w:val="0"/>
        </w:rPr>
      </w:r>
    </w:p>
    <w:p w:rsidR="00000000" w:rsidDel="00000000" w:rsidP="00000000" w:rsidRDefault="00000000" w:rsidRPr="00000000" w14:paraId="000000DD">
      <w:pPr>
        <w:pStyle w:val="Heading6"/>
        <w:keepNext w:val="0"/>
        <w:keepLines w:val="0"/>
        <w:pageBreakBefore w:val="0"/>
        <w:spacing w:after="0" w:lineRule="auto"/>
        <w:ind w:left="720" w:hanging="720"/>
        <w:jc w:val="both"/>
        <w:rPr/>
      </w:pPr>
      <w:bookmarkStart w:colFirst="0" w:colLast="0" w:name="_1x0gk37" w:id="76"/>
      <w:bookmarkEnd w:id="76"/>
      <w:r w:rsidDel="00000000" w:rsidR="00000000" w:rsidRPr="00000000">
        <w:rPr>
          <w:rFonts w:ascii="Garamond" w:cs="Garamond" w:eastAsia="Garamond" w:hAnsi="Garamond"/>
          <w:color w:val="000000"/>
          <w:sz w:val="26"/>
          <w:szCs w:val="26"/>
          <w:rtl w:val="0"/>
        </w:rPr>
        <w:t xml:space="preserve">Mannheim, Karl. 1952. “The Problems of Generations.” In Karl Mannheim, Essays in the Sociology of Knowledge, Pp. 276-322. London, England: Routledge and Kegan Paul.</w:t>
      </w:r>
      <w:r w:rsidDel="00000000" w:rsidR="00000000" w:rsidRPr="00000000">
        <w:rPr>
          <w:rtl w:val="0"/>
        </w:rPr>
      </w:r>
    </w:p>
    <w:p w:rsidR="00000000" w:rsidDel="00000000" w:rsidP="00000000" w:rsidRDefault="00000000" w:rsidRPr="00000000" w14:paraId="000000DE">
      <w:pPr>
        <w:pStyle w:val="Heading6"/>
        <w:keepNext w:val="0"/>
        <w:keepLines w:val="0"/>
        <w:pageBreakBefore w:val="0"/>
        <w:spacing w:after="0" w:lineRule="auto"/>
        <w:ind w:left="720" w:hanging="720"/>
        <w:jc w:val="both"/>
        <w:rPr/>
      </w:pPr>
      <w:bookmarkStart w:colFirst="0" w:colLast="0" w:name="_4h042r0" w:id="77"/>
      <w:bookmarkEnd w:id="77"/>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DF">
      <w:pPr>
        <w:pStyle w:val="Heading6"/>
        <w:keepNext w:val="0"/>
        <w:keepLines w:val="0"/>
        <w:pageBreakBefore w:val="0"/>
        <w:spacing w:after="0" w:lineRule="auto"/>
        <w:ind w:left="720" w:hanging="720"/>
        <w:jc w:val="both"/>
        <w:rPr/>
      </w:pPr>
      <w:bookmarkStart w:colFirst="0" w:colLast="0" w:name="_2w5ecyt" w:id="78"/>
      <w:bookmarkEnd w:id="78"/>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E0">
      <w:pPr>
        <w:pStyle w:val="Heading6"/>
        <w:keepNext w:val="0"/>
        <w:keepLines w:val="0"/>
        <w:pageBreakBefore w:val="0"/>
        <w:spacing w:after="0" w:lineRule="auto"/>
        <w:ind w:left="720" w:hanging="720"/>
        <w:jc w:val="both"/>
        <w:rPr/>
      </w:pPr>
      <w:bookmarkStart w:colFirst="0" w:colLast="0" w:name="_1baon6m" w:id="79"/>
      <w:bookmarkEnd w:id="79"/>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E1">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E2">
      <w:pPr>
        <w:pStyle w:val="Heading6"/>
        <w:keepNext w:val="0"/>
        <w:keepLines w:val="0"/>
        <w:pageBreakBefore w:val="0"/>
        <w:spacing w:after="0" w:lineRule="auto"/>
        <w:ind w:left="720" w:hanging="720"/>
        <w:jc w:val="both"/>
        <w:rPr/>
      </w:pPr>
      <w:bookmarkStart w:colFirst="0" w:colLast="0" w:name="_3vac5uf" w:id="80"/>
      <w:bookmarkEnd w:id="80"/>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E3">
      <w:pPr>
        <w:pStyle w:val="Heading6"/>
        <w:keepNext w:val="0"/>
        <w:keepLines w:val="0"/>
        <w:pageBreakBefore w:val="0"/>
        <w:spacing w:after="0" w:lineRule="auto"/>
        <w:ind w:left="720" w:hanging="720"/>
        <w:jc w:val="both"/>
        <w:rPr/>
      </w:pPr>
      <w:bookmarkStart w:colFirst="0" w:colLast="0" w:name="_2afmg28" w:id="81"/>
      <w:bookmarkEnd w:id="81"/>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E4">
      <w:pPr>
        <w:pStyle w:val="Heading6"/>
        <w:keepNext w:val="0"/>
        <w:keepLines w:val="0"/>
        <w:pageBreakBefore w:val="0"/>
        <w:spacing w:after="0" w:lineRule="auto"/>
        <w:ind w:left="720" w:hanging="720"/>
        <w:jc w:val="both"/>
        <w:rPr/>
      </w:pPr>
      <w:bookmarkStart w:colFirst="0" w:colLast="0" w:name="_pkwqa1" w:id="82"/>
      <w:bookmarkEnd w:id="82"/>
      <w:r w:rsidDel="00000000" w:rsidR="00000000" w:rsidRPr="00000000">
        <w:rPr>
          <w:rFonts w:ascii="Garamond" w:cs="Garamond" w:eastAsia="Garamond" w:hAnsi="Garamond"/>
          <w:color w:val="000000"/>
          <w:sz w:val="26"/>
          <w:szCs w:val="26"/>
          <w:rtl w:val="0"/>
        </w:rPr>
        <w:t xml:space="preserve">N.A. 1963. </w:t>
      </w:r>
      <w:r w:rsidDel="00000000" w:rsidR="00000000" w:rsidRPr="00000000">
        <w:rPr>
          <w:rFonts w:ascii="Garamond" w:cs="Garamond" w:eastAsia="Garamond" w:hAnsi="Garamond"/>
          <w:color w:val="000000"/>
          <w:sz w:val="24"/>
          <w:szCs w:val="24"/>
          <w:rtl w:val="0"/>
        </w:rPr>
        <w:t xml:space="preserve">“Background Information on Museum of Primitive Art,”</w:t>
      </w:r>
      <w:r w:rsidDel="00000000" w:rsidR="00000000" w:rsidRPr="00000000">
        <w:rPr>
          <w:rFonts w:ascii="Garamond" w:cs="Garamond" w:eastAsia="Garamond" w:hAnsi="Garamond"/>
          <w:color w:val="000000"/>
          <w:sz w:val="26"/>
          <w:szCs w:val="26"/>
          <w:rtl w:val="0"/>
        </w:rPr>
        <w:t xml:space="preserve"> Spring 1963, </w:t>
      </w:r>
      <w:r w:rsidDel="00000000" w:rsidR="00000000" w:rsidRPr="00000000">
        <w:rPr>
          <w:rFonts w:ascii="Garamond" w:cs="Garamond" w:eastAsia="Garamond" w:hAnsi="Garamond"/>
          <w:color w:val="000000"/>
          <w:sz w:val="24"/>
          <w:szCs w:val="24"/>
          <w:rtl w:val="0"/>
        </w:rPr>
        <w:t xml:space="preserve">Official Business</w:t>
      </w:r>
      <w:r w:rsidDel="00000000" w:rsidR="00000000" w:rsidRPr="00000000">
        <w:rPr>
          <w:rFonts w:ascii="Garamond" w:cs="Garamond" w:eastAsia="Garamond" w:hAnsi="Garamond"/>
          <w:color w:val="000000"/>
          <w:sz w:val="26"/>
          <w:szCs w:val="26"/>
          <w:rtl w:val="0"/>
        </w:rPr>
        <w:t xml:space="preserve">,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E5">
      <w:pPr>
        <w:pStyle w:val="Heading6"/>
        <w:keepNext w:val="0"/>
        <w:keepLines w:val="0"/>
        <w:pageBreakBefore w:val="0"/>
        <w:spacing w:after="0" w:lineRule="auto"/>
        <w:ind w:left="720" w:hanging="720"/>
        <w:jc w:val="both"/>
        <w:rPr/>
      </w:pPr>
      <w:bookmarkStart w:colFirst="0" w:colLast="0" w:name="_39kk8xu" w:id="83"/>
      <w:bookmarkEnd w:id="83"/>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2">
        <w:r w:rsidDel="00000000" w:rsidR="00000000" w:rsidRPr="00000000">
          <w:rPr>
            <w:rFonts w:ascii="Garamond" w:cs="Garamond" w:eastAsia="Garamond" w:hAnsi="Garamond"/>
            <w:color w:val="1155cc"/>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E6">
      <w:pPr>
        <w:pStyle w:val="Heading6"/>
        <w:keepNext w:val="0"/>
        <w:keepLines w:val="0"/>
        <w:pageBreakBefore w:val="0"/>
        <w:spacing w:after="0" w:lineRule="auto"/>
        <w:ind w:left="720" w:hanging="720"/>
        <w:jc w:val="both"/>
        <w:rPr/>
      </w:pPr>
      <w:bookmarkStart w:colFirst="0" w:colLast="0" w:name="_1opuj5n" w:id="84"/>
      <w:bookmarkEnd w:id="84"/>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3">
        <w:r w:rsidDel="00000000" w:rsidR="00000000" w:rsidRPr="00000000">
          <w:rPr>
            <w:rFonts w:ascii="Garamond" w:cs="Garamond" w:eastAsia="Garamond" w:hAnsi="Garamond"/>
            <w:color w:val="1155cc"/>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E7">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O’Connor, Francis. 1969. Federal Support for the Visual Arts: The New Deal and the Now. Greenwich, CT: New York Graphic Society.</w:t>
      </w:r>
      <w:r w:rsidDel="00000000" w:rsidR="00000000" w:rsidRPr="00000000">
        <w:rPr>
          <w:rtl w:val="0"/>
        </w:rPr>
      </w:r>
    </w:p>
    <w:p w:rsidR="00000000" w:rsidDel="00000000" w:rsidP="00000000" w:rsidRDefault="00000000" w:rsidRPr="00000000" w14:paraId="000000E8">
      <w:pPr>
        <w:pStyle w:val="Heading6"/>
        <w:keepNext w:val="0"/>
        <w:keepLines w:val="0"/>
        <w:pageBreakBefore w:val="0"/>
        <w:spacing w:after="0" w:lineRule="auto"/>
        <w:ind w:left="720" w:hanging="720"/>
        <w:jc w:val="both"/>
        <w:rPr/>
      </w:pPr>
      <w:bookmarkStart w:colFirst="0" w:colLast="0" w:name="_48pi1tg" w:id="85"/>
      <w:bookmarkEnd w:id="85"/>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Poetics. 47: 106-121.</w:t>
      </w:r>
      <w:r w:rsidDel="00000000" w:rsidR="00000000" w:rsidRPr="00000000">
        <w:rPr>
          <w:rtl w:val="0"/>
        </w:rPr>
      </w:r>
    </w:p>
    <w:p w:rsidR="00000000" w:rsidDel="00000000" w:rsidP="00000000" w:rsidRDefault="00000000" w:rsidRPr="00000000" w14:paraId="000000E9">
      <w:pPr>
        <w:pStyle w:val="Heading6"/>
        <w:keepNext w:val="0"/>
        <w:keepLines w:val="0"/>
        <w:pageBreakBefore w:val="0"/>
        <w:spacing w:after="0" w:lineRule="auto"/>
        <w:ind w:left="720" w:hanging="720"/>
        <w:jc w:val="both"/>
        <w:rPr/>
      </w:pPr>
      <w:bookmarkStart w:colFirst="0" w:colLast="0" w:name="_2nusc19" w:id="86"/>
      <w:bookmarkEnd w:id="86"/>
      <w:r w:rsidDel="00000000" w:rsidR="00000000" w:rsidRPr="00000000">
        <w:rPr>
          <w:rFonts w:ascii="Garamond" w:cs="Garamond" w:eastAsia="Garamond" w:hAnsi="Garamond"/>
          <w:color w:val="000000"/>
          <w:sz w:val="26"/>
          <w:szCs w:val="26"/>
          <w:rtl w:val="0"/>
        </w:rPr>
        <w:t xml:space="preserve">Park, Marlene and Gerald E. Markowitz. 1984. Democratic Vistas: Post Offices and Public Art in the New Deal. Philadelphia: Temple University Press.</w:t>
      </w:r>
      <w:r w:rsidDel="00000000" w:rsidR="00000000" w:rsidRPr="00000000">
        <w:rPr>
          <w:rtl w:val="0"/>
        </w:rPr>
      </w:r>
    </w:p>
    <w:p w:rsidR="00000000" w:rsidDel="00000000" w:rsidP="00000000" w:rsidRDefault="00000000" w:rsidRPr="00000000" w14:paraId="000000EA">
      <w:pPr>
        <w:pStyle w:val="Heading6"/>
        <w:keepNext w:val="0"/>
        <w:keepLines w:val="0"/>
        <w:pageBreakBefore w:val="0"/>
        <w:spacing w:after="0" w:lineRule="auto"/>
        <w:ind w:left="720" w:hanging="720"/>
        <w:jc w:val="both"/>
        <w:rPr/>
      </w:pPr>
      <w:bookmarkStart w:colFirst="0" w:colLast="0" w:name="_1302m92" w:id="87"/>
      <w:bookmarkEnd w:id="87"/>
      <w:r w:rsidDel="00000000" w:rsidR="00000000" w:rsidRPr="00000000">
        <w:rPr>
          <w:rFonts w:ascii="Garamond" w:cs="Garamond" w:eastAsia="Garamond" w:hAnsi="Garamond"/>
          <w:color w:val="000000"/>
          <w:sz w:val="26"/>
          <w:szCs w:val="26"/>
          <w:rtl w:val="0"/>
        </w:rPr>
        <w:t xml:space="preserve">Peterson, Richard A. 2005. “Problems in Comparative Research: The Example of Omnnivorousness.”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EB">
      <w:pPr>
        <w:pStyle w:val="Heading6"/>
        <w:keepNext w:val="0"/>
        <w:keepLines w:val="0"/>
        <w:pageBreakBefore w:val="0"/>
        <w:spacing w:after="0" w:lineRule="auto"/>
        <w:ind w:left="720" w:hanging="720"/>
        <w:jc w:val="both"/>
        <w:rPr/>
      </w:pPr>
      <w:bookmarkStart w:colFirst="0" w:colLast="0" w:name="_3mzq4wv" w:id="88"/>
      <w:bookmarkEnd w:id="88"/>
      <w:r w:rsidDel="00000000" w:rsidR="00000000" w:rsidRPr="00000000">
        <w:rPr>
          <w:rFonts w:ascii="Garamond" w:cs="Garamond" w:eastAsia="Garamond" w:hAnsi="Garamond"/>
          <w:color w:val="000000"/>
          <w:sz w:val="26"/>
          <w:szCs w:val="26"/>
          <w:rtl w:val="0"/>
        </w:rPr>
        <w:t xml:space="preserve">Peterson, Richard A. and Albert Simkus. 1992. "How Musical Taste Groups Mark Occupational Status Groups." Pp. 152-68 in Cultivating Differences: Symbolic Boundaries and the Making of Inequality, edited by M. Lamont and M. Fournier. Chicago, IL: University of Chicago Press.</w:t>
      </w:r>
      <w:r w:rsidDel="00000000" w:rsidR="00000000" w:rsidRPr="00000000">
        <w:rPr>
          <w:rtl w:val="0"/>
        </w:rPr>
      </w:r>
    </w:p>
    <w:p w:rsidR="00000000" w:rsidDel="00000000" w:rsidP="00000000" w:rsidRDefault="00000000" w:rsidRPr="00000000" w14:paraId="000000EC">
      <w:pPr>
        <w:pStyle w:val="Heading6"/>
        <w:keepNext w:val="0"/>
        <w:keepLines w:val="0"/>
        <w:pageBreakBefore w:val="0"/>
        <w:spacing w:after="0" w:lineRule="auto"/>
        <w:ind w:left="720" w:hanging="720"/>
        <w:jc w:val="both"/>
        <w:rPr/>
      </w:pPr>
      <w:bookmarkStart w:colFirst="0" w:colLast="0" w:name="_2250f4o" w:id="89"/>
      <w:bookmarkEnd w:id="89"/>
      <w:r w:rsidDel="00000000" w:rsidR="00000000" w:rsidRPr="00000000">
        <w:rPr>
          <w:rFonts w:ascii="Garamond" w:cs="Garamond" w:eastAsia="Garamond" w:hAnsi="Garamond"/>
          <w:color w:val="000000"/>
          <w:sz w:val="26"/>
          <w:szCs w:val="26"/>
          <w:rtl w:val="0"/>
        </w:rPr>
        <w:t xml:space="preserve">Peterson, Richard A. and Roger M. Kern. 1996. “Changing Highbrow Taste: From Snob to Omnivore.”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Vol. 61: 900-907.</w:t>
      </w:r>
      <w:r w:rsidDel="00000000" w:rsidR="00000000" w:rsidRPr="00000000">
        <w:rPr>
          <w:rtl w:val="0"/>
        </w:rPr>
      </w:r>
    </w:p>
    <w:p w:rsidR="00000000" w:rsidDel="00000000" w:rsidP="00000000" w:rsidRDefault="00000000" w:rsidRPr="00000000" w14:paraId="000000ED">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Peterson, Richard A. and Gabriel Rossman. 2008. “Changing Arts Audiences: Capitalizing on Omnivorousness.” Pp. 307-342 in Steven Tepper and Bill Ivey (eds). Engaging Art: The Next Great Transformation of Americans’ Cultural Life. New York: Routledge. </w:t>
      </w:r>
      <w:r w:rsidDel="00000000" w:rsidR="00000000" w:rsidRPr="00000000">
        <w:rPr>
          <w:rtl w:val="0"/>
        </w:rPr>
      </w:r>
    </w:p>
    <w:p w:rsidR="00000000" w:rsidDel="00000000" w:rsidP="00000000" w:rsidRDefault="00000000" w:rsidRPr="00000000" w14:paraId="000000EE">
      <w:pPr>
        <w:pStyle w:val="Heading6"/>
        <w:keepNext w:val="0"/>
        <w:keepLines w:val="0"/>
        <w:pageBreakBefore w:val="0"/>
        <w:spacing w:after="0" w:lineRule="auto"/>
        <w:ind w:left="720" w:hanging="720"/>
        <w:jc w:val="both"/>
        <w:rPr/>
      </w:pPr>
      <w:bookmarkStart w:colFirst="0" w:colLast="0" w:name="_haapch" w:id="90"/>
      <w:bookmarkEnd w:id="90"/>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EF">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Garamond" w:cs="Garamond" w:eastAsia="Garamond" w:hAnsi="Garamond"/>
          <w:color w:val="000000"/>
          <w:sz w:val="26"/>
          <w:szCs w:val="26"/>
        </w:rPr>
      </w:pPr>
      <w:bookmarkStart w:colFirst="0" w:colLast="0" w:name="_2qq0ewuw1832" w:id="91"/>
      <w:bookmarkEnd w:id="91"/>
      <w:r w:rsidDel="00000000" w:rsidR="00000000" w:rsidRPr="00000000">
        <w:rPr>
          <w:rFonts w:ascii="Garamond" w:cs="Garamond" w:eastAsia="Garamond" w:hAnsi="Garamond"/>
          <w:color w:val="000000"/>
          <w:sz w:val="26"/>
          <w:szCs w:val="26"/>
          <w:rtl w:val="0"/>
        </w:rPr>
        <w:t xml:space="preserve">Rabe-Hesketh, Sophia and Anders Skrondal. 2008. Multilevel and longitudinal modeling using Stata. Stata Press.</w:t>
      </w:r>
    </w:p>
    <w:p w:rsidR="00000000" w:rsidDel="00000000" w:rsidP="00000000" w:rsidRDefault="00000000" w:rsidRPr="00000000" w14:paraId="000000F0">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Garamond" w:cs="Garamond" w:eastAsia="Garamond" w:hAnsi="Garamond"/>
          <w:color w:val="000000"/>
          <w:sz w:val="26"/>
          <w:szCs w:val="26"/>
        </w:rPr>
      </w:pPr>
      <w:bookmarkStart w:colFirst="0" w:colLast="0" w:name="_8kn2tjfdnim7" w:id="92"/>
      <w:bookmarkEnd w:id="92"/>
      <w:r w:rsidDel="00000000" w:rsidR="00000000" w:rsidRPr="00000000">
        <w:rPr>
          <w:rFonts w:ascii="Garamond" w:cs="Garamond" w:eastAsia="Garamond" w:hAnsi="Garamond"/>
          <w:color w:val="000000"/>
          <w:sz w:val="26"/>
          <w:szCs w:val="26"/>
          <w:rtl w:val="0"/>
        </w:rPr>
        <w:t xml:space="preserve">Reither, Eric N., Kenneth C. Land, Sun Y. Jeon, Daniel A. Powers, Ryan K. Masters, Hui Zheng, Melissa A. Hardy et al. 2015. “Clarifying hierarchical age–period–cohort models: A rejoinder to Bell and Jones.” Social Science &amp; Medicine 145: 125-128.</w:t>
      </w:r>
    </w:p>
    <w:p w:rsidR="00000000" w:rsidDel="00000000" w:rsidP="00000000" w:rsidRDefault="00000000" w:rsidRPr="00000000" w14:paraId="000000F1">
      <w:pPr>
        <w:pStyle w:val="Heading6"/>
        <w:keepNext w:val="0"/>
        <w:keepLines w:val="0"/>
        <w:pageBreakBefore w:val="0"/>
        <w:spacing w:after="0" w:lineRule="auto"/>
        <w:ind w:left="720" w:hanging="720"/>
        <w:jc w:val="both"/>
        <w:rPr/>
      </w:pPr>
      <w:bookmarkStart w:colFirst="0" w:colLast="0" w:name="_49095geofffh" w:id="93"/>
      <w:bookmarkEnd w:id="93"/>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Routledge International Handbook of the Sociology of Art and Culture. London: Routledge. </w:t>
      </w:r>
      <w:r w:rsidDel="00000000" w:rsidR="00000000" w:rsidRPr="00000000">
        <w:rPr>
          <w:rtl w:val="0"/>
        </w:rPr>
      </w:r>
    </w:p>
    <w:p w:rsidR="00000000" w:rsidDel="00000000" w:rsidP="00000000" w:rsidRDefault="00000000" w:rsidRPr="00000000" w14:paraId="000000F2">
      <w:pPr>
        <w:pStyle w:val="Heading6"/>
        <w:keepNext w:val="0"/>
        <w:keepLines w:val="0"/>
        <w:pageBreakBefore w:val="0"/>
        <w:spacing w:after="0" w:lineRule="auto"/>
        <w:ind w:left="720" w:hanging="720"/>
        <w:jc w:val="both"/>
        <w:rPr/>
      </w:pPr>
      <w:bookmarkStart w:colFirst="0" w:colLast="0" w:name="_40ew0vw" w:id="94"/>
      <w:bookmarkEnd w:id="94"/>
      <w:r w:rsidDel="00000000" w:rsidR="00000000" w:rsidRPr="00000000">
        <w:rPr>
          <w:rFonts w:ascii="Garamond" w:cs="Garamond" w:eastAsia="Garamond" w:hAnsi="Garamond"/>
          <w:color w:val="000000"/>
          <w:sz w:val="26"/>
          <w:szCs w:val="26"/>
          <w:rtl w:val="0"/>
        </w:rPr>
        <w:t xml:space="preserve">Rossman, Gabriel. 2012 Climbing The Charts: What Radio Airplay Tells Us About The Diffusion of Innovation. Princeton, NJ: Princeton University Press.</w:t>
      </w:r>
      <w:r w:rsidDel="00000000" w:rsidR="00000000" w:rsidRPr="00000000">
        <w:rPr>
          <w:rtl w:val="0"/>
        </w:rPr>
      </w:r>
    </w:p>
    <w:p w:rsidR="00000000" w:rsidDel="00000000" w:rsidP="00000000" w:rsidRDefault="00000000" w:rsidRPr="00000000" w14:paraId="000000F3">
      <w:pPr>
        <w:pStyle w:val="Heading6"/>
        <w:keepNext w:val="0"/>
        <w:keepLines w:val="0"/>
        <w:pageBreakBefore w:val="0"/>
        <w:spacing w:after="0" w:lineRule="auto"/>
        <w:ind w:left="720" w:hanging="720"/>
        <w:jc w:val="both"/>
        <w:rPr/>
      </w:pPr>
      <w:bookmarkStart w:colFirst="0" w:colLast="0" w:name="_2fk6b3p" w:id="95"/>
      <w:bookmarkEnd w:id="95"/>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F4">
      <w:pPr>
        <w:pStyle w:val="Heading6"/>
        <w:keepNext w:val="0"/>
        <w:keepLines w:val="0"/>
        <w:pageBreakBefore w:val="0"/>
        <w:spacing w:after="0" w:lineRule="auto"/>
        <w:ind w:left="720" w:hanging="720"/>
        <w:jc w:val="both"/>
        <w:rPr/>
      </w:pPr>
      <w:bookmarkStart w:colFirst="0" w:colLast="0" w:name="_upglbi" w:id="96"/>
      <w:bookmarkEnd w:id="96"/>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F5">
      <w:pPr>
        <w:pStyle w:val="Heading6"/>
        <w:keepNext w:val="0"/>
        <w:keepLines w:val="0"/>
        <w:pageBreakBefore w:val="0"/>
        <w:spacing w:after="0" w:lineRule="auto"/>
        <w:ind w:left="720" w:hanging="720"/>
        <w:jc w:val="both"/>
        <w:rPr/>
      </w:pPr>
      <w:bookmarkStart w:colFirst="0" w:colLast="0" w:name="_3ep43zb" w:id="97"/>
      <w:bookmarkEnd w:id="97"/>
      <w:r w:rsidDel="00000000" w:rsidR="00000000" w:rsidRPr="00000000">
        <w:rPr>
          <w:rFonts w:ascii="Garamond" w:cs="Garamond" w:eastAsia="Garamond" w:hAnsi="Garamond"/>
          <w:color w:val="000000"/>
          <w:sz w:val="26"/>
          <w:szCs w:val="26"/>
          <w:rtl w:val="0"/>
        </w:rPr>
        <w:t xml:space="preserve">Saito, Hiro. 2011. “An Actor-Network Theory of Cosmopolitanism.”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29(2): 124-149.</w:t>
      </w:r>
      <w:r w:rsidDel="00000000" w:rsidR="00000000" w:rsidRPr="00000000">
        <w:rPr>
          <w:rtl w:val="0"/>
        </w:rPr>
      </w:r>
    </w:p>
    <w:p w:rsidR="00000000" w:rsidDel="00000000" w:rsidP="00000000" w:rsidRDefault="00000000" w:rsidRPr="00000000" w14:paraId="000000F6">
      <w:pPr>
        <w:pStyle w:val="Heading6"/>
        <w:keepNext w:val="0"/>
        <w:keepLines w:val="0"/>
        <w:pageBreakBefore w:val="0"/>
        <w:spacing w:after="0" w:lineRule="auto"/>
        <w:ind w:left="720" w:hanging="720"/>
        <w:jc w:val="both"/>
        <w:rPr/>
      </w:pPr>
      <w:bookmarkStart w:colFirst="0" w:colLast="0" w:name="_1tuee74" w:id="98"/>
      <w:bookmarkEnd w:id="98"/>
      <w:r w:rsidDel="00000000" w:rsidR="00000000" w:rsidRPr="00000000">
        <w:rPr>
          <w:rFonts w:ascii="Garamond" w:cs="Garamond" w:eastAsia="Garamond" w:hAnsi="Garamond"/>
          <w:color w:val="000000"/>
          <w:sz w:val="26"/>
          <w:szCs w:val="26"/>
          <w:rtl w:val="0"/>
        </w:rPr>
        <w:t xml:space="preserve">Schuman, Howard, and Cheryl Rieger. 1992. “Historical analogies, generational effects, and attitudes toward war.”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57: 315-326.</w:t>
      </w:r>
      <w:r w:rsidDel="00000000" w:rsidR="00000000" w:rsidRPr="00000000">
        <w:rPr>
          <w:rtl w:val="0"/>
        </w:rPr>
      </w:r>
    </w:p>
    <w:p w:rsidR="00000000" w:rsidDel="00000000" w:rsidP="00000000" w:rsidRDefault="00000000" w:rsidRPr="00000000" w14:paraId="000000F7">
      <w:pPr>
        <w:pStyle w:val="Heading6"/>
        <w:keepNext w:val="0"/>
        <w:keepLines w:val="0"/>
        <w:pageBreakBefore w:val="0"/>
        <w:spacing w:after="0" w:lineRule="auto"/>
        <w:ind w:left="720" w:hanging="720"/>
        <w:jc w:val="both"/>
        <w:rPr/>
      </w:pPr>
      <w:bookmarkStart w:colFirst="0" w:colLast="0" w:name="_4du1wux" w:id="99"/>
      <w:bookmarkEnd w:id="99"/>
      <w:r w:rsidDel="00000000" w:rsidR="00000000" w:rsidRPr="00000000">
        <w:rPr>
          <w:rFonts w:ascii="Garamond" w:cs="Garamond" w:eastAsia="Garamond" w:hAnsi="Garamond"/>
          <w:color w:val="000000"/>
          <w:sz w:val="26"/>
          <w:szCs w:val="26"/>
          <w:rtl w:val="0"/>
        </w:rPr>
        <w:t xml:space="preserve">Schuman, Howard, and Amy D Corning. 2000. “Collective Knowledge of Public Events: The Soviet Era From The Great Purge to Glasnost.” American Journal of Sociology 105: 913-956.</w:t>
      </w:r>
      <w:r w:rsidDel="00000000" w:rsidR="00000000" w:rsidRPr="00000000">
        <w:rPr>
          <w:rtl w:val="0"/>
        </w:rPr>
      </w:r>
    </w:p>
    <w:p w:rsidR="00000000" w:rsidDel="00000000" w:rsidP="00000000" w:rsidRDefault="00000000" w:rsidRPr="00000000" w14:paraId="000000F8">
      <w:pPr>
        <w:pStyle w:val="Heading6"/>
        <w:keepNext w:val="0"/>
        <w:keepLines w:val="0"/>
        <w:pageBreakBefore w:val="0"/>
        <w:spacing w:after="0" w:lineRule="auto"/>
        <w:ind w:left="720" w:hanging="720"/>
        <w:jc w:val="both"/>
        <w:rPr/>
      </w:pPr>
      <w:bookmarkStart w:colFirst="0" w:colLast="0" w:name="_2szc72q" w:id="100"/>
      <w:bookmarkEnd w:id="100"/>
      <w:r w:rsidDel="00000000" w:rsidR="00000000" w:rsidRPr="00000000">
        <w:rPr>
          <w:rFonts w:ascii="Garamond" w:cs="Garamond" w:eastAsia="Garamond" w:hAnsi="Garamond"/>
          <w:color w:val="000000"/>
          <w:sz w:val="26"/>
          <w:szCs w:val="26"/>
          <w:rtl w:val="0"/>
        </w:rPr>
        <w:t xml:space="preserve">Schneiberg, Marc, and Elisabeth S. Clemens. 2006. “The Typical Tools for the Job: Research Strategies in Institutional Analysis.” Sociological Theory 24: 195-227.</w:t>
      </w:r>
      <w:r w:rsidDel="00000000" w:rsidR="00000000" w:rsidRPr="00000000">
        <w:rPr>
          <w:rtl w:val="0"/>
        </w:rPr>
      </w:r>
    </w:p>
    <w:p w:rsidR="00000000" w:rsidDel="00000000" w:rsidP="00000000" w:rsidRDefault="00000000" w:rsidRPr="00000000" w14:paraId="000000F9">
      <w:pPr>
        <w:pStyle w:val="Heading6"/>
        <w:keepNext w:val="0"/>
        <w:keepLines w:val="0"/>
        <w:pageBreakBefore w:val="0"/>
        <w:spacing w:after="0" w:lineRule="auto"/>
        <w:ind w:left="720" w:hanging="720"/>
        <w:jc w:val="both"/>
        <w:rPr/>
      </w:pPr>
      <w:bookmarkStart w:colFirst="0" w:colLast="0" w:name="_184mhaj" w:id="101"/>
      <w:bookmarkEnd w:id="101"/>
      <w:r w:rsidDel="00000000" w:rsidR="00000000" w:rsidRPr="00000000">
        <w:rPr>
          <w:rFonts w:ascii="Garamond" w:cs="Garamond" w:eastAsia="Garamond" w:hAnsi="Garamond"/>
          <w:color w:val="000000"/>
          <w:sz w:val="26"/>
          <w:szCs w:val="26"/>
          <w:rtl w:val="0"/>
        </w:rPr>
        <w:t xml:space="preserve">Shils, Edward, 1958. “Mass society and its culture.” Daedalus: Journal of the American Academy of Arts and Sciences 89, 2.</w:t>
      </w:r>
      <w:r w:rsidDel="00000000" w:rsidR="00000000" w:rsidRPr="00000000">
        <w:rPr>
          <w:rtl w:val="0"/>
        </w:rPr>
      </w:r>
    </w:p>
    <w:p w:rsidR="00000000" w:rsidDel="00000000" w:rsidP="00000000" w:rsidRDefault="00000000" w:rsidRPr="00000000" w14:paraId="000000FA">
      <w:pPr>
        <w:pStyle w:val="Heading6"/>
        <w:keepNext w:val="0"/>
        <w:keepLines w:val="0"/>
        <w:pageBreakBefore w:val="0"/>
        <w:spacing w:after="0" w:lineRule="auto"/>
        <w:ind w:left="720" w:hanging="720"/>
        <w:jc w:val="both"/>
        <w:rPr/>
      </w:pPr>
      <w:bookmarkStart w:colFirst="0" w:colLast="0" w:name="_3s49zyc" w:id="102"/>
      <w:bookmarkEnd w:id="102"/>
      <w:r w:rsidDel="00000000" w:rsidR="00000000" w:rsidRPr="00000000">
        <w:rPr>
          <w:rFonts w:ascii="Garamond" w:cs="Garamond" w:eastAsia="Garamond" w:hAnsi="Garamond"/>
          <w:color w:val="000000"/>
          <w:sz w:val="26"/>
          <w:szCs w:val="26"/>
          <w:rtl w:val="0"/>
        </w:rPr>
        <w:t xml:space="preserve">Spillman, Lyn. 2014. “Mixed Methods and the Logic of Qualitative Inference.” Qualitative Sociology 37(2): 189-205.</w:t>
      </w:r>
      <w:r w:rsidDel="00000000" w:rsidR="00000000" w:rsidRPr="00000000">
        <w:rPr>
          <w:rtl w:val="0"/>
        </w:rPr>
      </w:r>
    </w:p>
    <w:p w:rsidR="00000000" w:rsidDel="00000000" w:rsidP="00000000" w:rsidRDefault="00000000" w:rsidRPr="00000000" w14:paraId="000000FB">
      <w:pPr>
        <w:pStyle w:val="Heading6"/>
        <w:keepNext w:val="0"/>
        <w:keepLines w:val="0"/>
        <w:pageBreakBefore w:val="0"/>
        <w:spacing w:after="0" w:lineRule="auto"/>
        <w:ind w:left="720" w:hanging="720"/>
        <w:jc w:val="both"/>
        <w:rPr/>
      </w:pPr>
      <w:bookmarkStart w:colFirst="0" w:colLast="0" w:name="_279ka65" w:id="103"/>
      <w:bookmarkEnd w:id="103"/>
      <w:r w:rsidDel="00000000" w:rsidR="00000000" w:rsidRPr="00000000">
        <w:rPr>
          <w:rFonts w:ascii="Garamond" w:cs="Garamond" w:eastAsia="Garamond" w:hAnsi="Garamond"/>
          <w:color w:val="000000"/>
          <w:sz w:val="26"/>
          <w:szCs w:val="26"/>
          <w:rtl w:val="0"/>
        </w:rPr>
        <w:t xml:space="preserve">van Eijck, Koen. 2001. “Social Differentiation in Musical Taste Patterns.” Social Forces 79(3): 1163-1185.</w:t>
      </w:r>
      <w:r w:rsidDel="00000000" w:rsidR="00000000" w:rsidRPr="00000000">
        <w:rPr>
          <w:rtl w:val="0"/>
        </w:rPr>
      </w:r>
    </w:p>
    <w:p w:rsidR="00000000" w:rsidDel="00000000" w:rsidP="00000000" w:rsidRDefault="00000000" w:rsidRPr="00000000" w14:paraId="000000FC">
      <w:pPr>
        <w:pStyle w:val="Heading6"/>
        <w:keepNext w:val="0"/>
        <w:keepLines w:val="0"/>
        <w:pageBreakBefore w:val="0"/>
        <w:spacing w:after="0" w:lineRule="auto"/>
        <w:ind w:left="720" w:hanging="720"/>
        <w:jc w:val="both"/>
        <w:rPr/>
      </w:pPr>
      <w:bookmarkStart w:colFirst="0" w:colLast="0" w:name="_meukdy" w:id="104"/>
      <w:bookmarkEnd w:id="104"/>
      <w:r w:rsidDel="00000000" w:rsidR="00000000" w:rsidRPr="00000000">
        <w:rPr>
          <w:rFonts w:ascii="Garamond" w:cs="Garamond" w:eastAsia="Garamond" w:hAnsi="Garamond"/>
          <w:color w:val="000000"/>
          <w:sz w:val="26"/>
          <w:szCs w:val="26"/>
          <w:rtl w:val="0"/>
        </w:rPr>
        <w:t xml:space="preserve">Weber, William. 1977. “Mass culture and the reshaping of European musical taste, 1770-1870.” International Review of The Aesthetics and Sociology of Music 8: 5-22.</w:t>
      </w:r>
      <w:r w:rsidDel="00000000" w:rsidR="00000000" w:rsidRPr="00000000">
        <w:rPr>
          <w:rtl w:val="0"/>
        </w:rPr>
      </w:r>
    </w:p>
    <w:p w:rsidR="00000000" w:rsidDel="00000000" w:rsidP="00000000" w:rsidRDefault="00000000" w:rsidRPr="00000000" w14:paraId="000000FD">
      <w:pPr>
        <w:pStyle w:val="Heading6"/>
        <w:keepNext w:val="0"/>
        <w:keepLines w:val="0"/>
        <w:pageBreakBefore w:val="0"/>
        <w:spacing w:after="0" w:lineRule="auto"/>
        <w:ind w:left="720" w:hanging="720"/>
        <w:jc w:val="both"/>
        <w:rPr/>
      </w:pPr>
      <w:bookmarkStart w:colFirst="0" w:colLast="0" w:name="_36ei31r" w:id="105"/>
      <w:bookmarkEnd w:id="105"/>
      <w:r w:rsidDel="00000000" w:rsidR="00000000" w:rsidRPr="00000000">
        <w:rPr>
          <w:rFonts w:ascii="Garamond" w:cs="Garamond" w:eastAsia="Garamond" w:hAnsi="Garamond"/>
          <w:color w:val="000000"/>
          <w:sz w:val="26"/>
          <w:szCs w:val="26"/>
          <w:rtl w:val="0"/>
        </w:rPr>
        <w:t xml:space="preserve">Wright, David, Semi Purhonen, and Riie Heikkilä. 2013. “Comparing ‘Cosmopolitanism’: Taste, Nation and Global Culture in Finland and the UK.” Comparative Sociology 12(3): 330–60.</w:t>
      </w:r>
      <w:r w:rsidDel="00000000" w:rsidR="00000000" w:rsidRPr="00000000">
        <w:rPr>
          <w:rtl w:val="0"/>
        </w:rPr>
      </w:r>
    </w:p>
    <w:p w:rsidR="00000000" w:rsidDel="00000000" w:rsidP="00000000" w:rsidRDefault="00000000" w:rsidRPr="00000000" w14:paraId="000000FE">
      <w:pPr>
        <w:pStyle w:val="Heading6"/>
        <w:keepNext w:val="0"/>
        <w:keepLines w:val="0"/>
        <w:pageBreakBefore w:val="0"/>
        <w:spacing w:after="0" w:lineRule="auto"/>
        <w:ind w:left="720" w:hanging="720"/>
        <w:jc w:val="both"/>
        <w:rPr/>
      </w:pPr>
      <w:bookmarkStart w:colFirst="0" w:colLast="0" w:name="_1ljsd9k" w:id="106"/>
      <w:bookmarkEnd w:id="106"/>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 Journal for Cultural Research 15: 355-371.</w:t>
      </w:r>
      <w:r w:rsidDel="00000000" w:rsidR="00000000" w:rsidRPr="00000000">
        <w:rPr>
          <w:rtl w:val="0"/>
        </w:rPr>
      </w:r>
    </w:p>
    <w:p w:rsidR="00000000" w:rsidDel="00000000" w:rsidP="00000000" w:rsidRDefault="00000000" w:rsidRPr="00000000" w14:paraId="000000FF">
      <w:pPr>
        <w:pStyle w:val="Heading6"/>
        <w:keepNext w:val="0"/>
        <w:keepLines w:val="0"/>
        <w:pageBreakBefore w:val="0"/>
        <w:spacing w:after="0" w:lineRule="auto"/>
        <w:ind w:left="720" w:hanging="720"/>
        <w:jc w:val="both"/>
        <w:rPr/>
      </w:pPr>
      <w:bookmarkStart w:colFirst="0" w:colLast="0" w:name="_45jfvxd" w:id="107"/>
      <w:bookmarkEnd w:id="107"/>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Sociological Methodology 36: 75-97.</w:t>
      </w:r>
      <w:r w:rsidDel="00000000" w:rsidR="00000000" w:rsidRPr="00000000">
        <w:rPr>
          <w:rtl w:val="0"/>
        </w:rPr>
      </w:r>
    </w:p>
    <w:p w:rsidR="00000000" w:rsidDel="00000000" w:rsidP="00000000" w:rsidRDefault="00000000" w:rsidRPr="00000000" w14:paraId="00000100">
      <w:pPr>
        <w:pStyle w:val="Heading6"/>
        <w:keepNext w:val="0"/>
        <w:keepLines w:val="0"/>
        <w:pageBreakBefore w:val="0"/>
        <w:spacing w:after="0" w:lineRule="auto"/>
        <w:ind w:left="720" w:hanging="720"/>
        <w:jc w:val="both"/>
        <w:rPr/>
      </w:pPr>
      <w:bookmarkStart w:colFirst="0" w:colLast="0" w:name="_2koq656" w:id="108"/>
      <w:bookmarkEnd w:id="108"/>
      <w:r w:rsidDel="00000000" w:rsidR="00000000" w:rsidRPr="00000000">
        <w:rPr>
          <w:rFonts w:ascii="Garamond" w:cs="Garamond" w:eastAsia="Garamond" w:hAnsi="Garamond"/>
          <w:color w:val="000000"/>
          <w:sz w:val="26"/>
          <w:szCs w:val="26"/>
          <w:rtl w:val="0"/>
        </w:rPr>
        <w:t xml:space="preserve">Yang, Yang, and Kenneth C Land. 2008. “Age–Period–Cohort Analysis of Repeated Cross-Section Surveys: Fixed or Random Effects?.” Sociological methods &amp; research 36:  297-326.</w:t>
      </w:r>
      <w:r w:rsidDel="00000000" w:rsidR="00000000" w:rsidRPr="00000000">
        <w:rPr>
          <w:rtl w:val="0"/>
        </w:rPr>
      </w:r>
    </w:p>
    <w:p w:rsidR="00000000" w:rsidDel="00000000" w:rsidP="00000000" w:rsidRDefault="00000000" w:rsidRPr="00000000" w14:paraId="00000101">
      <w:pPr>
        <w:pStyle w:val="Heading6"/>
        <w:keepNext w:val="0"/>
        <w:keepLines w:val="0"/>
        <w:pageBreakBefore w:val="0"/>
        <w:spacing w:after="0" w:lineRule="auto"/>
        <w:ind w:left="720" w:hanging="720"/>
        <w:jc w:val="both"/>
        <w:rPr/>
      </w:pPr>
      <w:bookmarkStart w:colFirst="0" w:colLast="0" w:name="_zu0gcz" w:id="109"/>
      <w:bookmarkEnd w:id="109"/>
      <w:r w:rsidDel="00000000" w:rsidR="00000000" w:rsidRPr="00000000">
        <w:rPr>
          <w:rFonts w:ascii="Garamond" w:cs="Garamond" w:eastAsia="Garamond" w:hAnsi="Garamond"/>
          <w:color w:val="000000"/>
          <w:sz w:val="26"/>
          <w:szCs w:val="26"/>
          <w:rtl w:val="0"/>
        </w:rPr>
        <w:t xml:space="preserve">Zolberg, Vera. 1981. “Conflicting Visions in American Art Museums.” Theory and Society. Vol. 10 (1): 103-125.</w:t>
      </w:r>
      <w:r w:rsidDel="00000000" w:rsidR="00000000" w:rsidRPr="00000000">
        <w:rPr>
          <w:rtl w:val="0"/>
        </w:rPr>
      </w:r>
    </w:p>
    <w:p w:rsidR="00000000" w:rsidDel="00000000" w:rsidP="00000000" w:rsidRDefault="00000000" w:rsidRPr="00000000" w14:paraId="00000102">
      <w:pPr>
        <w:pStyle w:val="Heading6"/>
        <w:keepNext w:val="0"/>
        <w:keepLines w:val="0"/>
        <w:pageBreakBefore w:val="0"/>
        <w:spacing w:after="0" w:lineRule="auto"/>
        <w:ind w:left="720" w:hanging="720"/>
        <w:jc w:val="both"/>
        <w:rPr/>
      </w:pPr>
      <w:bookmarkStart w:colFirst="0" w:colLast="0" w:name="_3jtnz0s" w:id="110"/>
      <w:bookmarkEnd w:id="110"/>
      <w:r w:rsidDel="00000000" w:rsidR="00000000" w:rsidRPr="00000000">
        <w:rPr>
          <w:rFonts w:ascii="Garamond" w:cs="Garamond" w:eastAsia="Garamond" w:hAnsi="Garamond"/>
          <w:color w:val="000000"/>
          <w:sz w:val="26"/>
          <w:szCs w:val="26"/>
          <w:rtl w:val="0"/>
        </w:rPr>
        <w:t xml:space="preserve">Zolberg, Vera L. 1984. “American Art Museums: Sanctuary or Free-For-All?” Social Forces 63 (2): 377-392.</w:t>
      </w:r>
      <w:r w:rsidDel="00000000" w:rsidR="00000000" w:rsidRPr="00000000">
        <w:rPr>
          <w:rtl w:val="0"/>
        </w:rPr>
      </w:r>
    </w:p>
    <w:p w:rsidR="00000000" w:rsidDel="00000000" w:rsidP="00000000" w:rsidRDefault="00000000" w:rsidRPr="00000000" w14:paraId="00000103">
      <w:pPr>
        <w:pStyle w:val="Heading6"/>
        <w:keepNext w:val="0"/>
        <w:keepLines w:val="0"/>
        <w:pageBreakBefore w:val="0"/>
        <w:spacing w:after="0" w:lineRule="auto"/>
        <w:ind w:left="720" w:hanging="720"/>
        <w:jc w:val="both"/>
        <w:rPr/>
      </w:pPr>
      <w:bookmarkStart w:colFirst="0" w:colLast="0" w:name="_1yyy98l" w:id="111"/>
      <w:bookmarkEnd w:id="111"/>
      <w:r w:rsidDel="00000000" w:rsidR="00000000" w:rsidRPr="00000000">
        <w:rPr>
          <w:rFonts w:ascii="Garamond" w:cs="Garamond" w:eastAsia="Garamond" w:hAnsi="Garamond"/>
          <w:color w:val="000000"/>
          <w:sz w:val="26"/>
          <w:szCs w:val="26"/>
          <w:rtl w:val="0"/>
        </w:rPr>
        <w:t xml:space="preserve">Zolberg, Vera. 1986. “Tensions of Mission in American Art Museums.” Pp. 184-198 in Paul DiMaggio (ed.), Nonprofit Enterprise in the Arts: Studies in Mission and Constraint. New York: Oxford University Press.</w:t>
      </w:r>
      <w:r w:rsidDel="00000000" w:rsidR="00000000" w:rsidRPr="00000000">
        <w:rPr>
          <w:rtl w:val="0"/>
        </w:rPr>
      </w:r>
    </w:p>
    <w:p w:rsidR="00000000" w:rsidDel="00000000" w:rsidP="00000000" w:rsidRDefault="00000000" w:rsidRPr="00000000" w14:paraId="00000104">
      <w:pPr>
        <w:pStyle w:val="Heading6"/>
        <w:keepNext w:val="0"/>
        <w:keepLines w:val="0"/>
        <w:pageBreakBefore w:val="0"/>
        <w:spacing w:after="0" w:lineRule="auto"/>
        <w:jc w:val="both"/>
        <w:rPr/>
      </w:pPr>
      <w:bookmarkStart w:colFirst="0" w:colLast="0" w:name="_4iylrwe" w:id="112"/>
      <w:bookmarkEnd w:id="112"/>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6"/>
        <w:keepNext w:val="0"/>
        <w:keepLines w:val="0"/>
        <w:pageBreakBefore w:val="0"/>
        <w:spacing w:after="0" w:lineRule="auto"/>
        <w:jc w:val="both"/>
        <w:rPr/>
      </w:pPr>
      <w:bookmarkStart w:colFirst="0" w:colLast="0" w:name="_2y3w247" w:id="113"/>
      <w:bookmarkEnd w:id="113"/>
      <w:r w:rsidDel="00000000" w:rsidR="00000000" w:rsidRPr="00000000">
        <w:rPr>
          <w:rtl w:val="0"/>
        </w:rPr>
      </w:r>
    </w:p>
    <w:p w:rsidR="00000000" w:rsidDel="00000000" w:rsidP="00000000" w:rsidRDefault="00000000" w:rsidRPr="00000000" w14:paraId="00000107">
      <w:pPr>
        <w:pStyle w:val="Heading6"/>
        <w:keepNext w:val="0"/>
        <w:keepLines w:val="0"/>
        <w:pageBreakBefore w:val="0"/>
        <w:spacing w:after="0" w:line="240" w:lineRule="auto"/>
        <w:jc w:val="both"/>
        <w:rPr/>
      </w:pPr>
      <w:bookmarkStart w:colFirst="0" w:colLast="0" w:name="_1d96cc0" w:id="114"/>
      <w:bookmarkEnd w:id="114"/>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Jazz</w:t>
            </w:r>
          </w:p>
        </w:tc>
        <w:tc>
          <w:tcPr>
            <w:tcMar>
              <w:left w:w="108.0" w:type="dxa"/>
              <w:right w:w="108.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9.4</w:t>
            </w:r>
          </w:p>
        </w:tc>
        <w:tc>
          <w:tcPr>
            <w:tcMar>
              <w:left w:w="108.0" w:type="dxa"/>
              <w:right w:w="108.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9.5</w:t>
            </w:r>
          </w:p>
        </w:tc>
        <w:tc>
          <w:tcPr>
            <w:tcMar>
              <w:left w:w="108.0" w:type="dxa"/>
              <w:right w:w="108.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10.3</w:t>
            </w:r>
          </w:p>
        </w:tc>
        <w:tc>
          <w:tcPr>
            <w:tcMar>
              <w:left w:w="108.0" w:type="dxa"/>
              <w:right w:w="108.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10.4</w:t>
            </w:r>
          </w:p>
        </w:tc>
        <w:tc>
          <w:tcPr>
            <w:tcMar>
              <w:left w:w="108.0" w:type="dxa"/>
              <w:right w:w="108.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8.4</w:t>
            </w:r>
          </w:p>
        </w:tc>
        <w:tc>
          <w:tcPr>
            <w:tcMar>
              <w:left w:w="108.0" w:type="dxa"/>
              <w:right w:w="108.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8.6</w:t>
            </w:r>
          </w:p>
        </w:tc>
        <w:tc>
          <w:tcPr>
            <w:tcMar>
              <w:left w:w="108.0" w:type="dxa"/>
              <w:right w:w="108.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17223</w:t>
            </w:r>
          </w:p>
        </w:tc>
        <w:tc>
          <w:tcPr>
            <w:tcMar>
              <w:left w:w="108.0" w:type="dxa"/>
              <w:right w:w="108.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13654</w:t>
            </w:r>
          </w:p>
        </w:tc>
        <w:tc>
          <w:tcPr>
            <w:tcMar>
              <w:left w:w="108.0" w:type="dxa"/>
              <w:right w:w="108.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12728</w:t>
            </w:r>
          </w:p>
        </w:tc>
        <w:tc>
          <w:tcPr>
            <w:tcMar>
              <w:left w:w="108.0" w:type="dxa"/>
              <w:right w:w="108.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17075</w:t>
            </w:r>
          </w:p>
        </w:tc>
        <w:tc>
          <w:tcPr>
            <w:tcMar>
              <w:left w:w="108.0" w:type="dxa"/>
              <w:right w:w="108.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18390</w:t>
            </w:r>
          </w:p>
        </w:tc>
        <w:tc>
          <w:tcPr>
            <w:tcMar>
              <w:left w:w="108.0" w:type="dxa"/>
              <w:right w:w="108.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17987</w:t>
            </w:r>
          </w:p>
        </w:tc>
        <w:tc>
          <w:tcPr>
            <w:tcMar>
              <w:left w:w="108.0" w:type="dxa"/>
              <w:right w:w="108.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97057</w:t>
            </w:r>
          </w:p>
        </w:tc>
      </w:tr>
      <w:tr>
        <w:trPr>
          <w:cantSplit w:val="0"/>
          <w:tblHeader w:val="0"/>
        </w:trPr>
        <w:tc>
          <w:tcPr>
            <w:tcMar>
              <w:left w:w="108.0" w:type="dxa"/>
              <w:right w:w="108.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Classical</w:t>
            </w:r>
          </w:p>
        </w:tc>
        <w:tc>
          <w:tcPr>
            <w:tcMar>
              <w:left w:w="108.0" w:type="dxa"/>
              <w:right w:w="108.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13.2</w:t>
            </w:r>
          </w:p>
        </w:tc>
        <w:tc>
          <w:tcPr>
            <w:tcMar>
              <w:left w:w="108.0" w:type="dxa"/>
              <w:right w:w="108.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13.3</w:t>
            </w:r>
          </w:p>
        </w:tc>
        <w:tc>
          <w:tcPr>
            <w:tcMar>
              <w:left w:w="108.0" w:type="dxa"/>
              <w:right w:w="108.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12.6</w:t>
            </w:r>
          </w:p>
        </w:tc>
        <w:tc>
          <w:tcPr>
            <w:tcMar>
              <w:left w:w="108.0" w:type="dxa"/>
              <w:right w:w="108.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11.8</w:t>
            </w:r>
          </w:p>
        </w:tc>
        <w:tc>
          <w:tcPr>
            <w:tcMar>
              <w:left w:w="108.0" w:type="dxa"/>
              <w:right w:w="108.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10.1</w:t>
            </w:r>
          </w:p>
        </w:tc>
        <w:tc>
          <w:tcPr>
            <w:tcMar>
              <w:left w:w="108.0" w:type="dxa"/>
              <w:right w:w="108.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10.0</w:t>
            </w:r>
          </w:p>
        </w:tc>
        <w:tc>
          <w:tcPr>
            <w:tcMar>
              <w:left w:w="108.0" w:type="dxa"/>
              <w:right w:w="108.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17245</w:t>
            </w:r>
          </w:p>
        </w:tc>
        <w:tc>
          <w:tcPr>
            <w:tcMar>
              <w:left w:w="108.0" w:type="dxa"/>
              <w:right w:w="108.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13669</w:t>
            </w:r>
          </w:p>
        </w:tc>
        <w:tc>
          <w:tcPr>
            <w:tcMar>
              <w:left w:w="108.0" w:type="dxa"/>
              <w:right w:w="108.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12724</w:t>
            </w:r>
          </w:p>
        </w:tc>
        <w:tc>
          <w:tcPr>
            <w:tcMar>
              <w:left w:w="108.0" w:type="dxa"/>
              <w:right w:w="108.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17074</w:t>
            </w:r>
          </w:p>
        </w:tc>
        <w:tc>
          <w:tcPr>
            <w:tcMar>
              <w:left w:w="108.0" w:type="dxa"/>
              <w:right w:w="108.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18343</w:t>
            </w:r>
          </w:p>
        </w:tc>
        <w:tc>
          <w:tcPr>
            <w:tcMar>
              <w:left w:w="108.0" w:type="dxa"/>
              <w:right w:w="108.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17917</w:t>
            </w:r>
          </w:p>
        </w:tc>
        <w:tc>
          <w:tcPr>
            <w:tcMar>
              <w:left w:w="108.0" w:type="dxa"/>
              <w:right w:w="108.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r>
      <w:tr>
        <w:trPr>
          <w:cantSplit w:val="0"/>
          <w:tblHeader w:val="0"/>
        </w:trPr>
        <w:tc>
          <w:tcPr>
            <w:tcMar>
              <w:left w:w="108.0" w:type="dxa"/>
              <w:right w:w="108.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w:t>
            </w:r>
          </w:p>
        </w:tc>
        <w:tc>
          <w:tcPr>
            <w:tcMar>
              <w:left w:w="108.0" w:type="dxa"/>
              <w:right w:w="108.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2.8</w:t>
            </w:r>
          </w:p>
        </w:tc>
        <w:tc>
          <w:tcPr>
            <w:tcMar>
              <w:left w:w="108.0" w:type="dxa"/>
              <w:right w:w="108.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108.0" w:type="dxa"/>
              <w:right w:w="108.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w:t>
            </w:r>
          </w:p>
        </w:tc>
        <w:tc>
          <w:tcPr>
            <w:tcMar>
              <w:left w:w="108.0" w:type="dxa"/>
              <w:right w:w="108.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w:t>
            </w:r>
          </w:p>
        </w:tc>
        <w:tc>
          <w:tcPr>
            <w:tcMar>
              <w:left w:w="108.0" w:type="dxa"/>
              <w:right w:w="108.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w:t>
            </w:r>
          </w:p>
        </w:tc>
        <w:tc>
          <w:tcPr>
            <w:tcMar>
              <w:left w:w="108.0" w:type="dxa"/>
              <w:right w:w="108.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17234</w:t>
            </w:r>
          </w:p>
        </w:tc>
        <w:tc>
          <w:tcPr>
            <w:tcMar>
              <w:left w:w="108.0" w:type="dxa"/>
              <w:right w:w="108.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13654</w:t>
            </w:r>
          </w:p>
        </w:tc>
        <w:tc>
          <w:tcPr>
            <w:tcMar>
              <w:left w:w="108.0" w:type="dxa"/>
              <w:right w:w="108.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12724</w:t>
            </w:r>
          </w:p>
        </w:tc>
        <w:tc>
          <w:tcPr>
            <w:tcMar>
              <w:left w:w="108.0" w:type="dxa"/>
              <w:right w:w="108.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17082</w:t>
            </w:r>
          </w:p>
        </w:tc>
        <w:tc>
          <w:tcPr>
            <w:tcMar>
              <w:left w:w="108.0" w:type="dxa"/>
              <w:right w:w="108.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18341</w:t>
            </w:r>
          </w:p>
        </w:tc>
        <w:tc>
          <w:tcPr>
            <w:tcMar>
              <w:left w:w="108.0" w:type="dxa"/>
              <w:right w:w="108.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17907</w:t>
            </w:r>
          </w:p>
        </w:tc>
        <w:tc>
          <w:tcPr>
            <w:tcMar>
              <w:left w:w="108.0" w:type="dxa"/>
              <w:right w:w="108.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96942</w:t>
            </w:r>
          </w:p>
        </w:tc>
      </w:tr>
      <w:tr>
        <w:trPr>
          <w:cantSplit w:val="0"/>
          <w:tblHeader w:val="0"/>
        </w:trPr>
        <w:tc>
          <w:tcPr>
            <w:tcMar>
              <w:left w:w="108.0" w:type="dxa"/>
              <w:right w:w="108.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Musicals</w:t>
            </w:r>
          </w:p>
        </w:tc>
        <w:tc>
          <w:tcPr>
            <w:tcMar>
              <w:left w:w="108.0" w:type="dxa"/>
              <w:right w:w="108.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18.8</w:t>
            </w:r>
          </w:p>
        </w:tc>
        <w:tc>
          <w:tcPr>
            <w:tcMar>
              <w:left w:w="108.0" w:type="dxa"/>
              <w:right w:w="108.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17.5</w:t>
            </w:r>
          </w:p>
        </w:tc>
        <w:tc>
          <w:tcPr>
            <w:tcMar>
              <w:left w:w="108.0" w:type="dxa"/>
              <w:right w:w="108.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w:t>
            </w:r>
          </w:p>
        </w:tc>
        <w:tc>
          <w:tcPr>
            <w:tcMar>
              <w:left w:w="108.0" w:type="dxa"/>
              <w:right w:w="108.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w:t>
            </w:r>
          </w:p>
        </w:tc>
        <w:tc>
          <w:tcPr>
            <w:tcMar>
              <w:left w:w="108.0" w:type="dxa"/>
              <w:right w:w="108.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w:t>
            </w:r>
          </w:p>
        </w:tc>
        <w:tc>
          <w:tcPr>
            <w:tcMar>
              <w:left w:w="108.0" w:type="dxa"/>
              <w:right w:w="108.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16.6</w:t>
            </w:r>
          </w:p>
        </w:tc>
        <w:tc>
          <w:tcPr>
            <w:tcMar>
              <w:left w:w="108.0" w:type="dxa"/>
              <w:right w:w="108.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17243</w:t>
            </w:r>
          </w:p>
        </w:tc>
        <w:tc>
          <w:tcPr>
            <w:tcMar>
              <w:left w:w="108.0" w:type="dxa"/>
              <w:right w:w="108.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13666</w:t>
            </w:r>
          </w:p>
        </w:tc>
        <w:tc>
          <w:tcPr>
            <w:tcMar>
              <w:left w:w="108.0" w:type="dxa"/>
              <w:right w:w="108.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12720</w:t>
            </w:r>
          </w:p>
        </w:tc>
        <w:tc>
          <w:tcPr>
            <w:tcMar>
              <w:left w:w="108.0" w:type="dxa"/>
              <w:right w:w="108.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17075</w:t>
            </w:r>
          </w:p>
        </w:tc>
        <w:tc>
          <w:tcPr>
            <w:tcMar>
              <w:left w:w="108.0" w:type="dxa"/>
              <w:right w:w="108.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18315</w:t>
            </w:r>
          </w:p>
        </w:tc>
        <w:tc>
          <w:tcPr>
            <w:tcMar>
              <w:left w:w="108.0" w:type="dxa"/>
              <w:right w:w="108.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17880</w:t>
            </w:r>
          </w:p>
        </w:tc>
        <w:tc>
          <w:tcPr>
            <w:tcMar>
              <w:left w:w="108.0" w:type="dxa"/>
              <w:right w:w="108.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96899</w:t>
            </w:r>
          </w:p>
        </w:tc>
      </w:tr>
      <w:tr>
        <w:trPr>
          <w:cantSplit w:val="0"/>
          <w:tblHeader w:val="0"/>
        </w:trPr>
        <w:tc>
          <w:tcPr>
            <w:tcMar>
              <w:left w:w="108.0" w:type="dxa"/>
              <w:right w:w="108.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Ballet</w:t>
            </w:r>
          </w:p>
        </w:tc>
        <w:tc>
          <w:tcPr>
            <w:tcMar>
              <w:left w:w="108.0" w:type="dxa"/>
              <w:right w:w="108.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w:t>
            </w:r>
          </w:p>
        </w:tc>
        <w:tc>
          <w:tcPr>
            <w:tcMar>
              <w:left w:w="108.0" w:type="dxa"/>
              <w:right w:w="108.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w:t>
            </w:r>
          </w:p>
        </w:tc>
        <w:tc>
          <w:tcPr>
            <w:tcMar>
              <w:left w:w="108.0" w:type="dxa"/>
              <w:right w:w="108.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4.7</w:t>
            </w:r>
          </w:p>
        </w:tc>
        <w:tc>
          <w:tcPr>
            <w:tcMar>
              <w:left w:w="108.0" w:type="dxa"/>
              <w:right w:w="108.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3.8</w:t>
            </w:r>
          </w:p>
        </w:tc>
        <w:tc>
          <w:tcPr>
            <w:tcMar>
              <w:left w:w="108.0" w:type="dxa"/>
              <w:right w:w="108.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17244</w:t>
            </w:r>
          </w:p>
        </w:tc>
        <w:tc>
          <w:tcPr>
            <w:tcMar>
              <w:left w:w="108.0" w:type="dxa"/>
              <w:right w:w="108.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13672</w:t>
            </w:r>
          </w:p>
        </w:tc>
        <w:tc>
          <w:tcPr>
            <w:tcMar>
              <w:left w:w="108.0" w:type="dxa"/>
              <w:right w:w="108.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12712</w:t>
            </w:r>
          </w:p>
        </w:tc>
        <w:tc>
          <w:tcPr>
            <w:tcMar>
              <w:left w:w="108.0" w:type="dxa"/>
              <w:right w:w="108.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17081</w:t>
            </w:r>
          </w:p>
        </w:tc>
        <w:tc>
          <w:tcPr>
            <w:tcMar>
              <w:left w:w="108.0" w:type="dxa"/>
              <w:right w:w="108.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18300</w:t>
            </w:r>
          </w:p>
        </w:tc>
        <w:tc>
          <w:tcPr>
            <w:tcMar>
              <w:left w:w="108.0" w:type="dxa"/>
              <w:right w:w="108.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17866</w:t>
            </w:r>
          </w:p>
        </w:tc>
        <w:tc>
          <w:tcPr>
            <w:tcMar>
              <w:left w:w="108.0" w:type="dxa"/>
              <w:right w:w="108.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96875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 Museum</w:t>
            </w:r>
          </w:p>
        </w:tc>
        <w:tc>
          <w:tcPr>
            <w:tcMar>
              <w:left w:w="108.0" w:type="dxa"/>
              <w:right w:w="108.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22.1</w:t>
            </w:r>
          </w:p>
        </w:tc>
        <w:tc>
          <w:tcPr>
            <w:tcMar>
              <w:left w:w="108.0" w:type="dxa"/>
              <w:right w:w="108.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22.7</w:t>
            </w:r>
          </w:p>
        </w:tc>
        <w:tc>
          <w:tcPr>
            <w:tcMar>
              <w:left w:w="108.0" w:type="dxa"/>
              <w:right w:w="108.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26.4</w:t>
            </w:r>
          </w:p>
        </w:tc>
        <w:tc>
          <w:tcPr>
            <w:tcMar>
              <w:left w:w="108.0" w:type="dxa"/>
              <w:right w:w="108.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27.0</w:t>
            </w:r>
          </w:p>
        </w:tc>
        <w:tc>
          <w:tcPr>
            <w:tcMar>
              <w:left w:w="108.0" w:type="dxa"/>
              <w:right w:w="108.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23.9</w:t>
            </w:r>
          </w:p>
        </w:tc>
        <w:tc>
          <w:tcPr>
            <w:tcMar>
              <w:left w:w="108.0" w:type="dxa"/>
              <w:right w:w="108.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22.9</w:t>
            </w:r>
          </w:p>
        </w:tc>
        <w:tc>
          <w:tcPr>
            <w:tcMar>
              <w:left w:w="108.0" w:type="dxa"/>
              <w:right w:w="108.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17240</w:t>
            </w:r>
          </w:p>
        </w:tc>
        <w:tc>
          <w:tcPr>
            <w:tcMar>
              <w:left w:w="108.0" w:type="dxa"/>
              <w:right w:w="108.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13668</w:t>
            </w:r>
          </w:p>
        </w:tc>
        <w:tc>
          <w:tcPr>
            <w:tcMar>
              <w:left w:w="108.0" w:type="dxa"/>
              <w:right w:w="108.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12716</w:t>
            </w:r>
          </w:p>
        </w:tc>
        <w:tc>
          <w:tcPr>
            <w:tcMar>
              <w:left w:w="108.0" w:type="dxa"/>
              <w:right w:w="108.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17053</w:t>
            </w:r>
          </w:p>
        </w:tc>
        <w:tc>
          <w:tcPr>
            <w:tcMar>
              <w:left w:w="108.0" w:type="dxa"/>
              <w:right w:w="108.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18248</w:t>
            </w:r>
          </w:p>
        </w:tc>
        <w:tc>
          <w:tcPr>
            <w:tcMar>
              <w:left w:w="108.0" w:type="dxa"/>
              <w:right w:w="108.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17798</w:t>
            </w:r>
          </w:p>
        </w:tc>
        <w:tc>
          <w:tcPr>
            <w:tcMar>
              <w:left w:w="108.0" w:type="dxa"/>
              <w:right w:w="108.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 Festival</w:t>
            </w:r>
          </w:p>
        </w:tc>
        <w:tc>
          <w:tcPr>
            <w:tcMar>
              <w:left w:w="108.0" w:type="dxa"/>
              <w:right w:w="108.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39.3</w:t>
            </w:r>
          </w:p>
        </w:tc>
        <w:tc>
          <w:tcPr>
            <w:tcMar>
              <w:left w:w="108.0" w:type="dxa"/>
              <w:right w:w="108.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40.7</w:t>
            </w:r>
          </w:p>
        </w:tc>
        <w:tc>
          <w:tcPr>
            <w:tcMar>
              <w:left w:w="108.0" w:type="dxa"/>
              <w:right w:w="108.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40.9</w:t>
            </w:r>
          </w:p>
        </w:tc>
        <w:tc>
          <w:tcPr>
            <w:tcMar>
              <w:left w:w="108.0" w:type="dxa"/>
              <w:right w:w="108.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34.8</w:t>
            </w:r>
          </w:p>
        </w:tc>
        <w:tc>
          <w:tcPr>
            <w:tcMar>
              <w:left w:w="108.0" w:type="dxa"/>
              <w:right w:w="108.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26.7</w:t>
            </w:r>
          </w:p>
        </w:tc>
        <w:tc>
          <w:tcPr>
            <w:tcMar>
              <w:left w:w="108.0" w:type="dxa"/>
              <w:right w:w="108.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25.0</w:t>
            </w:r>
          </w:p>
        </w:tc>
        <w:tc>
          <w:tcPr>
            <w:tcMar>
              <w:left w:w="108.0" w:type="dxa"/>
              <w:right w:w="108.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4243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2349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12718</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18212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17779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72351</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Hist. Monument</w:t>
            </w:r>
          </w:p>
        </w:tc>
        <w:tc>
          <w:tcPr>
            <w:tcMar>
              <w:left w:w="108.0" w:type="dxa"/>
              <w:right w:w="108.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37.0</w:t>
            </w:r>
          </w:p>
        </w:tc>
        <w:tc>
          <w:tcPr>
            <w:tcMar>
              <w:left w:w="108.0" w:type="dxa"/>
              <w:right w:w="108.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36.6</w:t>
            </w:r>
          </w:p>
        </w:tc>
        <w:tc>
          <w:tcPr>
            <w:tcMar>
              <w:left w:w="108.0" w:type="dxa"/>
              <w:right w:w="108.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34.5</w:t>
            </w:r>
          </w:p>
        </w:tc>
        <w:tc>
          <w:tcPr>
            <w:tcMar>
              <w:left w:w="108.0" w:type="dxa"/>
              <w:right w:w="108.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32.1</w:t>
            </w:r>
          </w:p>
        </w:tc>
        <w:tc>
          <w:tcPr>
            <w:tcMar>
              <w:left w:w="108.0" w:type="dxa"/>
              <w:right w:w="108.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27.5</w:t>
            </w:r>
          </w:p>
        </w:tc>
        <w:tc>
          <w:tcPr>
            <w:tcMar>
              <w:left w:w="108.0" w:type="dxa"/>
              <w:right w:w="108.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26.4</w:t>
            </w:r>
          </w:p>
        </w:tc>
        <w:tc>
          <w:tcPr>
            <w:tcMar>
              <w:left w:w="108.0" w:type="dxa"/>
              <w:right w:w="108.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4242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2351</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12718</w:t>
            </w:r>
          </w:p>
        </w:tc>
        <w:tc>
          <w:tcPr>
            <w:tcMar>
              <w:left w:w="108.0" w:type="dxa"/>
              <w:right w:w="108.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17050</w:t>
            </w:r>
          </w:p>
        </w:tc>
        <w:tc>
          <w:tcPr>
            <w:tcMar>
              <w:left w:w="108.0" w:type="dxa"/>
              <w:right w:w="108.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18212</w:t>
            </w:r>
          </w:p>
        </w:tc>
        <w:tc>
          <w:tcPr>
            <w:tcMar>
              <w:left w:w="108.0" w:type="dxa"/>
              <w:right w:w="108.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17738</w:t>
            </w:r>
          </w:p>
        </w:tc>
        <w:tc>
          <w:tcPr>
            <w:tcMar>
              <w:left w:w="108.0" w:type="dxa"/>
              <w:right w:w="108.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72311</w:t>
            </w:r>
          </w:p>
        </w:tc>
      </w:tr>
      <w:tr>
        <w:trPr>
          <w:cantSplit w:val="0"/>
          <w:tblHeader w:val="0"/>
        </w:trPr>
        <w:tc>
          <w:tcPr>
            <w:tcMar>
              <w:left w:w="108.0" w:type="dxa"/>
              <w:right w:w="108.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w:t>
            </w:r>
          </w:p>
        </w:tc>
        <w:tc>
          <w:tcPr>
            <w:tcMar>
              <w:left w:w="108.0" w:type="dxa"/>
              <w:right w:w="108.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97179</w:t>
            </w:r>
          </w:p>
        </w:tc>
        <w:tc>
          <w:tcPr>
            <w:tcMar>
              <w:left w:w="108.0" w:type="dxa"/>
              <w:right w:w="108.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A0">
      <w:pPr>
        <w:pStyle w:val="Heading4"/>
        <w:pageBreakBefore w:val="0"/>
        <w:spacing w:before="0" w:line="360" w:lineRule="auto"/>
        <w:rPr/>
      </w:pPr>
      <w:bookmarkStart w:colFirst="0" w:colLast="0" w:name="_3x8tuzt" w:id="115"/>
      <w:bookmarkEnd w:id="115"/>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A1">
      <w:pPr>
        <w:pStyle w:val="Heading4"/>
        <w:pageBreakBefore w:val="0"/>
        <w:spacing w:before="0" w:line="360" w:lineRule="auto"/>
        <w:rPr/>
      </w:pPr>
      <w:bookmarkStart w:colFirst="0" w:colLast="0" w:name="_2ce457m" w:id="116"/>
      <w:bookmarkEnd w:id="116"/>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r w:rsidDel="00000000" w:rsidR="00000000" w:rsidRPr="00000000">
        <w:rPr>
          <w:rtl w:val="0"/>
        </w:rPr>
      </w:r>
    </w:p>
    <w:p w:rsidR="00000000" w:rsidDel="00000000" w:rsidP="00000000" w:rsidRDefault="00000000" w:rsidRPr="00000000" w14:paraId="000001A2">
      <w:pPr>
        <w:pStyle w:val="Heading4"/>
        <w:pageBreakBefore w:val="0"/>
        <w:spacing w:before="0" w:line="360" w:lineRule="auto"/>
        <w:rPr/>
      </w:pPr>
      <w:bookmarkStart w:colFirst="0" w:colLast="0" w:name="_rjefff" w:id="117"/>
      <w:bookmarkEnd w:id="117"/>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4"/>
        <w:pageBreakBefore w:val="0"/>
        <w:spacing w:before="0" w:line="360" w:lineRule="auto"/>
        <w:rPr/>
      </w:pPr>
      <w:bookmarkStart w:colFirst="0" w:colLast="0" w:name="_3bj1y38" w:id="118"/>
      <w:bookmarkEnd w:id="118"/>
      <w:r w:rsidDel="00000000" w:rsidR="00000000" w:rsidRPr="00000000">
        <w:rPr>
          <w:rtl w:val="0"/>
        </w:rPr>
      </w:r>
    </w:p>
    <w:p w:rsidR="00000000" w:rsidDel="00000000" w:rsidP="00000000" w:rsidRDefault="00000000" w:rsidRPr="00000000" w14:paraId="000001A5">
      <w:pPr>
        <w:pStyle w:val="Heading4"/>
        <w:pageBreakBefore w:val="0"/>
        <w:spacing w:before="0" w:line="240" w:lineRule="auto"/>
        <w:rPr/>
      </w:pPr>
      <w:bookmarkStart w:colFirst="0" w:colLast="0" w:name="_1qoc8b1" w:id="119"/>
      <w:bookmarkEnd w:id="119"/>
      <w:r w:rsidDel="00000000" w:rsidR="00000000" w:rsidRPr="00000000">
        <w:rPr>
          <w:b w:val="1"/>
          <w:bCs w:val="1"/>
          <w:sz w:val="26"/>
          <w:szCs w:val="26"/>
          <w:rtl w:val="0"/>
        </w:rPr>
        <w:t xml:space="preserve">Table 2. Fit Statistics For Nested Age, Period, and Cohort Effect Models for All Eight “Core” Participation Activities in the Cumulative SPPA Data File, 1982-2012.</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Age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p>
        </w:tc>
        <w:tc>
          <w:tcPr>
            <w:shd w:fill="666666" w:val="clear"/>
            <w:tcMar>
              <w:left w:w="40.0" w:type="dxa"/>
              <w:right w:w="40.0" w:type="dxa"/>
            </w:tcMar>
            <w:vAlign w:val="bottom"/>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-29,732.69</w:t>
            </w:r>
          </w:p>
        </w:tc>
        <w:tc>
          <w:tcPr>
            <w:tcMar>
              <w:left w:w="40.0" w:type="dxa"/>
              <w:right w:w="40.0" w:type="dxa"/>
            </w:tcMar>
            <w:vAlign w:val="bottom"/>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59495.37168</w:t>
            </w:r>
          </w:p>
        </w:tc>
        <w:tc>
          <w:tcPr>
            <w:tcMar>
              <w:left w:w="40.0" w:type="dxa"/>
              <w:right w:w="40.0" w:type="dxa"/>
            </w:tcMar>
            <w:vAlign w:val="bottom"/>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-34,854.72</w:t>
            </w:r>
          </w:p>
        </w:tc>
        <w:tc>
          <w:tcPr>
            <w:tcMar>
              <w:left w:w="40.0" w:type="dxa"/>
              <w:right w:w="40.0" w:type="dxa"/>
            </w:tcMar>
            <w:vAlign w:val="bottom"/>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w:t>
            </w:r>
          </w:p>
        </w:tc>
        <w:tc>
          <w:tcPr>
            <w:tcMar>
              <w:left w:w="40.0" w:type="dxa"/>
              <w:right w:w="40.0" w:type="dxa"/>
            </w:tcMar>
            <w:vAlign w:val="bottom"/>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69741.44052</w:t>
            </w:r>
          </w:p>
        </w:tc>
        <w:tc>
          <w:tcPr>
            <w:tcMar>
              <w:left w:w="40.0" w:type="dxa"/>
              <w:right w:w="40.0" w:type="dxa"/>
            </w:tcMar>
            <w:vAlign w:val="bottom"/>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-12,278.41</w:t>
            </w:r>
          </w:p>
        </w:tc>
        <w:tc>
          <w:tcPr>
            <w:tcMar>
              <w:left w:w="40.0" w:type="dxa"/>
              <w:right w:w="40.0" w:type="dxa"/>
            </w:tcMar>
            <w:vAlign w:val="bottom"/>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24586.8259</w:t>
            </w:r>
          </w:p>
        </w:tc>
        <w:tc>
          <w:tcPr>
            <w:tcMar>
              <w:left w:w="40.0" w:type="dxa"/>
              <w:right w:w="40.0" w:type="dxa"/>
            </w:tcMar>
            <w:vAlign w:val="bottom"/>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-44,793.31</w:t>
            </w:r>
          </w:p>
        </w:tc>
        <w:tc>
          <w:tcPr>
            <w:tcMar>
              <w:left w:w="40.0" w:type="dxa"/>
              <w:right w:w="40.0" w:type="dxa"/>
            </w:tcMar>
            <w:vAlign w:val="bottom"/>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89616.61887</w:t>
            </w:r>
          </w:p>
        </w:tc>
        <w:tc>
          <w:tcPr>
            <w:tcMar>
              <w:left w:w="40.0" w:type="dxa"/>
              <w:right w:w="40.0" w:type="dxa"/>
            </w:tcMar>
            <w:vAlign w:val="bottom"/>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-15,721.92</w:t>
            </w:r>
          </w:p>
        </w:tc>
        <w:tc>
          <w:tcPr>
            <w:tcMar>
              <w:left w:w="40.0" w:type="dxa"/>
              <w:right w:w="40.0" w:type="dxa"/>
            </w:tcMar>
            <w:vAlign w:val="bottom"/>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31473.84271</w:t>
            </w:r>
          </w:p>
        </w:tc>
        <w:tc>
          <w:tcPr>
            <w:tcMar>
              <w:left w:w="40.0" w:type="dxa"/>
              <w:right w:w="40.0" w:type="dxa"/>
            </w:tcMar>
            <w:vAlign w:val="bottom"/>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-52,949.19</w:t>
            </w:r>
          </w:p>
        </w:tc>
        <w:tc>
          <w:tcPr>
            <w:tcMar>
              <w:left w:w="40.0" w:type="dxa"/>
              <w:right w:w="40.0" w:type="dxa"/>
            </w:tcMar>
            <w:vAlign w:val="bottom"/>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w:t>
            </w:r>
          </w:p>
        </w:tc>
        <w:tc>
          <w:tcPr>
            <w:tcMar>
              <w:left w:w="40.0" w:type="dxa"/>
              <w:right w:w="40.0" w:type="dxa"/>
            </w:tcMar>
            <w:vAlign w:val="bottom"/>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105930.388</w:t>
            </w:r>
          </w:p>
        </w:tc>
        <w:tc>
          <w:tcPr>
            <w:tcMar>
              <w:left w:w="40.0" w:type="dxa"/>
              <w:right w:w="40.0" w:type="dxa"/>
            </w:tcMar>
            <w:vAlign w:val="bottom"/>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-44,697.44</w:t>
            </w:r>
          </w:p>
        </w:tc>
        <w:tc>
          <w:tcPr>
            <w:tcMar>
              <w:left w:w="40.0" w:type="dxa"/>
              <w:right w:w="40.0" w:type="dxa"/>
            </w:tcMar>
            <w:vAlign w:val="bottom"/>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89424.88631</w:t>
            </w:r>
          </w:p>
        </w:tc>
        <w:tc>
          <w:tcPr>
            <w:tcMar>
              <w:left w:w="40.0" w:type="dxa"/>
              <w:right w:w="40.0" w:type="dxa"/>
            </w:tcMar>
            <w:vAlign w:val="bottom"/>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-43,764.12</w:t>
            </w:r>
          </w:p>
        </w:tc>
        <w:tc>
          <w:tcPr>
            <w:tcMar>
              <w:left w:w="40.0" w:type="dxa"/>
              <w:right w:w="40.0" w:type="dxa"/>
            </w:tcMar>
            <w:vAlign w:val="bottom"/>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87558.24273</w:t>
            </w:r>
          </w:p>
        </w:tc>
        <w:tc>
          <w:tcPr>
            <w:tcMar>
              <w:left w:w="40.0" w:type="dxa"/>
              <w:right w:w="40.0" w:type="dxa"/>
            </w:tcMar>
            <w:vAlign w:val="bottom"/>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Age + Period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p>
        </w:tc>
        <w:tc>
          <w:tcPr>
            <w:shd w:fill="666666" w:val="clear"/>
            <w:tcMar>
              <w:left w:w="40.0" w:type="dxa"/>
              <w:right w:w="40.0" w:type="dxa"/>
            </w:tcMar>
            <w:vAlign w:val="bottom"/>
          </w:tcPr>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-29,704.98</w:t>
            </w:r>
          </w:p>
        </w:tc>
        <w:tc>
          <w:tcPr>
            <w:tcMar>
              <w:left w:w="40.0" w:type="dxa"/>
              <w:right w:w="40.0" w:type="dxa"/>
            </w:tcMar>
            <w:vAlign w:val="bottom"/>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59449.96511</w:t>
            </w:r>
          </w:p>
        </w:tc>
        <w:tc>
          <w:tcPr>
            <w:tcMar>
              <w:left w:w="40.0" w:type="dxa"/>
              <w:right w:w="40.0" w:type="dxa"/>
            </w:tcMar>
            <w:vAlign w:val="bottom"/>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Jazz</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-34,738.56</w:t>
            </w:r>
          </w:p>
        </w:tc>
        <w:tc>
          <w:tcPr>
            <w:tcMar>
              <w:left w:w="40.0" w:type="dxa"/>
              <w:right w:w="40.0" w:type="dxa"/>
            </w:tcMar>
            <w:vAlign w:val="bottom"/>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21</w:t>
            </w:r>
          </w:p>
        </w:tc>
        <w:tc>
          <w:tcPr>
            <w:tcMar>
              <w:left w:w="40.0" w:type="dxa"/>
              <w:right w:w="40.0" w:type="dxa"/>
            </w:tcMar>
            <w:vAlign w:val="bottom"/>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69519.11834</w:t>
            </w:r>
          </w:p>
        </w:tc>
        <w:tc>
          <w:tcPr>
            <w:tcMar>
              <w:left w:w="40.0" w:type="dxa"/>
              <w:right w:w="40.0" w:type="dxa"/>
            </w:tcMar>
            <w:vAlign w:val="bottom"/>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Classical</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-12,245.92</w:t>
            </w:r>
          </w:p>
        </w:tc>
        <w:tc>
          <w:tcPr>
            <w:tcMar>
              <w:left w:w="40.0" w:type="dxa"/>
              <w:right w:w="40.0" w:type="dxa"/>
            </w:tcMar>
            <w:vAlign w:val="bottom"/>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24531.83063</w:t>
            </w:r>
          </w:p>
        </w:tc>
        <w:tc>
          <w:tcPr>
            <w:tcMar>
              <w:left w:w="40.0" w:type="dxa"/>
              <w:right w:w="40.0" w:type="dxa"/>
            </w:tcMar>
            <w:vAlign w:val="bottom"/>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Opera</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-44,774.71</w:t>
            </w:r>
          </w:p>
        </w:tc>
        <w:tc>
          <w:tcPr>
            <w:tcMar>
              <w:left w:w="40.0" w:type="dxa"/>
              <w:right w:w="40.0" w:type="dxa"/>
            </w:tcMar>
            <w:vAlign w:val="bottom"/>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89589.41861</w:t>
            </w:r>
          </w:p>
        </w:tc>
        <w:tc>
          <w:tcPr>
            <w:tcMar>
              <w:left w:w="40.0" w:type="dxa"/>
              <w:right w:w="40.0" w:type="dxa"/>
            </w:tcMar>
            <w:vAlign w:val="bottom"/>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Musical</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-15,676.87</w:t>
            </w:r>
          </w:p>
        </w:tc>
        <w:tc>
          <w:tcPr>
            <w:tcMar>
              <w:left w:w="40.0" w:type="dxa"/>
              <w:right w:w="40.0" w:type="dxa"/>
            </w:tcMar>
            <w:vAlign w:val="bottom"/>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31393.74228</w:t>
            </w:r>
          </w:p>
        </w:tc>
        <w:tc>
          <w:tcPr>
            <w:tcMar>
              <w:left w:w="40.0" w:type="dxa"/>
              <w:right w:w="40.0" w:type="dxa"/>
            </w:tcMar>
            <w:vAlign w:val="bottom"/>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Ballet</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-52,859.74</w:t>
            </w:r>
          </w:p>
        </w:tc>
        <w:tc>
          <w:tcPr>
            <w:tcMar>
              <w:left w:w="40.0" w:type="dxa"/>
              <w:right w:w="40.0" w:type="dxa"/>
            </w:tcMar>
            <w:vAlign w:val="bottom"/>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21</w:t>
            </w:r>
          </w:p>
        </w:tc>
        <w:tc>
          <w:tcPr>
            <w:tcMar>
              <w:left w:w="40.0" w:type="dxa"/>
              <w:right w:w="40.0" w:type="dxa"/>
            </w:tcMar>
            <w:vAlign w:val="bottom"/>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105761.4798</w:t>
            </w:r>
          </w:p>
        </w:tc>
        <w:tc>
          <w:tcPr>
            <w:tcMar>
              <w:left w:w="40.0" w:type="dxa"/>
              <w:right w:w="40.0" w:type="dxa"/>
            </w:tcMar>
            <w:vAlign w:val="bottom"/>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Art Museum</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-44,023.82</w:t>
            </w:r>
          </w:p>
        </w:tc>
        <w:tc>
          <w:tcPr>
            <w:tcMar>
              <w:left w:w="40.0" w:type="dxa"/>
              <w:right w:w="40.0" w:type="dxa"/>
            </w:tcMar>
            <w:vAlign w:val="bottom"/>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88087.63075</w:t>
            </w:r>
          </w:p>
        </w:tc>
        <w:tc>
          <w:tcPr>
            <w:tcMar>
              <w:left w:w="40.0" w:type="dxa"/>
              <w:right w:w="40.0" w:type="dxa"/>
            </w:tcMar>
            <w:vAlign w:val="bottom"/>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Art Fest.</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-43,545.45</w:t>
            </w:r>
          </w:p>
        </w:tc>
        <w:tc>
          <w:tcPr>
            <w:tcMar>
              <w:left w:w="40.0" w:type="dxa"/>
              <w:right w:w="40.0" w:type="dxa"/>
            </w:tcMar>
            <w:vAlign w:val="bottom"/>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87130.9085</w:t>
            </w:r>
          </w:p>
        </w:tc>
        <w:tc>
          <w:tcPr>
            <w:tcMar>
              <w:left w:w="40.0" w:type="dxa"/>
              <w:right w:w="40.0" w:type="dxa"/>
            </w:tcMar>
            <w:vAlign w:val="bottom"/>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Hist. Mon.</w:t>
            </w:r>
            <w:r w:rsidDel="00000000" w:rsidR="00000000" w:rsidRPr="00000000">
              <w:rPr>
                <w:rtl w:val="0"/>
              </w:rPr>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Age + Cohort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p>
        </w:tc>
        <w:tc>
          <w:tcPr>
            <w:shd w:fill="666666" w:val="clear"/>
            <w:tcMar>
              <w:left w:w="40.0" w:type="dxa"/>
              <w:right w:w="40.0" w:type="dxa"/>
            </w:tcMar>
            <w:vAlign w:val="bottom"/>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-29,405.72</w:t>
            </w:r>
          </w:p>
        </w:tc>
        <w:tc>
          <w:tcPr>
            <w:tcMar>
              <w:left w:w="40.0" w:type="dxa"/>
              <w:right w:w="40.0" w:type="dxa"/>
            </w:tcMar>
            <w:vAlign w:val="bottom"/>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40.0" w:type="dxa"/>
              <w:right w:w="40.0" w:type="dxa"/>
            </w:tcMar>
            <w:vAlign w:val="bottom"/>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58879.43976</w:t>
            </w:r>
          </w:p>
        </w:tc>
        <w:tc>
          <w:tcPr>
            <w:tcMar>
              <w:left w:w="40.0" w:type="dxa"/>
              <w:right w:w="40.0" w:type="dxa"/>
            </w:tcMar>
            <w:vAlign w:val="bottom"/>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-34,591.25</w:t>
            </w:r>
          </w:p>
        </w:tc>
        <w:tc>
          <w:tcPr>
            <w:tcMar>
              <w:left w:w="40.0" w:type="dxa"/>
              <w:right w:w="40.0" w:type="dxa"/>
            </w:tcMar>
            <w:vAlign w:val="bottom"/>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w:t>
            </w:r>
          </w:p>
        </w:tc>
        <w:tc>
          <w:tcPr>
            <w:tcMar>
              <w:left w:w="40.0" w:type="dxa"/>
              <w:right w:w="40.0" w:type="dxa"/>
            </w:tcMar>
            <w:vAlign w:val="bottom"/>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69254.50672</w:t>
            </w:r>
          </w:p>
        </w:tc>
        <w:tc>
          <w:tcPr>
            <w:tcMar>
              <w:left w:w="40.0" w:type="dxa"/>
              <w:right w:w="40.0" w:type="dxa"/>
            </w:tcMar>
            <w:vAlign w:val="bottom"/>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-12,233.60</w:t>
            </w:r>
          </w:p>
        </w:tc>
        <w:tc>
          <w:tcPr>
            <w:tcMar>
              <w:left w:w="40.0" w:type="dxa"/>
              <w:right w:w="40.0" w:type="dxa"/>
            </w:tcMar>
            <w:vAlign w:val="bottom"/>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24537.20761</w:t>
            </w:r>
          </w:p>
        </w:tc>
        <w:tc>
          <w:tcPr>
            <w:tcMar>
              <w:left w:w="40.0" w:type="dxa"/>
              <w:right w:w="40.0" w:type="dxa"/>
            </w:tcMar>
            <w:vAlign w:val="bottom"/>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-44,715.96</w:t>
            </w:r>
          </w:p>
        </w:tc>
        <w:tc>
          <w:tcPr>
            <w:tcMar>
              <w:left w:w="40.0" w:type="dxa"/>
              <w:right w:w="40.0" w:type="dxa"/>
            </w:tcMar>
            <w:vAlign w:val="bottom"/>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89501.91786</w:t>
            </w:r>
          </w:p>
        </w:tc>
        <w:tc>
          <w:tcPr>
            <w:tcMar>
              <w:left w:w="40.0" w:type="dxa"/>
              <w:right w:w="40.0" w:type="dxa"/>
            </w:tcMar>
            <w:vAlign w:val="bottom"/>
          </w:tcPr>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-15,660.02</w:t>
            </w:r>
          </w:p>
        </w:tc>
        <w:tc>
          <w:tcPr>
            <w:tcMar>
              <w:left w:w="40.0" w:type="dxa"/>
              <w:right w:w="40.0" w:type="dxa"/>
            </w:tcMar>
            <w:vAlign w:val="bottom"/>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40.0" w:type="dxa"/>
              <w:right w:w="40.0" w:type="dxa"/>
            </w:tcMar>
            <w:vAlign w:val="bottom"/>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31388.04491</w:t>
            </w:r>
          </w:p>
        </w:tc>
        <w:tc>
          <w:tcPr>
            <w:tcMar>
              <w:left w:w="40.0" w:type="dxa"/>
              <w:right w:w="40.0" w:type="dxa"/>
            </w:tcMar>
            <w:vAlign w:val="bottom"/>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-52,796.44</w:t>
            </w:r>
          </w:p>
        </w:tc>
        <w:tc>
          <w:tcPr>
            <w:tcMar>
              <w:left w:w="40.0" w:type="dxa"/>
              <w:right w:w="40.0" w:type="dxa"/>
            </w:tcMar>
            <w:vAlign w:val="bottom"/>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w:t>
            </w:r>
          </w:p>
        </w:tc>
        <w:tc>
          <w:tcPr>
            <w:tcMar>
              <w:left w:w="40.0" w:type="dxa"/>
              <w:right w:w="40.0" w:type="dxa"/>
            </w:tcMar>
            <w:vAlign w:val="bottom"/>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105664.8715</w:t>
            </w:r>
          </w:p>
        </w:tc>
        <w:tc>
          <w:tcPr>
            <w:tcMar>
              <w:left w:w="40.0" w:type="dxa"/>
              <w:right w:w="40.0" w:type="dxa"/>
            </w:tcMar>
            <w:vAlign w:val="bottom"/>
          </w:tcPr>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-43,986.09</w:t>
            </w:r>
          </w:p>
        </w:tc>
        <w:tc>
          <w:tcPr>
            <w:tcMar>
              <w:left w:w="40.0" w:type="dxa"/>
              <w:right w:w="40.0" w:type="dxa"/>
            </w:tcMar>
            <w:vAlign w:val="bottom"/>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88042.17934</w:t>
            </w:r>
          </w:p>
        </w:tc>
        <w:tc>
          <w:tcPr>
            <w:tcMar>
              <w:left w:w="40.0" w:type="dxa"/>
              <w:right w:w="40.0" w:type="dxa"/>
            </w:tcMar>
            <w:vAlign w:val="bottom"/>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-43,474.36</w:t>
            </w:r>
          </w:p>
        </w:tc>
        <w:tc>
          <w:tcPr>
            <w:tcMar>
              <w:left w:w="40.0" w:type="dxa"/>
              <w:right w:w="40.0" w:type="dxa"/>
            </w:tcMar>
            <w:vAlign w:val="bottom"/>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87018.7126</w:t>
            </w:r>
          </w:p>
        </w:tc>
        <w:tc>
          <w:tcPr>
            <w:tcMar>
              <w:left w:w="40.0" w:type="dxa"/>
              <w:right w:w="40.0" w:type="dxa"/>
            </w:tcMar>
            <w:vAlign w:val="bottom"/>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Age + Period + Cohort Effects</w:t>
            </w:r>
          </w:p>
        </w:tc>
      </w:tr>
      <w:tr>
        <w:trPr>
          <w:cantSplit w:val="0"/>
          <w:trHeight w:val="320" w:hRule="atLeast"/>
          <w:tblHeader w:val="0"/>
        </w:trPr>
        <w:tc>
          <w:tcPr>
            <w:shd w:fill="666666" w:val="clear"/>
            <w:tcMar>
              <w:left w:w="40.0" w:type="dxa"/>
              <w:right w:w="40.0" w:type="dxa"/>
            </w:tcMar>
            <w:vAlign w:val="bottom"/>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-29,384.71</w:t>
            </w:r>
          </w:p>
        </w:tc>
        <w:tc>
          <w:tcPr>
            <w:tcMar>
              <w:left w:w="40.0" w:type="dxa"/>
              <w:right w:w="40.0" w:type="dxa"/>
            </w:tcMar>
            <w:vAlign w:val="bottom"/>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c>
          <w:tcPr>
            <w:tcMar>
              <w:left w:w="40.0" w:type="dxa"/>
              <w:right w:w="40.0" w:type="dxa"/>
            </w:tcMar>
            <w:vAlign w:val="bottom"/>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58847.4225</w:t>
            </w:r>
          </w:p>
        </w:tc>
        <w:tc>
          <w:tcPr>
            <w:tcMar>
              <w:left w:w="40.0" w:type="dxa"/>
              <w:right w:w="40.0" w:type="dxa"/>
            </w:tcMar>
            <w:vAlign w:val="bottom"/>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-34,584.94</w:t>
            </w:r>
          </w:p>
        </w:tc>
        <w:tc>
          <w:tcPr>
            <w:tcMar>
              <w:left w:w="40.0" w:type="dxa"/>
              <w:right w:w="40.0" w:type="dxa"/>
            </w:tcMar>
            <w:vAlign w:val="bottom"/>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41</w:t>
            </w:r>
          </w:p>
        </w:tc>
        <w:tc>
          <w:tcPr>
            <w:tcMar>
              <w:left w:w="40.0" w:type="dxa"/>
              <w:right w:w="40.0" w:type="dxa"/>
            </w:tcMar>
            <w:vAlign w:val="bottom"/>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69251.88835</w:t>
            </w:r>
          </w:p>
        </w:tc>
        <w:tc>
          <w:tcPr>
            <w:tcMar>
              <w:left w:w="40.0" w:type="dxa"/>
              <w:right w:w="40.0" w:type="dxa"/>
            </w:tcMar>
            <w:vAlign w:val="bottom"/>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-12,220.70</w:t>
            </w:r>
          </w:p>
        </w:tc>
        <w:tc>
          <w:tcPr>
            <w:tcMar>
              <w:left w:w="40.0" w:type="dxa"/>
              <w:right w:w="40.0" w:type="dxa"/>
            </w:tcMar>
            <w:vAlign w:val="bottom"/>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24521.40102</w:t>
            </w:r>
          </w:p>
        </w:tc>
        <w:tc>
          <w:tcPr>
            <w:tcMar>
              <w:left w:w="40.0" w:type="dxa"/>
              <w:right w:w="40.0" w:type="dxa"/>
            </w:tcMar>
            <w:vAlign w:val="bottom"/>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-44,706.62</w:t>
            </w:r>
          </w:p>
        </w:tc>
        <w:tc>
          <w:tcPr>
            <w:tcMar>
              <w:left w:w="40.0" w:type="dxa"/>
              <w:right w:w="40.0" w:type="dxa"/>
            </w:tcMar>
            <w:vAlign w:val="bottom"/>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89493.24602</w:t>
            </w:r>
          </w:p>
        </w:tc>
        <w:tc>
          <w:tcPr>
            <w:tcMar>
              <w:left w:w="40.0" w:type="dxa"/>
              <w:right w:w="40.0" w:type="dxa"/>
            </w:tcMar>
            <w:vAlign w:val="bottom"/>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-15,651.85</w:t>
            </w:r>
          </w:p>
        </w:tc>
        <w:tc>
          <w:tcPr>
            <w:tcMar>
              <w:left w:w="40.0" w:type="dxa"/>
              <w:right w:w="40.0" w:type="dxa"/>
            </w:tcMar>
            <w:vAlign w:val="bottom"/>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c>
          <w:tcPr>
            <w:tcMar>
              <w:left w:w="40.0" w:type="dxa"/>
              <w:right w:w="40.0" w:type="dxa"/>
            </w:tcMar>
            <w:vAlign w:val="bottom"/>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31381.69703</w:t>
            </w:r>
          </w:p>
        </w:tc>
        <w:tc>
          <w:tcPr>
            <w:tcMar>
              <w:left w:w="40.0" w:type="dxa"/>
              <w:right w:w="40.0" w:type="dxa"/>
            </w:tcMar>
            <w:vAlign w:val="bottom"/>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-52,731.47</w:t>
            </w:r>
          </w:p>
        </w:tc>
        <w:tc>
          <w:tcPr>
            <w:tcMar>
              <w:left w:w="40.0" w:type="dxa"/>
              <w:right w:w="40.0" w:type="dxa"/>
            </w:tcMar>
            <w:vAlign w:val="bottom"/>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41</w:t>
            </w:r>
          </w:p>
        </w:tc>
        <w:tc>
          <w:tcPr>
            <w:tcMar>
              <w:left w:w="40.0" w:type="dxa"/>
              <w:right w:w="40.0" w:type="dxa"/>
            </w:tcMar>
            <w:vAlign w:val="bottom"/>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105544.9364</w:t>
            </w:r>
          </w:p>
        </w:tc>
        <w:tc>
          <w:tcPr>
            <w:tcMar>
              <w:left w:w="40.0" w:type="dxa"/>
              <w:right w:w="40.0" w:type="dxa"/>
            </w:tcMar>
            <w:vAlign w:val="bottom"/>
          </w:tcPr>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-43,893.02</w:t>
            </w:r>
          </w:p>
        </w:tc>
        <w:tc>
          <w:tcPr>
            <w:tcMar>
              <w:left w:w="40.0" w:type="dxa"/>
              <w:right w:w="40.0" w:type="dxa"/>
            </w:tcMar>
            <w:vAlign w:val="bottom"/>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87866.04808</w:t>
            </w:r>
          </w:p>
        </w:tc>
        <w:tc>
          <w:tcPr>
            <w:tcMar>
              <w:left w:w="40.0" w:type="dxa"/>
              <w:right w:w="40.0" w:type="dxa"/>
            </w:tcMar>
            <w:vAlign w:val="bottom"/>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-43,458.22</w:t>
            </w:r>
          </w:p>
        </w:tc>
        <w:tc>
          <w:tcPr>
            <w:tcMar>
              <w:left w:w="40.0" w:type="dxa"/>
              <w:right w:w="40.0" w:type="dxa"/>
            </w:tcMar>
            <w:vAlign w:val="bottom"/>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86996.43413</w:t>
            </w:r>
          </w:p>
        </w:tc>
        <w:tc>
          <w:tcPr>
            <w:tcMar>
              <w:left w:w="40.0" w:type="dxa"/>
              <w:right w:w="40.0" w:type="dxa"/>
            </w:tcMar>
            <w:vAlign w:val="bottom"/>
          </w:tcPr>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Hist. Mon.</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7">
      <w:pPr>
        <w:pStyle w:val="Heading4"/>
        <w:pageBreakBefore w:val="0"/>
        <w:spacing w:before="0" w:line="360" w:lineRule="auto"/>
        <w:rPr/>
      </w:pPr>
      <w:bookmarkStart w:colFirst="0" w:colLast="0" w:name="_4anzqyu" w:id="120"/>
      <w:bookmarkEnd w:id="120"/>
      <w:r w:rsidDel="00000000" w:rsidR="00000000" w:rsidRPr="00000000">
        <w:rPr>
          <w:rtl w:val="0"/>
        </w:rPr>
      </w:r>
    </w:p>
    <w:p w:rsidR="00000000" w:rsidDel="00000000" w:rsidP="00000000" w:rsidRDefault="00000000" w:rsidRPr="00000000" w14:paraId="00000298">
      <w:pPr>
        <w:pStyle w:val="Heading4"/>
        <w:pageBreakBefore w:val="0"/>
        <w:spacing w:before="0" w:line="360" w:lineRule="auto"/>
        <w:rPr/>
      </w:pPr>
      <w:bookmarkStart w:colFirst="0" w:colLast="0" w:name="_2pta16n" w:id="121"/>
      <w:bookmarkEnd w:id="121"/>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1"/>
          <w:bCs w:val="1"/>
          <w:sz w:val="22"/>
          <w:szCs w:val="22"/>
        </w:rPr>
      </w:pPr>
      <w:r w:rsidDel="00000000" w:rsidR="00000000" w:rsidRPr="00000000">
        <w:rPr>
          <w:b w:val="1"/>
          <w:bCs w:val="1"/>
          <w:rtl w:val="0"/>
        </w:rPr>
        <w:t xml:space="preserve">Table 3. Coefficient Estimates of Multilevel Logistic HAPC for All Eight “Core” Participation Activities in the Cumulative SPPA Data File, 1982-2012. </w:t>
      </w:r>
      <w:r w:rsidDel="00000000" w:rsidR="00000000" w:rsidRPr="00000000">
        <w:rPr>
          <w:rtl w:val="0"/>
        </w:rPr>
      </w:r>
    </w:p>
    <w:tbl>
      <w:tblPr>
        <w:tblStyle w:val="Table3"/>
        <w:tblW w:w="14160.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40"/>
        <w:gridCol w:w="1040"/>
        <w:gridCol w:w="1040"/>
        <w:gridCol w:w="1040"/>
        <w:gridCol w:w="1040"/>
        <w:gridCol w:w="1040"/>
        <w:gridCol w:w="1040"/>
        <w:gridCol w:w="1040"/>
        <w:gridCol w:w="1040"/>
        <w:gridCol w:w="1200"/>
        <w:gridCol w:w="1200"/>
        <w:gridCol w:w="1200"/>
        <w:gridCol w:w="1200"/>
        <w:tblGridChange w:id="0">
          <w:tblGrid>
            <w:gridCol w:w="1040"/>
            <w:gridCol w:w="1040"/>
            <w:gridCol w:w="1040"/>
            <w:gridCol w:w="1040"/>
            <w:gridCol w:w="1040"/>
            <w:gridCol w:w="1040"/>
            <w:gridCol w:w="1040"/>
            <w:gridCol w:w="1040"/>
            <w:gridCol w:w="1040"/>
            <w:gridCol w:w="1200"/>
            <w:gridCol w:w="1200"/>
            <w:gridCol w:w="1200"/>
            <w:gridCol w:w="1200"/>
          </w:tblGrid>
        </w:tblGridChange>
      </w:tblGrid>
      <w:tr>
        <w:trPr>
          <w:cantSplit w:val="0"/>
          <w:tblHeader w:val="0"/>
        </w:trPr>
        <w:tc>
          <w:tcPr>
            <w:shd w:fill="999999" w:val="clear"/>
            <w:tcMar>
              <w:top w:w="0.0" w:type="dxa"/>
              <w:left w:w="108.0" w:type="dxa"/>
              <w:bottom w:w="0.0" w:type="dxa"/>
              <w:right w:w="108.0" w:type="dxa"/>
            </w:tcMar>
            <w:vAlign w:val="top"/>
          </w:tcPr>
          <w:p w:rsidR="00000000" w:rsidDel="00000000" w:rsidP="00000000" w:rsidRDefault="00000000" w:rsidRPr="00000000" w14:paraId="0000029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2"/>
                <w:szCs w:val="22"/>
              </w:rPr>
            </w:pPr>
            <w:r w:rsidDel="00000000" w:rsidR="00000000" w:rsidRPr="00000000">
              <w:rPr>
                <w:rtl w:val="0"/>
              </w:rPr>
            </w:r>
          </w:p>
        </w:tc>
        <w:tc>
          <w:tcPr>
            <w:shd w:fill="999999" w:val="clear"/>
            <w:tcMar>
              <w:top w:w="0.0" w:type="dxa"/>
              <w:left w:w="108.0" w:type="dxa"/>
              <w:bottom w:w="0.0" w:type="dxa"/>
              <w:right w:w="108.0" w:type="dxa"/>
            </w:tcMar>
            <w:vAlign w:val="bottom"/>
          </w:tcPr>
          <w:p w:rsidR="00000000" w:rsidDel="00000000" w:rsidP="00000000" w:rsidRDefault="00000000" w:rsidRPr="00000000" w14:paraId="0000029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Hist. </w:t>
            </w:r>
          </w:p>
          <w:p w:rsidR="00000000" w:rsidDel="00000000" w:rsidP="00000000" w:rsidRDefault="00000000" w:rsidRPr="00000000" w14:paraId="0000029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Mon.</w:t>
            </w:r>
          </w:p>
        </w:tc>
        <w:tc>
          <w:tcPr>
            <w:shd w:fill="999999" w:val="clear"/>
            <w:tcMar>
              <w:top w:w="0.0" w:type="dxa"/>
              <w:left w:w="108.0" w:type="dxa"/>
              <w:bottom w:w="0.0" w:type="dxa"/>
              <w:right w:w="108.0" w:type="dxa"/>
            </w:tcMar>
            <w:vAlign w:val="bottom"/>
          </w:tcPr>
          <w:p w:rsidR="00000000" w:rsidDel="00000000" w:rsidP="00000000" w:rsidRDefault="00000000" w:rsidRPr="00000000" w14:paraId="0000029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9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Fest.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Art</w:t>
            </w:r>
          </w:p>
          <w:p w:rsidR="00000000" w:rsidDel="00000000" w:rsidP="00000000" w:rsidRDefault="00000000" w:rsidRPr="00000000" w14:paraId="000002A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Museum</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Musical</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Symph.</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Jazz</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Ballet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A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4"/>
                <w:szCs w:val="24"/>
              </w:rPr>
            </w:pPr>
            <w:r w:rsidDel="00000000" w:rsidR="00000000" w:rsidRPr="00000000">
              <w:rPr>
                <w:color w:val="ffffff"/>
                <w:sz w:val="24"/>
                <w:szCs w:val="24"/>
                <w:rtl w:val="0"/>
              </w:rPr>
              <w:t xml:space="preserve">Opera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Age</w:t>
            </w:r>
          </w:p>
        </w:tc>
        <w:tc>
          <w:tcPr>
            <w:shd w:fill="auto" w:val="clear"/>
            <w:tcMar>
              <w:top w:w="0.0" w:type="dxa"/>
              <w:left w:w="108.0" w:type="dxa"/>
              <w:bottom w:w="0.0" w:type="dxa"/>
              <w:right w:w="108.0" w:type="dxa"/>
            </w:tcMar>
            <w:vAlign w:val="top"/>
          </w:tcPr>
          <w:p w:rsidR="00000000" w:rsidDel="00000000" w:rsidP="00000000" w:rsidRDefault="00000000" w:rsidRPr="00000000" w14:paraId="000002A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(-3.52)</w:t>
            </w:r>
          </w:p>
        </w:tc>
        <w:tc>
          <w:tcPr>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(-2.91)</w:t>
            </w:r>
          </w:p>
        </w:tc>
        <w:tc>
          <w:tcPr>
            <w:shd w:fill="auto" w:val="clear"/>
            <w:tcMar>
              <w:top w:w="0.0" w:type="dxa"/>
              <w:left w:w="108.0" w:type="dxa"/>
              <w:bottom w:w="0.0" w:type="dxa"/>
              <w:right w:w="108.0" w:type="dxa"/>
            </w:tcMar>
            <w:vAlign w:val="top"/>
          </w:tcPr>
          <w:p w:rsidR="00000000" w:rsidDel="00000000" w:rsidP="00000000" w:rsidRDefault="00000000" w:rsidRPr="00000000" w14:paraId="000002A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(-10.22)</w:t>
            </w:r>
          </w:p>
        </w:tc>
        <w:tc>
          <w:tcPr>
            <w:shd w:fill="auto" w:val="clear"/>
            <w:tcMar>
              <w:top w:w="0.0" w:type="dxa"/>
              <w:left w:w="108.0" w:type="dxa"/>
              <w:bottom w:w="0.0" w:type="dxa"/>
              <w:right w:w="108.0" w:type="dxa"/>
            </w:tcMar>
            <w:vAlign w:val="top"/>
          </w:tcPr>
          <w:p w:rsidR="00000000" w:rsidDel="00000000" w:rsidP="00000000" w:rsidRDefault="00000000" w:rsidRPr="00000000" w14:paraId="000002A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(-10.07)</w:t>
            </w:r>
          </w:p>
        </w:tc>
        <w:tc>
          <w:tcPr>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(-11.30)</w:t>
            </w:r>
          </w:p>
        </w:tc>
        <w:tc>
          <w:tcPr>
            <w:shd w:fill="auto" w:val="clear"/>
            <w:tcMar>
              <w:top w:w="0.0" w:type="dxa"/>
              <w:left w:w="108.0" w:type="dxa"/>
              <w:bottom w:w="0.0" w:type="dxa"/>
              <w:right w:w="108.0" w:type="dxa"/>
            </w:tcMar>
            <w:vAlign w:val="top"/>
          </w:tcPr>
          <w:p w:rsidR="00000000" w:rsidDel="00000000" w:rsidP="00000000" w:rsidRDefault="00000000" w:rsidRPr="00000000" w14:paraId="000002A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(-13.10)</w:t>
            </w:r>
          </w:p>
        </w:tc>
        <w:tc>
          <w:tcPr>
            <w:shd w:fill="auto" w:val="clear"/>
            <w:tcMar>
              <w:top w:w="0.0" w:type="dxa"/>
              <w:left w:w="108.0" w:type="dxa"/>
              <w:bottom w:w="0.0" w:type="dxa"/>
              <w:right w:w="108.0" w:type="dxa"/>
            </w:tcMar>
            <w:vAlign w:val="top"/>
          </w:tcPr>
          <w:p w:rsidR="00000000" w:rsidDel="00000000" w:rsidP="00000000" w:rsidRDefault="00000000" w:rsidRPr="00000000" w14:paraId="000002A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(-4.82)</w:t>
            </w:r>
          </w:p>
        </w:tc>
        <w:tc>
          <w:tcPr>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(-5.64)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2B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(4.72)</w:t>
            </w:r>
          </w:p>
        </w:tc>
        <w:tc>
          <w:tcPr>
            <w:shd w:fill="auto" w:val="clear"/>
            <w:tcMar>
              <w:top w:w="0.0" w:type="dxa"/>
              <w:left w:w="108.0" w:type="dxa"/>
              <w:bottom w:w="0.0" w:type="dxa"/>
              <w:right w:w="108.0" w:type="dxa"/>
            </w:tcMar>
            <w:vAlign w:val="top"/>
          </w:tcPr>
          <w:p w:rsidR="00000000" w:rsidDel="00000000" w:rsidP="00000000" w:rsidRDefault="00000000" w:rsidRPr="00000000" w14:paraId="000002B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(3.96)</w:t>
            </w:r>
          </w:p>
        </w:tc>
        <w:tc>
          <w:tcPr>
            <w:shd w:fill="auto" w:val="clear"/>
            <w:tcMar>
              <w:top w:w="0.0" w:type="dxa"/>
              <w:left w:w="108.0" w:type="dxa"/>
              <w:bottom w:w="0.0" w:type="dxa"/>
              <w:right w:w="108.0" w:type="dxa"/>
            </w:tcMar>
            <w:vAlign w:val="top"/>
          </w:tcPr>
          <w:p w:rsidR="00000000" w:rsidDel="00000000" w:rsidP="00000000" w:rsidRDefault="00000000" w:rsidRPr="00000000" w14:paraId="000002B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(10.20)</w:t>
            </w:r>
          </w:p>
        </w:tc>
        <w:tc>
          <w:tcPr>
            <w:shd w:fill="auto" w:val="clear"/>
            <w:tcMar>
              <w:top w:w="0.0" w:type="dxa"/>
              <w:left w:w="108.0" w:type="dxa"/>
              <w:bottom w:w="0.0" w:type="dxa"/>
              <w:right w:w="108.0" w:type="dxa"/>
            </w:tcMar>
            <w:vAlign w:val="top"/>
          </w:tcPr>
          <w:p w:rsidR="00000000" w:rsidDel="00000000" w:rsidP="00000000" w:rsidRDefault="00000000" w:rsidRPr="00000000" w14:paraId="000002B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(11.50)</w:t>
            </w:r>
          </w:p>
        </w:tc>
        <w:tc>
          <w:tcPr>
            <w:shd w:fill="auto" w:val="clear"/>
            <w:tcMar>
              <w:top w:w="0.0" w:type="dxa"/>
              <w:left w:w="108.0" w:type="dxa"/>
              <w:bottom w:w="0.0" w:type="dxa"/>
              <w:right w:w="108.0" w:type="dxa"/>
            </w:tcMar>
            <w:vAlign w:val="top"/>
          </w:tcPr>
          <w:p w:rsidR="00000000" w:rsidDel="00000000" w:rsidP="00000000" w:rsidRDefault="00000000" w:rsidRPr="00000000" w14:paraId="000002B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(11.43)</w:t>
            </w:r>
          </w:p>
        </w:tc>
        <w:tc>
          <w:tcPr>
            <w:shd w:fill="auto" w:val="clear"/>
            <w:tcMar>
              <w:top w:w="0.0" w:type="dxa"/>
              <w:left w:w="108.0" w:type="dxa"/>
              <w:bottom w:w="0.0" w:type="dxa"/>
              <w:right w:w="108.0" w:type="dxa"/>
            </w:tcMar>
            <w:vAlign w:val="top"/>
          </w:tcPr>
          <w:p w:rsidR="00000000" w:rsidDel="00000000" w:rsidP="00000000" w:rsidRDefault="00000000" w:rsidRPr="00000000" w14:paraId="000002B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(10.94)</w:t>
            </w:r>
          </w:p>
        </w:tc>
        <w:tc>
          <w:tcPr>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(5.09)</w:t>
            </w:r>
          </w:p>
        </w:tc>
        <w:tc>
          <w:tcPr>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0.40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vertAlign w:val="superscript"/>
              </w:rPr>
            </w:pPr>
            <w:r w:rsidDel="00000000" w:rsidR="00000000" w:rsidRPr="00000000">
              <w:rPr>
                <w:sz w:val="24"/>
                <w:szCs w:val="24"/>
                <w:rtl w:val="0"/>
              </w:rPr>
              <w:t xml:space="preserve">Age</w:t>
            </w:r>
            <w:r w:rsidDel="00000000" w:rsidR="00000000" w:rsidRPr="00000000">
              <w:rPr>
                <w:sz w:val="24"/>
                <w:szCs w:val="24"/>
                <w:vertAlign w:val="superscript"/>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(-6.45)</w:t>
            </w:r>
          </w:p>
        </w:tc>
        <w:tc>
          <w:tcPr>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(-5.55)</w:t>
            </w:r>
          </w:p>
        </w:tc>
        <w:tc>
          <w:tcPr>
            <w:shd w:fill="auto" w:val="clear"/>
            <w:tcMar>
              <w:top w:w="0.0" w:type="dxa"/>
              <w:left w:w="108.0" w:type="dxa"/>
              <w:bottom w:w="0.0" w:type="dxa"/>
              <w:right w:w="108.0" w:type="dxa"/>
            </w:tcMar>
            <w:vAlign w:val="top"/>
          </w:tcPr>
          <w:p w:rsidR="00000000" w:rsidDel="00000000" w:rsidP="00000000" w:rsidRDefault="00000000" w:rsidRPr="00000000" w14:paraId="000002B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2B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(-12.79)</w:t>
            </w:r>
          </w:p>
        </w:tc>
        <w:tc>
          <w:tcPr>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(-11.17)</w:t>
            </w:r>
          </w:p>
        </w:tc>
        <w:tc>
          <w:tcPr>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(-10.00)</w:t>
            </w:r>
          </w:p>
        </w:tc>
        <w:tc>
          <w:tcPr>
            <w:shd w:fill="auto" w:val="clear"/>
            <w:tcMar>
              <w:top w:w="0.0" w:type="dxa"/>
              <w:left w:w="108.0" w:type="dxa"/>
              <w:bottom w:w="0.0" w:type="dxa"/>
              <w:right w:w="108.0" w:type="dxa"/>
            </w:tcMar>
            <w:vAlign w:val="top"/>
          </w:tcPr>
          <w:p w:rsidR="00000000" w:rsidDel="00000000" w:rsidP="00000000" w:rsidRDefault="00000000" w:rsidRPr="00000000" w14:paraId="000002C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(-5.46)</w:t>
            </w:r>
          </w:p>
        </w:tc>
        <w:tc>
          <w:tcPr>
            <w:shd w:fill="auto" w:val="clear"/>
            <w:tcMar>
              <w:top w:w="0.0" w:type="dxa"/>
              <w:left w:w="108.0" w:type="dxa"/>
              <w:bottom w:w="0.0" w:type="dxa"/>
              <w:right w:w="108.0" w:type="dxa"/>
            </w:tcMar>
            <w:vAlign w:val="top"/>
          </w:tcPr>
          <w:p w:rsidR="00000000" w:rsidDel="00000000" w:rsidP="00000000" w:rsidRDefault="00000000" w:rsidRPr="00000000" w14:paraId="000002C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Woman</w:t>
            </w:r>
          </w:p>
        </w:tc>
        <w:tc>
          <w:tcPr>
            <w:shd w:fill="auto" w:val="clear"/>
            <w:tcMar>
              <w:top w:w="0.0" w:type="dxa"/>
              <w:left w:w="108.0" w:type="dxa"/>
              <w:bottom w:w="0.0" w:type="dxa"/>
              <w:right w:w="108.0" w:type="dxa"/>
            </w:tcMar>
            <w:vAlign w:val="top"/>
          </w:tcPr>
          <w:p w:rsidR="00000000" w:rsidDel="00000000" w:rsidP="00000000" w:rsidRDefault="00000000" w:rsidRPr="00000000" w14:paraId="000002C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(6.36)</w:t>
            </w:r>
          </w:p>
        </w:tc>
        <w:tc>
          <w:tcPr>
            <w:shd w:fill="auto" w:val="clear"/>
            <w:tcMar>
              <w:top w:w="0.0" w:type="dxa"/>
              <w:left w:w="108.0" w:type="dxa"/>
              <w:bottom w:w="0.0" w:type="dxa"/>
              <w:right w:w="108.0" w:type="dxa"/>
            </w:tcMar>
            <w:vAlign w:val="top"/>
          </w:tcPr>
          <w:p w:rsidR="00000000" w:rsidDel="00000000" w:rsidP="00000000" w:rsidRDefault="00000000" w:rsidRPr="00000000" w14:paraId="000002C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0.60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(35.08)</w:t>
            </w:r>
          </w:p>
        </w:tc>
        <w:tc>
          <w:tcPr>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(16.29)</w:t>
            </w:r>
          </w:p>
        </w:tc>
        <w:tc>
          <w:tcPr>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(24.97)</w:t>
            </w:r>
          </w:p>
        </w:tc>
        <w:tc>
          <w:tcPr>
            <w:shd w:fill="auto" w:val="clear"/>
            <w:tcMar>
              <w:top w:w="0.0" w:type="dxa"/>
              <w:left w:w="108.0" w:type="dxa"/>
              <w:bottom w:w="0.0" w:type="dxa"/>
              <w:right w:w="108.0" w:type="dxa"/>
            </w:tcMar>
            <w:vAlign w:val="top"/>
          </w:tcPr>
          <w:p w:rsidR="00000000" w:rsidDel="00000000" w:rsidP="00000000" w:rsidRDefault="00000000" w:rsidRPr="00000000" w14:paraId="000002C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(17.43)</w:t>
            </w:r>
          </w:p>
        </w:tc>
        <w:tc>
          <w:tcPr>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0.02</w:t>
              <w:br w:type="textWrapping"/>
              <w:t xml:space="preserve">(0.85)</w:t>
            </w:r>
          </w:p>
        </w:tc>
        <w:tc>
          <w:tcPr>
            <w:shd w:fill="auto" w:val="clear"/>
            <w:tcMar>
              <w:top w:w="0.0" w:type="dxa"/>
              <w:left w:w="108.0" w:type="dxa"/>
              <w:bottom w:w="0.0" w:type="dxa"/>
              <w:right w:w="108.0" w:type="dxa"/>
            </w:tcMar>
            <w:vAlign w:val="top"/>
          </w:tcPr>
          <w:p w:rsidR="00000000" w:rsidDel="00000000" w:rsidP="00000000" w:rsidRDefault="00000000" w:rsidRPr="00000000" w14:paraId="000002C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(20.17)</w:t>
            </w:r>
          </w:p>
        </w:tc>
        <w:tc>
          <w:tcPr>
            <w:shd w:fill="auto" w:val="clear"/>
            <w:tcMar>
              <w:top w:w="0.0" w:type="dxa"/>
              <w:left w:w="108.0" w:type="dxa"/>
              <w:bottom w:w="0.0" w:type="dxa"/>
              <w:right w:w="108.0" w:type="dxa"/>
            </w:tcMar>
            <w:vAlign w:val="top"/>
          </w:tcPr>
          <w:p w:rsidR="00000000" w:rsidDel="00000000" w:rsidP="00000000" w:rsidRDefault="00000000" w:rsidRPr="00000000" w14:paraId="000002C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College</w:t>
            </w:r>
          </w:p>
        </w:tc>
        <w:tc>
          <w:tcPr>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(64.92)</w:t>
            </w:r>
          </w:p>
        </w:tc>
        <w:tc>
          <w:tcPr>
            <w:shd w:fill="auto" w:val="clear"/>
            <w:tcMar>
              <w:top w:w="0.0" w:type="dxa"/>
              <w:left w:w="108.0" w:type="dxa"/>
              <w:bottom w:w="0.0" w:type="dxa"/>
              <w:right w:w="108.0" w:type="dxa"/>
            </w:tcMar>
            <w:vAlign w:val="top"/>
          </w:tcPr>
          <w:p w:rsidR="00000000" w:rsidDel="00000000" w:rsidP="00000000" w:rsidRDefault="00000000" w:rsidRPr="00000000" w14:paraId="000002C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0.90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(48.34)</w:t>
            </w:r>
          </w:p>
        </w:tc>
        <w:tc>
          <w:tcPr>
            <w:shd w:fill="auto" w:val="clear"/>
            <w:tcMar>
              <w:top w:w="0.0" w:type="dxa"/>
              <w:left w:w="108.0" w:type="dxa"/>
              <w:bottom w:w="0.0" w:type="dxa"/>
              <w:right w:w="108.0" w:type="dxa"/>
            </w:tcMar>
            <w:vAlign w:val="top"/>
          </w:tcPr>
          <w:p w:rsidR="00000000" w:rsidDel="00000000" w:rsidP="00000000" w:rsidRDefault="00000000" w:rsidRPr="00000000" w14:paraId="000002C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(90.96)</w:t>
            </w:r>
          </w:p>
        </w:tc>
        <w:tc>
          <w:tcPr>
            <w:shd w:fill="auto" w:val="clear"/>
            <w:tcMar>
              <w:top w:w="0.0" w:type="dxa"/>
              <w:left w:w="108.0" w:type="dxa"/>
              <w:bottom w:w="0.0" w:type="dxa"/>
              <w:right w:w="108.0" w:type="dxa"/>
            </w:tcMar>
            <w:vAlign w:val="top"/>
          </w:tcPr>
          <w:p w:rsidR="00000000" w:rsidDel="00000000" w:rsidP="00000000" w:rsidRDefault="00000000" w:rsidRPr="00000000" w14:paraId="000002C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1.35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(72.39)</w:t>
            </w:r>
          </w:p>
        </w:tc>
        <w:tc>
          <w:tcPr>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1.70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(77.03)</w:t>
            </w:r>
          </w:p>
        </w:tc>
        <w:tc>
          <w:tcPr>
            <w:shd w:fill="auto" w:val="clear"/>
            <w:tcMar>
              <w:top w:w="0.0" w:type="dxa"/>
              <w:left w:w="108.0" w:type="dxa"/>
              <w:bottom w:w="0.0" w:type="dxa"/>
              <w:right w:w="108.0" w:type="dxa"/>
            </w:tcMar>
            <w:vAlign w:val="top"/>
          </w:tcPr>
          <w:p w:rsidR="00000000" w:rsidDel="00000000" w:rsidP="00000000" w:rsidRDefault="00000000" w:rsidRPr="00000000" w14:paraId="000002D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1.24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(52.26)</w:t>
            </w:r>
          </w:p>
        </w:tc>
        <w:tc>
          <w:tcPr>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1.47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(41.34)</w:t>
            </w:r>
          </w:p>
        </w:tc>
        <w:tc>
          <w:tcPr>
            <w:shd w:fill="auto" w:val="clear"/>
            <w:tcMar>
              <w:top w:w="0.0" w:type="dxa"/>
              <w:left w:w="108.0" w:type="dxa"/>
              <w:bottom w:w="0.0" w:type="dxa"/>
              <w:right w:w="108.0" w:type="dxa"/>
            </w:tcMar>
            <w:vAlign w:val="top"/>
          </w:tcPr>
          <w:p w:rsidR="00000000" w:rsidDel="00000000" w:rsidP="00000000" w:rsidRDefault="00000000" w:rsidRPr="00000000" w14:paraId="000002D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1.72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(40.79)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White</w:t>
            </w:r>
          </w:p>
        </w:tc>
        <w:tc>
          <w:tcPr>
            <w:shd w:fill="auto" w:val="clear"/>
            <w:tcMar>
              <w:top w:w="0.0" w:type="dxa"/>
              <w:left w:w="108.0" w:type="dxa"/>
              <w:bottom w:w="0.0" w:type="dxa"/>
              <w:right w:w="108.0" w:type="dxa"/>
            </w:tcMar>
            <w:vAlign w:val="top"/>
          </w:tcPr>
          <w:p w:rsidR="00000000" w:rsidDel="00000000" w:rsidP="00000000" w:rsidRDefault="00000000" w:rsidRPr="00000000" w14:paraId="000002D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(13.11)</w:t>
            </w:r>
          </w:p>
        </w:tc>
        <w:tc>
          <w:tcPr>
            <w:shd w:fill="auto" w:val="clear"/>
            <w:tcMar>
              <w:top w:w="0.0" w:type="dxa"/>
              <w:left w:w="108.0" w:type="dxa"/>
              <w:bottom w:w="0.0" w:type="dxa"/>
              <w:right w:w="108.0" w:type="dxa"/>
            </w:tcMar>
            <w:vAlign w:val="top"/>
          </w:tcPr>
          <w:p w:rsidR="00000000" w:rsidDel="00000000" w:rsidP="00000000" w:rsidRDefault="00000000" w:rsidRPr="00000000" w14:paraId="000002D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(14.20)</w:t>
            </w:r>
          </w:p>
        </w:tc>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(5.25)</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(12.94)</w:t>
            </w:r>
          </w:p>
        </w:tc>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0.41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(7.23)</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0.45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(7.27)</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(5.41)</w:t>
            </w:r>
          </w:p>
        </w:tc>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0.14</w:t>
              <w:br w:type="textWrapping"/>
              <w:t xml:space="preserve">(1.40)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Black</w:t>
            </w:r>
          </w:p>
        </w:tc>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(-5.92)</w:t>
            </w:r>
          </w:p>
        </w:tc>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-0.42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(-7.85)</w:t>
            </w:r>
          </w:p>
        </w:tc>
        <w:tc>
          <w:tcPr>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-0.46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(-9.23)</w:t>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0.06</w:t>
              <w:br w:type="textWrapping"/>
              <w:t xml:space="preserve">(1.02)</w:t>
            </w:r>
          </w:p>
        </w:tc>
        <w:tc>
          <w:tcPr>
            <w:shd w:fill="auto" w:val="clear"/>
            <w:tcMar>
              <w:top w:w="0.0" w:type="dxa"/>
              <w:left w:w="108.0" w:type="dxa"/>
              <w:bottom w:w="0.0" w:type="dxa"/>
              <w:right w:w="108.0" w:type="dxa"/>
            </w:tcMar>
            <w:vAlign w:val="top"/>
          </w:tcPr>
          <w:p w:rsidR="00000000" w:rsidDel="00000000" w:rsidP="00000000" w:rsidRDefault="00000000" w:rsidRPr="00000000" w14:paraId="000002E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(-3.95)</w:t>
            </w:r>
          </w:p>
        </w:tc>
        <w:tc>
          <w:tcPr>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0.95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(13.74)</w:t>
            </w:r>
          </w:p>
        </w:tc>
        <w:tc>
          <w:tcPr>
            <w:shd w:fill="auto" w:val="clear"/>
            <w:tcMar>
              <w:top w:w="0.0" w:type="dxa"/>
              <w:left w:w="108.0" w:type="dxa"/>
              <w:bottom w:w="0.0" w:type="dxa"/>
              <w:right w:w="108.0" w:type="dxa"/>
            </w:tcMar>
            <w:vAlign w:val="top"/>
          </w:tcPr>
          <w:p w:rsidR="00000000" w:rsidDel="00000000" w:rsidP="00000000" w:rsidRDefault="00000000" w:rsidRPr="00000000" w14:paraId="000002E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-0.17</w:t>
              <w:br w:type="textWrapping"/>
              <w:t xml:space="preserve">(-1.41)</w:t>
            </w:r>
          </w:p>
        </w:tc>
        <w:tc>
          <w:tcPr>
            <w:shd w:fill="auto" w:val="clear"/>
            <w:tcMar>
              <w:top w:w="0.0" w:type="dxa"/>
              <w:left w:w="108.0" w:type="dxa"/>
              <w:bottom w:w="0.0" w:type="dxa"/>
              <w:right w:w="108.0" w:type="dxa"/>
            </w:tcMar>
            <w:vAlign w:val="top"/>
          </w:tcPr>
          <w:p w:rsidR="00000000" w:rsidDel="00000000" w:rsidP="00000000" w:rsidRDefault="00000000" w:rsidRPr="00000000" w14:paraId="000002E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1985</w:t>
            </w:r>
          </w:p>
        </w:tc>
        <w:tc>
          <w:tcPr>
            <w:shd w:fill="auto" w:val="clear"/>
            <w:tcMar>
              <w:top w:w="0.0" w:type="dxa"/>
              <w:left w:w="108.0" w:type="dxa"/>
              <w:bottom w:w="0.0" w:type="dxa"/>
              <w:right w:w="108.0" w:type="dxa"/>
            </w:tcMar>
            <w:vAlign w:val="top"/>
          </w:tcPr>
          <w:p w:rsidR="00000000" w:rsidDel="00000000" w:rsidP="00000000" w:rsidRDefault="00000000" w:rsidRPr="00000000" w14:paraId="000002E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-0.04</w:t>
              <w:br w:type="textWrapping"/>
              <w:t xml:space="preserve">(-0.77)</w:t>
            </w:r>
          </w:p>
        </w:tc>
        <w:tc>
          <w:tcPr>
            <w:shd w:fill="auto" w:val="clear"/>
            <w:tcMar>
              <w:top w:w="0.0" w:type="dxa"/>
              <w:left w:w="108.0" w:type="dxa"/>
              <w:bottom w:w="0.0" w:type="dxa"/>
              <w:right w:w="108.0" w:type="dxa"/>
            </w:tcMar>
            <w:vAlign w:val="top"/>
          </w:tcPr>
          <w:p w:rsidR="00000000" w:rsidDel="00000000" w:rsidP="00000000" w:rsidRDefault="00000000" w:rsidRPr="00000000" w14:paraId="000002E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0.05</w:t>
              <w:br w:type="textWrapping"/>
              <w:t xml:space="preserve">(0.99)</w:t>
            </w:r>
          </w:p>
        </w:tc>
        <w:tc>
          <w:tcPr>
            <w:shd w:fill="auto" w:val="clear"/>
            <w:tcMar>
              <w:top w:w="0.0" w:type="dxa"/>
              <w:left w:w="108.0" w:type="dxa"/>
              <w:bottom w:w="0.0" w:type="dxa"/>
              <w:right w:w="108.0" w:type="dxa"/>
            </w:tcMar>
            <w:vAlign w:val="top"/>
          </w:tcPr>
          <w:p w:rsidR="00000000" w:rsidDel="00000000" w:rsidP="00000000" w:rsidRDefault="00000000" w:rsidRPr="00000000" w14:paraId="000002E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0.01</w:t>
              <w:br w:type="textWrapping"/>
              <w:t xml:space="preserve">(0.47)</w:t>
            </w:r>
          </w:p>
        </w:tc>
        <w:tc>
          <w:tcPr>
            <w:shd w:fill="auto" w:val="clear"/>
            <w:tcMar>
              <w:top w:w="0.0" w:type="dxa"/>
              <w:left w:w="108.0" w:type="dxa"/>
              <w:bottom w:w="0.0" w:type="dxa"/>
              <w:right w:w="108.0" w:type="dxa"/>
            </w:tcMar>
            <w:vAlign w:val="top"/>
          </w:tcPr>
          <w:p w:rsidR="00000000" w:rsidDel="00000000" w:rsidP="00000000" w:rsidRDefault="00000000" w:rsidRPr="00000000" w14:paraId="000002E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(-3.87)</w:t>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-0.03</w:t>
              <w:br w:type="textWrapping"/>
              <w:t xml:space="preserve">(-0.83)</w:t>
            </w:r>
          </w:p>
        </w:tc>
        <w:tc>
          <w:tcPr>
            <w:shd w:fill="auto" w:val="clear"/>
            <w:tcMar>
              <w:top w:w="0.0" w:type="dxa"/>
              <w:left w:w="108.0" w:type="dxa"/>
              <w:bottom w:w="0.0" w:type="dxa"/>
              <w:right w:w="108.0" w:type="dxa"/>
            </w:tcMar>
            <w:vAlign w:val="top"/>
          </w:tcPr>
          <w:p w:rsidR="00000000" w:rsidDel="00000000" w:rsidP="00000000" w:rsidRDefault="00000000" w:rsidRPr="00000000" w14:paraId="000002E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0.02</w:t>
              <w:br w:type="textWrapping"/>
              <w:t xml:space="preserve">(0.48)</w:t>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2E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1992</w:t>
            </w:r>
          </w:p>
        </w:tc>
        <w:tc>
          <w:tcPr>
            <w:shd w:fill="auto" w:val="clear"/>
            <w:tcMar>
              <w:top w:w="0.0" w:type="dxa"/>
              <w:left w:w="108.0" w:type="dxa"/>
              <w:bottom w:w="0.0" w:type="dxa"/>
              <w:right w:w="108.0" w:type="dxa"/>
            </w:tcMar>
            <w:vAlign w:val="top"/>
          </w:tcPr>
          <w:p w:rsidR="00000000" w:rsidDel="00000000" w:rsidP="00000000" w:rsidRDefault="00000000" w:rsidRPr="00000000" w14:paraId="000002F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(-4.25)</w:t>
            </w:r>
          </w:p>
        </w:tc>
        <w:tc>
          <w:tcPr>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0.04</w:t>
              <w:br w:type="textWrapping"/>
              <w:t xml:space="preserve">(0.92)</w:t>
            </w:r>
          </w:p>
        </w:tc>
        <w:tc>
          <w:tcPr>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(5.97)</w:t>
            </w:r>
          </w:p>
        </w:tc>
        <w:tc>
          <w:tcPr>
            <w:shd w:fill="auto" w:val="clear"/>
            <w:tcMar>
              <w:top w:w="0.0" w:type="dxa"/>
              <w:left w:w="108.0" w:type="dxa"/>
              <w:bottom w:w="0.0" w:type="dxa"/>
              <w:right w:w="108.0" w:type="dxa"/>
            </w:tcMar>
            <w:vAlign w:val="top"/>
          </w:tcPr>
          <w:p w:rsidR="00000000" w:rsidDel="00000000" w:rsidP="00000000" w:rsidRDefault="00000000" w:rsidRPr="00000000" w14:paraId="000002F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(-5.15)</w:t>
            </w:r>
          </w:p>
        </w:tc>
        <w:tc>
          <w:tcPr>
            <w:shd w:fill="auto" w:val="clear"/>
            <w:tcMar>
              <w:top w:w="0.0" w:type="dxa"/>
              <w:left w:w="108.0" w:type="dxa"/>
              <w:bottom w:w="0.0" w:type="dxa"/>
              <w:right w:w="108.0" w:type="dxa"/>
            </w:tcMar>
            <w:vAlign w:val="top"/>
          </w:tcPr>
          <w:p w:rsidR="00000000" w:rsidDel="00000000" w:rsidP="00000000" w:rsidRDefault="00000000" w:rsidRPr="00000000" w14:paraId="000002F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-0.17</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(-4.23)</w:t>
            </w:r>
          </w:p>
        </w:tc>
        <w:tc>
          <w:tcPr>
            <w:shd w:fill="auto" w:val="clear"/>
            <w:tcMar>
              <w:top w:w="0.0" w:type="dxa"/>
              <w:left w:w="108.0" w:type="dxa"/>
              <w:bottom w:w="0.0" w:type="dxa"/>
              <w:right w:w="108.0" w:type="dxa"/>
            </w:tcMar>
            <w:vAlign w:val="top"/>
          </w:tcPr>
          <w:p w:rsidR="00000000" w:rsidDel="00000000" w:rsidP="00000000" w:rsidRDefault="00000000" w:rsidRPr="00000000" w14:paraId="000002F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(3.22)</w:t>
            </w:r>
          </w:p>
        </w:tc>
        <w:tc>
          <w:tcPr>
            <w:shd w:fill="auto" w:val="clear"/>
            <w:tcMar>
              <w:top w:w="0.0" w:type="dxa"/>
              <w:left w:w="108.0" w:type="dxa"/>
              <w:bottom w:w="0.0" w:type="dxa"/>
              <w:right w:w="108.0" w:type="dxa"/>
            </w:tcMar>
            <w:vAlign w:val="top"/>
          </w:tcPr>
          <w:p w:rsidR="00000000" w:rsidDel="00000000" w:rsidP="00000000" w:rsidRDefault="00000000" w:rsidRPr="00000000" w14:paraId="000002F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-0.02</w:t>
              <w:br w:type="textWrapping"/>
              <w:t xml:space="preserve">(-0.43)</w:t>
            </w:r>
          </w:p>
        </w:tc>
        <w:tc>
          <w:tcPr>
            <w:shd w:fill="auto" w:val="clear"/>
            <w:tcMar>
              <w:top w:w="0.0" w:type="dxa"/>
              <w:left w:w="108.0" w:type="dxa"/>
              <w:bottom w:w="0.0" w:type="dxa"/>
              <w:right w:w="108.0" w:type="dxa"/>
            </w:tcMar>
            <w:vAlign w:val="top"/>
          </w:tcPr>
          <w:p w:rsidR="00000000" w:rsidDel="00000000" w:rsidP="00000000" w:rsidRDefault="00000000" w:rsidRPr="00000000" w14:paraId="000002F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-0.06</w:t>
              <w:br w:type="textWrapping"/>
              <w:t xml:space="preserve">(-0.86)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2002</w:t>
            </w:r>
          </w:p>
        </w:tc>
        <w:tc>
          <w:tcPr>
            <w:shd w:fill="auto" w:val="clear"/>
            <w:tcMar>
              <w:top w:w="0.0" w:type="dxa"/>
              <w:left w:w="108.0" w:type="dxa"/>
              <w:bottom w:w="0.0" w:type="dxa"/>
              <w:right w:w="108.0" w:type="dxa"/>
            </w:tcMar>
            <w:vAlign w:val="top"/>
          </w:tcPr>
          <w:p w:rsidR="00000000" w:rsidDel="00000000" w:rsidP="00000000" w:rsidRDefault="00000000" w:rsidRPr="00000000" w14:paraId="000002F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(-7.01)</w:t>
            </w:r>
          </w:p>
        </w:tc>
        <w:tc>
          <w:tcPr>
            <w:shd w:fill="auto" w:val="clear"/>
            <w:tcMar>
              <w:top w:w="0.0" w:type="dxa"/>
              <w:left w:w="108.0" w:type="dxa"/>
              <w:bottom w:w="0.0" w:type="dxa"/>
              <w:right w:w="108.0" w:type="dxa"/>
            </w:tcMar>
            <w:vAlign w:val="top"/>
          </w:tcPr>
          <w:p w:rsidR="00000000" w:rsidDel="00000000" w:rsidP="00000000" w:rsidRDefault="00000000" w:rsidRPr="00000000" w14:paraId="000002F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(-4.49)</w:t>
            </w:r>
          </w:p>
        </w:tc>
        <w:tc>
          <w:tcPr>
            <w:shd w:fill="auto" w:val="clear"/>
            <w:tcMar>
              <w:top w:w="0.0" w:type="dxa"/>
              <w:left w:w="108.0" w:type="dxa"/>
              <w:bottom w:w="0.0" w:type="dxa"/>
              <w:right w:w="108.0" w:type="dxa"/>
            </w:tcMar>
            <w:vAlign w:val="top"/>
          </w:tcPr>
          <w:p w:rsidR="00000000" w:rsidDel="00000000" w:rsidP="00000000" w:rsidRDefault="00000000" w:rsidRPr="00000000" w14:paraId="000002F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(6.58)</w:t>
            </w:r>
          </w:p>
        </w:tc>
        <w:tc>
          <w:tcPr>
            <w:shd w:fill="auto" w:val="clear"/>
            <w:tcMar>
              <w:top w:w="0.0" w:type="dxa"/>
              <w:left w:w="108.0" w:type="dxa"/>
              <w:bottom w:w="0.0" w:type="dxa"/>
              <w:right w:w="108.0" w:type="dxa"/>
            </w:tcMar>
            <w:vAlign w:val="top"/>
          </w:tcPr>
          <w:p w:rsidR="00000000" w:rsidDel="00000000" w:rsidP="00000000" w:rsidRDefault="00000000" w:rsidRPr="00000000" w14:paraId="000002F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(-6.91)</w:t>
            </w:r>
          </w:p>
        </w:tc>
        <w:tc>
          <w:tcPr>
            <w:shd w:fill="auto" w:val="clear"/>
            <w:tcMar>
              <w:top w:w="0.0" w:type="dxa"/>
              <w:left w:w="108.0" w:type="dxa"/>
              <w:bottom w:w="0.0" w:type="dxa"/>
              <w:right w:w="108.0" w:type="dxa"/>
            </w:tcMar>
            <w:vAlign w:val="top"/>
          </w:tcPr>
          <w:p w:rsidR="00000000" w:rsidDel="00000000" w:rsidP="00000000" w:rsidRDefault="00000000" w:rsidRPr="00000000" w14:paraId="000002F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(-5.53)</w:t>
            </w:r>
          </w:p>
        </w:tc>
        <w:tc>
          <w:tcPr>
            <w:shd w:fill="auto" w:val="clear"/>
            <w:tcMar>
              <w:top w:w="0.0" w:type="dxa"/>
              <w:left w:w="108.0" w:type="dxa"/>
              <w:bottom w:w="0.0" w:type="dxa"/>
              <w:right w:w="108.0" w:type="dxa"/>
            </w:tcMar>
            <w:vAlign w:val="top"/>
          </w:tcPr>
          <w:p w:rsidR="00000000" w:rsidDel="00000000" w:rsidP="00000000" w:rsidRDefault="00000000" w:rsidRPr="00000000" w14:paraId="000002F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(4.46)</w:t>
            </w:r>
          </w:p>
        </w:tc>
        <w:tc>
          <w:tcPr>
            <w:shd w:fill="auto" w:val="clear"/>
            <w:tcMar>
              <w:top w:w="0.0" w:type="dxa"/>
              <w:left w:w="108.0" w:type="dxa"/>
              <w:bottom w:w="0.0" w:type="dxa"/>
              <w:right w:w="108.0" w:type="dxa"/>
            </w:tcMar>
            <w:vAlign w:val="top"/>
          </w:tcPr>
          <w:p w:rsidR="00000000" w:rsidDel="00000000" w:rsidP="00000000" w:rsidRDefault="00000000" w:rsidRPr="00000000" w14:paraId="000002F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-0.30</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(-5.17)</w:t>
            </w:r>
          </w:p>
        </w:tc>
        <w:tc>
          <w:tcPr>
            <w:shd w:fill="auto" w:val="clear"/>
            <w:tcMar>
              <w:top w:w="0.0" w:type="dxa"/>
              <w:left w:w="108.0" w:type="dxa"/>
              <w:bottom w:w="0.0" w:type="dxa"/>
              <w:right w:w="108.0" w:type="dxa"/>
            </w:tcMar>
            <w:vAlign w:val="top"/>
          </w:tcPr>
          <w:p w:rsidR="00000000" w:rsidDel="00000000" w:rsidP="00000000" w:rsidRDefault="00000000" w:rsidRPr="00000000" w14:paraId="0000030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2008</w:t>
            </w:r>
          </w:p>
        </w:tc>
        <w:tc>
          <w:tcPr>
            <w:shd w:fill="auto" w:val="clear"/>
            <w:tcMar>
              <w:top w:w="0.0" w:type="dxa"/>
              <w:left w:w="108.0" w:type="dxa"/>
              <w:bottom w:w="0.0" w:type="dxa"/>
              <w:right w:w="108.0" w:type="dxa"/>
            </w:tcMar>
            <w:vAlign w:val="top"/>
          </w:tcPr>
          <w:p w:rsidR="00000000" w:rsidDel="00000000" w:rsidP="00000000" w:rsidRDefault="00000000" w:rsidRPr="00000000" w14:paraId="0000030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(-12.25)</w:t>
            </w:r>
          </w:p>
        </w:tc>
        <w:tc>
          <w:tcPr>
            <w:shd w:fill="auto" w:val="clear"/>
            <w:tcMar>
              <w:top w:w="0.0" w:type="dxa"/>
              <w:left w:w="108.0" w:type="dxa"/>
              <w:bottom w:w="0.0" w:type="dxa"/>
              <w:right w:w="108.0" w:type="dxa"/>
            </w:tcMar>
            <w:vAlign w:val="top"/>
          </w:tcPr>
          <w:p w:rsidR="00000000" w:rsidDel="00000000" w:rsidP="00000000" w:rsidRDefault="00000000" w:rsidRPr="00000000" w14:paraId="0000030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(-10.75)</w:t>
            </w:r>
          </w:p>
        </w:tc>
        <w:tc>
          <w:tcPr>
            <w:shd w:fill="auto" w:val="clear"/>
            <w:tcMar>
              <w:top w:w="0.0" w:type="dxa"/>
              <w:left w:w="108.0" w:type="dxa"/>
              <w:bottom w:w="0.0" w:type="dxa"/>
              <w:right w:w="108.0" w:type="dxa"/>
            </w:tcMar>
            <w:vAlign w:val="top"/>
          </w:tcPr>
          <w:p w:rsidR="00000000" w:rsidDel="00000000" w:rsidP="00000000" w:rsidRDefault="00000000" w:rsidRPr="00000000" w14:paraId="0000030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30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-0.21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(-5.94)</w:t>
            </w:r>
          </w:p>
        </w:tc>
        <w:tc>
          <w:tcPr>
            <w:shd w:fill="auto" w:val="clear"/>
            <w:tcMar>
              <w:top w:w="0.0" w:type="dxa"/>
              <w:left w:w="108.0" w:type="dxa"/>
              <w:bottom w:w="0.0" w:type="dxa"/>
              <w:right w:w="108.0" w:type="dxa"/>
            </w:tcMar>
            <w:vAlign w:val="top"/>
          </w:tcPr>
          <w:p w:rsidR="00000000" w:rsidDel="00000000" w:rsidP="00000000" w:rsidRDefault="00000000" w:rsidRPr="00000000" w14:paraId="0000030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(-9.24)</w:t>
            </w:r>
          </w:p>
        </w:tc>
        <w:tc>
          <w:tcPr>
            <w:shd w:fill="auto" w:val="clear"/>
            <w:tcMar>
              <w:top w:w="0.0" w:type="dxa"/>
              <w:left w:w="108.0" w:type="dxa"/>
              <w:bottom w:w="0.0" w:type="dxa"/>
              <w:right w:w="108.0" w:type="dxa"/>
            </w:tcMar>
            <w:vAlign w:val="top"/>
          </w:tcPr>
          <w:p w:rsidR="00000000" w:rsidDel="00000000" w:rsidP="00000000" w:rsidRDefault="00000000" w:rsidRPr="00000000" w14:paraId="0000030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0.11</w:t>
              <w:br w:type="textWrapping"/>
              <w:t xml:space="preserve">(1.36)</w:t>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(-9.04)</w:t>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2012</w:t>
            </w:r>
          </w:p>
        </w:tc>
        <w:tc>
          <w:tcPr>
            <w:shd w:fill="auto" w:val="clear"/>
            <w:tcMar>
              <w:top w:w="0.0" w:type="dxa"/>
              <w:left w:w="108.0" w:type="dxa"/>
              <w:bottom w:w="0.0" w:type="dxa"/>
              <w:right w:w="108.0" w:type="dxa"/>
            </w:tcMar>
            <w:vAlign w:val="top"/>
          </w:tcPr>
          <w:p w:rsidR="00000000" w:rsidDel="00000000" w:rsidP="00000000" w:rsidRDefault="00000000" w:rsidRPr="00000000" w14:paraId="0000030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-0.61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(-12.91)</w:t>
            </w:r>
          </w:p>
        </w:tc>
        <w:tc>
          <w:tcPr>
            <w:shd w:fill="auto" w:val="clear"/>
            <w:tcMar>
              <w:top w:w="0.0" w:type="dxa"/>
              <w:left w:w="108.0" w:type="dxa"/>
              <w:bottom w:w="0.0" w:type="dxa"/>
              <w:right w:w="108.0" w:type="dxa"/>
            </w:tcMar>
            <w:vAlign w:val="top"/>
          </w:tcPr>
          <w:p w:rsidR="00000000" w:rsidDel="00000000" w:rsidP="00000000" w:rsidRDefault="00000000" w:rsidRPr="00000000" w14:paraId="0000030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-0.68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30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-0.07</w:t>
              <w:br w:type="textWrapping"/>
              <w:t xml:space="preserve">(-1.71)</w:t>
            </w:r>
          </w:p>
        </w:tc>
        <w:tc>
          <w:tcPr>
            <w:shd w:fill="auto" w:val="clear"/>
            <w:tcMar>
              <w:top w:w="0.0" w:type="dxa"/>
              <w:left w:w="108.0" w:type="dxa"/>
              <w:bottom w:w="0.0" w:type="dxa"/>
              <w:right w:w="108.0" w:type="dxa"/>
            </w:tcMar>
            <w:vAlign w:val="top"/>
          </w:tcPr>
          <w:p w:rsidR="00000000" w:rsidDel="00000000" w:rsidP="00000000" w:rsidRDefault="00000000" w:rsidRPr="00000000" w14:paraId="0000030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-0.32</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(-8.51)</w:t>
            </w:r>
          </w:p>
        </w:tc>
        <w:tc>
          <w:tcPr>
            <w:shd w:fill="auto" w:val="clear"/>
            <w:tcMar>
              <w:top w:w="0.0" w:type="dxa"/>
              <w:left w:w="108.0" w:type="dxa"/>
              <w:bottom w:w="0.0" w:type="dxa"/>
              <w:right w:w="108.0" w:type="dxa"/>
            </w:tcMar>
            <w:vAlign w:val="top"/>
          </w:tcPr>
          <w:p w:rsidR="00000000" w:rsidDel="00000000" w:rsidP="00000000" w:rsidRDefault="00000000" w:rsidRPr="00000000" w14:paraId="0000030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(-9.19)</w:t>
            </w:r>
          </w:p>
        </w:tc>
        <w:tc>
          <w:tcPr>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(2.06)</w:t>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-0.54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(-8.92)</w:t>
            </w:r>
          </w:p>
        </w:tc>
        <w:tc>
          <w:tcPr>
            <w:shd w:fill="auto" w:val="clear"/>
            <w:tcMar>
              <w:top w:w="0.0" w:type="dxa"/>
              <w:left w:w="108.0" w:type="dxa"/>
              <w:bottom w:w="0.0" w:type="dxa"/>
              <w:right w:w="108.0" w:type="dxa"/>
            </w:tcMar>
            <w:vAlign w:val="top"/>
          </w:tcPr>
          <w:p w:rsidR="00000000" w:rsidDel="00000000" w:rsidP="00000000" w:rsidRDefault="00000000" w:rsidRPr="00000000" w14:paraId="0000031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-0.63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(-8.54)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i w:val="1"/>
                <w:iCs w:val="1"/>
                <w:sz w:val="24"/>
                <w:szCs w:val="24"/>
                <w:vertAlign w:val="subscript"/>
              </w:rPr>
            </w:pPr>
            <w:r w:rsidDel="00000000" w:rsidR="00000000" w:rsidRPr="00000000">
              <w:rPr>
                <w:rFonts w:ascii="Cardo" w:cs="Cardo" w:eastAsia="Cardo" w:hAnsi="Cardo"/>
                <w:i w:val="1"/>
                <w:iCs w:val="1"/>
                <w:sz w:val="24"/>
                <w:szCs w:val="24"/>
                <w:rtl w:val="0"/>
              </w:rPr>
              <w:t xml:space="preserve">ɣ</w:t>
            </w:r>
            <w:r w:rsidDel="00000000" w:rsidR="00000000" w:rsidRPr="00000000">
              <w:rPr>
                <w:i w:val="1"/>
                <w:iCs w:val="1"/>
                <w:sz w:val="24"/>
                <w:szCs w:val="24"/>
                <w:vertAlign w:val="subscript"/>
                <w:rtl w:val="0"/>
              </w:rPr>
              <w:t xml:space="preserve">0</w:t>
            </w:r>
          </w:p>
        </w:tc>
        <w:tc>
          <w:tcPr>
            <w:shd w:fill="auto" w:val="clear"/>
            <w:tcMar>
              <w:top w:w="0.0" w:type="dxa"/>
              <w:left w:w="108.0" w:type="dxa"/>
              <w:bottom w:w="0.0" w:type="dxa"/>
              <w:right w:w="108.0" w:type="dxa"/>
            </w:tcMar>
            <w:vAlign w:val="top"/>
          </w:tcPr>
          <w:p w:rsidR="00000000" w:rsidDel="00000000" w:rsidP="00000000" w:rsidRDefault="00000000" w:rsidRPr="00000000" w14:paraId="0000031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-0.73</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31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(-5.07)</w:t>
            </w:r>
          </w:p>
        </w:tc>
        <w:tc>
          <w:tcPr>
            <w:shd w:fill="auto" w:val="clear"/>
            <w:tcMar>
              <w:top w:w="0.0" w:type="dxa"/>
              <w:left w:w="108.0" w:type="dxa"/>
              <w:bottom w:w="0.0" w:type="dxa"/>
              <w:right w:w="108.0" w:type="dxa"/>
            </w:tcMar>
            <w:vAlign w:val="top"/>
          </w:tcPr>
          <w:p w:rsidR="00000000" w:rsidDel="00000000" w:rsidP="00000000" w:rsidRDefault="00000000" w:rsidRPr="00000000" w14:paraId="0000031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-0.19</w:t>
              <w:br w:type="textWrapping"/>
              <w:t xml:space="preserve">(-1.11)</w:t>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(-5.39)</w:t>
            </w:r>
          </w:p>
        </w:tc>
        <w:tc>
          <w:tcPr>
            <w:shd w:fill="auto" w:val="clear"/>
            <w:tcMar>
              <w:top w:w="0.0" w:type="dxa"/>
              <w:left w:w="108.0" w:type="dxa"/>
              <w:bottom w:w="0.0" w:type="dxa"/>
              <w:right w:w="108.0" w:type="dxa"/>
            </w:tcMar>
            <w:vAlign w:val="top"/>
          </w:tcPr>
          <w:p w:rsidR="00000000" w:rsidDel="00000000" w:rsidP="00000000" w:rsidRDefault="00000000" w:rsidRPr="00000000" w14:paraId="0000031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-0.66</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(-2.73)</w:t>
            </w:r>
          </w:p>
        </w:tc>
        <w:tc>
          <w:tcPr>
            <w:shd w:fill="auto" w:val="clear"/>
            <w:tcMar>
              <w:top w:w="0.0" w:type="dxa"/>
              <w:left w:w="108.0" w:type="dxa"/>
              <w:bottom w:w="0.0" w:type="dxa"/>
              <w:right w:w="108.0" w:type="dxa"/>
            </w:tcMar>
            <w:vAlign w:val="top"/>
          </w:tcPr>
          <w:p w:rsidR="00000000" w:rsidDel="00000000" w:rsidP="00000000" w:rsidRDefault="00000000" w:rsidRPr="00000000" w14:paraId="0000031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0.30</w:t>
              <w:br w:type="textWrapping"/>
              <w:t xml:space="preserve">(1.14)</w:t>
            </w:r>
          </w:p>
        </w:tc>
        <w:tc>
          <w:tcPr>
            <w:shd w:fill="auto" w:val="clear"/>
            <w:tcMar>
              <w:top w:w="0.0" w:type="dxa"/>
              <w:left w:w="108.0" w:type="dxa"/>
              <w:bottom w:w="0.0" w:type="dxa"/>
              <w:right w:w="108.0" w:type="dxa"/>
            </w:tcMar>
            <w:vAlign w:val="top"/>
          </w:tcPr>
          <w:p w:rsidR="00000000" w:rsidDel="00000000" w:rsidP="00000000" w:rsidRDefault="00000000" w:rsidRPr="00000000" w14:paraId="0000031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-2.78</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(-7.70)</w:t>
            </w:r>
          </w:p>
        </w:tc>
        <w:tc>
          <w:tcPr>
            <w:shd w:fill="auto" w:val="clear"/>
            <w:tcMar>
              <w:top w:w="0.0" w:type="dxa"/>
              <w:left w:w="108.0" w:type="dxa"/>
              <w:bottom w:w="0.0" w:type="dxa"/>
              <w:right w:w="108.0" w:type="dxa"/>
            </w:tcMar>
            <w:vAlign w:val="top"/>
          </w:tcPr>
          <w:p w:rsidR="00000000" w:rsidDel="00000000" w:rsidP="00000000" w:rsidRDefault="00000000" w:rsidRPr="00000000" w14:paraId="0000031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-2.29</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(-5.13)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i w:val="1"/>
                <w:iCs w:val="1"/>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1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2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i w:val="1"/>
                <w:iCs w:val="1"/>
                <w:sz w:val="24"/>
                <w:szCs w:val="24"/>
                <w:vertAlign w:val="subscript"/>
              </w:rPr>
            </w:pPr>
            <w:r w:rsidDel="00000000" w:rsidR="00000000" w:rsidRPr="00000000">
              <w:rPr>
                <w:i w:val="1"/>
                <w:iCs w:val="1"/>
                <w:sz w:val="24"/>
                <w:szCs w:val="24"/>
                <w:rtl w:val="0"/>
              </w:rPr>
              <w:t xml:space="preserve">v</w:t>
            </w:r>
            <w:r w:rsidDel="00000000" w:rsidR="00000000" w:rsidRPr="00000000">
              <w:rPr>
                <w:i w:val="1"/>
                <w:iCs w:val="1"/>
                <w:sz w:val="24"/>
                <w:szCs w:val="24"/>
                <w:vertAlign w:val="subscript"/>
                <w:rtl w:val="0"/>
              </w:rPr>
              <w:t xml:space="preserve">0j</w:t>
            </w:r>
          </w:p>
        </w:tc>
        <w:tc>
          <w:tcPr>
            <w:shd w:fill="auto" w:val="clear"/>
            <w:tcMar>
              <w:top w:w="0.0" w:type="dxa"/>
              <w:left w:w="108.0" w:type="dxa"/>
              <w:bottom w:w="0.0" w:type="dxa"/>
              <w:right w:w="108.0" w:type="dxa"/>
            </w:tcMar>
            <w:vAlign w:val="top"/>
          </w:tcPr>
          <w:p w:rsidR="00000000" w:rsidDel="00000000" w:rsidP="00000000" w:rsidRDefault="00000000" w:rsidRPr="00000000" w14:paraId="0000032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0.05</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(2.69)</w:t>
            </w:r>
          </w:p>
        </w:tc>
        <w:tc>
          <w:tcPr>
            <w:shd w:fill="auto" w:val="clear"/>
            <w:tcMar>
              <w:top w:w="0.0" w:type="dxa"/>
              <w:left w:w="108.0" w:type="dxa"/>
              <w:bottom w:w="0.0" w:type="dxa"/>
              <w:right w:w="108.0" w:type="dxa"/>
            </w:tcMar>
            <w:vAlign w:val="top"/>
          </w:tcPr>
          <w:p w:rsidR="00000000" w:rsidDel="00000000" w:rsidP="00000000" w:rsidRDefault="00000000" w:rsidRPr="00000000" w14:paraId="0000032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(2.52)</w:t>
            </w:r>
          </w:p>
        </w:tc>
        <w:tc>
          <w:tcPr>
            <w:shd w:fill="auto" w:val="clear"/>
            <w:tcMar>
              <w:top w:w="0.0" w:type="dxa"/>
              <w:left w:w="108.0" w:type="dxa"/>
              <w:bottom w:w="0.0" w:type="dxa"/>
              <w:right w:w="108.0" w:type="dxa"/>
            </w:tcMar>
            <w:vAlign w:val="top"/>
          </w:tcPr>
          <w:p w:rsidR="00000000" w:rsidDel="00000000" w:rsidP="00000000" w:rsidRDefault="00000000" w:rsidRPr="00000000" w14:paraId="0000032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0.01</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2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(2.72)</w:t>
            </w:r>
          </w:p>
        </w:tc>
        <w:tc>
          <w:tcPr>
            <w:shd w:fill="auto" w:val="clear"/>
            <w:tcMar>
              <w:top w:w="0.0" w:type="dxa"/>
              <w:left w:w="108.0" w:type="dxa"/>
              <w:bottom w:w="0.0" w:type="dxa"/>
              <w:right w:w="108.0" w:type="dxa"/>
            </w:tcMar>
            <w:vAlign w:val="top"/>
          </w:tcPr>
          <w:p w:rsidR="00000000" w:rsidDel="00000000" w:rsidP="00000000" w:rsidRDefault="00000000" w:rsidRPr="00000000" w14:paraId="0000032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0.14</w:t>
            </w:r>
            <w:r w:rsidDel="00000000" w:rsidR="00000000" w:rsidRPr="00000000">
              <w:rPr>
                <w:sz w:val="24"/>
                <w:szCs w:val="24"/>
                <w:vertAlign w:val="superscript"/>
                <w:rtl w:val="0"/>
              </w:rPr>
              <w:t xml:space="preserve">*</w:t>
            </w:r>
            <w:r w:rsidDel="00000000" w:rsidR="00000000" w:rsidRPr="00000000">
              <w:rPr>
                <w:sz w:val="24"/>
                <w:szCs w:val="24"/>
                <w:rtl w:val="0"/>
              </w:rPr>
              <w:br w:type="textWrapping"/>
              <w:t xml:space="preserve">(3.02)</w:t>
            </w:r>
          </w:p>
        </w:tc>
        <w:tc>
          <w:tcPr>
            <w:shd w:fill="auto" w:val="clear"/>
            <w:tcMar>
              <w:top w:w="0.0" w:type="dxa"/>
              <w:left w:w="108.0" w:type="dxa"/>
              <w:bottom w:w="0.0" w:type="dxa"/>
              <w:right w:w="108.0" w:type="dxa"/>
            </w:tcMar>
            <w:vAlign w:val="top"/>
          </w:tcPr>
          <w:p w:rsidR="00000000" w:rsidDel="00000000" w:rsidP="00000000" w:rsidRDefault="00000000" w:rsidRPr="00000000" w14:paraId="0000032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0.00</w:t>
              <w:br w:type="textWrapping"/>
              <w:t xml:space="preserve">(0.67)</w:t>
            </w:r>
          </w:p>
        </w:tc>
        <w:tc>
          <w:tcPr>
            <w:shd w:fill="auto" w:val="clear"/>
            <w:tcMar>
              <w:top w:w="0.0" w:type="dxa"/>
              <w:left w:w="108.0" w:type="dxa"/>
              <w:bottom w:w="0.0" w:type="dxa"/>
              <w:right w:w="108.0" w:type="dxa"/>
            </w:tcMar>
            <w:vAlign w:val="top"/>
          </w:tcPr>
          <w:p w:rsidR="00000000" w:rsidDel="00000000" w:rsidP="00000000" w:rsidRDefault="00000000" w:rsidRPr="00000000" w14:paraId="0000032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0.01</w:t>
              <w:br w:type="textWrapping"/>
              <w:t xml:space="preserve">(1.57)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Obs</w:t>
            </w:r>
          </w:p>
        </w:tc>
        <w:tc>
          <w:tcPr>
            <w:shd w:fill="auto" w:val="clear"/>
            <w:tcMar>
              <w:top w:w="0.0" w:type="dxa"/>
              <w:left w:w="108.0" w:type="dxa"/>
              <w:bottom w:w="0.0" w:type="dxa"/>
              <w:right w:w="108.0" w:type="dxa"/>
            </w:tcMar>
            <w:vAlign w:val="top"/>
          </w:tcPr>
          <w:p w:rsidR="00000000" w:rsidDel="00000000" w:rsidP="00000000" w:rsidRDefault="00000000" w:rsidRPr="00000000" w14:paraId="0000032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71902</w:t>
            </w:r>
          </w:p>
        </w:tc>
        <w:tc>
          <w:tcPr>
            <w:shd w:fill="auto" w:val="clear"/>
            <w:tcMar>
              <w:top w:w="0.0" w:type="dxa"/>
              <w:left w:w="108.0" w:type="dxa"/>
              <w:bottom w:w="0.0" w:type="dxa"/>
              <w:right w:w="108.0" w:type="dxa"/>
            </w:tcMar>
            <w:vAlign w:val="top"/>
          </w:tcPr>
          <w:p w:rsidR="00000000" w:rsidDel="00000000" w:rsidP="00000000" w:rsidRDefault="00000000" w:rsidRPr="00000000" w14:paraId="0000033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71941</w:t>
            </w:r>
          </w:p>
        </w:tc>
        <w:tc>
          <w:tcPr>
            <w:shd w:fill="auto" w:val="clear"/>
            <w:tcMar>
              <w:top w:w="0.0" w:type="dxa"/>
              <w:left w:w="108.0" w:type="dxa"/>
              <w:bottom w:w="0.0" w:type="dxa"/>
              <w:right w:w="108.0" w:type="dxa"/>
            </w:tcMar>
            <w:vAlign w:val="top"/>
          </w:tcPr>
          <w:p w:rsidR="00000000" w:rsidDel="00000000" w:rsidP="00000000" w:rsidRDefault="00000000" w:rsidRPr="00000000" w14:paraId="0000033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96315</w:t>
            </w:r>
          </w:p>
        </w:tc>
        <w:tc>
          <w:tcPr>
            <w:shd w:fill="auto" w:val="clear"/>
            <w:tcMar>
              <w:top w:w="0.0" w:type="dxa"/>
              <w:left w:w="108.0" w:type="dxa"/>
              <w:bottom w:w="0.0" w:type="dxa"/>
              <w:right w:w="108.0" w:type="dxa"/>
            </w:tcMar>
            <w:vAlign w:val="top"/>
          </w:tcPr>
          <w:p w:rsidR="00000000" w:rsidDel="00000000" w:rsidP="00000000" w:rsidRDefault="00000000" w:rsidRPr="00000000" w14:paraId="0000033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96487</w:t>
            </w:r>
          </w:p>
        </w:tc>
        <w:tc>
          <w:tcPr>
            <w:shd w:fill="auto" w:val="clear"/>
            <w:tcMar>
              <w:top w:w="0.0" w:type="dxa"/>
              <w:left w:w="108.0" w:type="dxa"/>
              <w:bottom w:w="0.0" w:type="dxa"/>
              <w:right w:w="108.0" w:type="dxa"/>
            </w:tcMar>
            <w:vAlign w:val="top"/>
          </w:tcPr>
          <w:p w:rsidR="00000000" w:rsidDel="00000000" w:rsidP="00000000" w:rsidRDefault="00000000" w:rsidRPr="00000000" w14:paraId="0000033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96559</w:t>
            </w:r>
          </w:p>
        </w:tc>
        <w:tc>
          <w:tcPr>
            <w:shd w:fill="auto" w:val="clear"/>
            <w:tcMar>
              <w:top w:w="0.0" w:type="dxa"/>
              <w:left w:w="108.0" w:type="dxa"/>
              <w:bottom w:w="0.0" w:type="dxa"/>
              <w:right w:w="108.0" w:type="dxa"/>
            </w:tcMar>
            <w:vAlign w:val="top"/>
          </w:tcPr>
          <w:p w:rsidR="00000000" w:rsidDel="00000000" w:rsidP="00000000" w:rsidRDefault="00000000" w:rsidRPr="00000000" w14:paraId="0000033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96640</w:t>
            </w:r>
          </w:p>
        </w:tc>
        <w:tc>
          <w:tcPr>
            <w:shd w:fill="auto" w:val="clear"/>
            <w:tcMar>
              <w:top w:w="0.0" w:type="dxa"/>
              <w:left w:w="108.0" w:type="dxa"/>
              <w:bottom w:w="0.0" w:type="dxa"/>
              <w:right w:w="108.0" w:type="dxa"/>
            </w:tcMar>
            <w:vAlign w:val="top"/>
          </w:tcPr>
          <w:p w:rsidR="00000000" w:rsidDel="00000000" w:rsidP="00000000" w:rsidRDefault="00000000" w:rsidRPr="00000000" w14:paraId="0000033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96462</w:t>
            </w:r>
          </w:p>
        </w:tc>
        <w:tc>
          <w:tcPr>
            <w:shd w:fill="auto" w:val="clear"/>
            <w:tcMar>
              <w:top w:w="0.0" w:type="dxa"/>
              <w:left w:w="108.0" w:type="dxa"/>
              <w:bottom w:w="0.0" w:type="dxa"/>
              <w:right w:w="108.0" w:type="dxa"/>
            </w:tcMar>
            <w:vAlign w:val="top"/>
          </w:tcPr>
          <w:p w:rsidR="00000000" w:rsidDel="00000000" w:rsidP="00000000" w:rsidRDefault="00000000" w:rsidRPr="00000000" w14:paraId="0000033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96529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3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rPr>
            </w:pPr>
            <w:r w:rsidDel="00000000" w:rsidR="00000000" w:rsidRPr="00000000">
              <w:rPr>
                <w:sz w:val="24"/>
                <w:szCs w:val="24"/>
                <w:rtl w:val="0"/>
              </w:rPr>
              <w:t xml:space="preserve">BIC</w:t>
            </w:r>
          </w:p>
        </w:tc>
        <w:tc>
          <w:tcPr>
            <w:shd w:fill="auto" w:val="clear"/>
            <w:tcMar>
              <w:top w:w="0.0" w:type="dxa"/>
              <w:left w:w="108.0" w:type="dxa"/>
              <w:bottom w:w="0.0" w:type="dxa"/>
              <w:right w:w="108.0" w:type="dxa"/>
            </w:tcMar>
            <w:vAlign w:val="top"/>
          </w:tcPr>
          <w:p w:rsidR="00000000" w:rsidDel="00000000" w:rsidP="00000000" w:rsidRDefault="00000000" w:rsidRPr="00000000" w14:paraId="0000033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81534.6</w:t>
            </w:r>
          </w:p>
        </w:tc>
        <w:tc>
          <w:tcPr>
            <w:shd w:fill="auto" w:val="clear"/>
            <w:tcMar>
              <w:top w:w="0.0" w:type="dxa"/>
              <w:left w:w="108.0" w:type="dxa"/>
              <w:bottom w:w="0.0" w:type="dxa"/>
              <w:right w:w="108.0" w:type="dxa"/>
            </w:tcMar>
            <w:vAlign w:val="top"/>
          </w:tcPr>
          <w:p w:rsidR="00000000" w:rsidDel="00000000" w:rsidP="00000000" w:rsidRDefault="00000000" w:rsidRPr="00000000" w14:paraId="0000033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83104.9</w:t>
            </w:r>
          </w:p>
        </w:tc>
        <w:tc>
          <w:tcPr>
            <w:shd w:fill="auto" w:val="clear"/>
            <w:tcMar>
              <w:top w:w="0.0" w:type="dxa"/>
              <w:left w:w="108.0" w:type="dxa"/>
              <w:bottom w:w="0.0" w:type="dxa"/>
              <w:right w:w="108.0" w:type="dxa"/>
            </w:tcMar>
            <w:vAlign w:val="top"/>
          </w:tcPr>
          <w:p w:rsidR="00000000" w:rsidDel="00000000" w:rsidP="00000000" w:rsidRDefault="00000000" w:rsidRPr="00000000" w14:paraId="0000033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96102.9</w:t>
            </w:r>
          </w:p>
        </w:tc>
        <w:tc>
          <w:tcPr>
            <w:shd w:fill="auto" w:val="clear"/>
            <w:tcMar>
              <w:top w:w="0.0" w:type="dxa"/>
              <w:left w:w="108.0" w:type="dxa"/>
              <w:bottom w:w="0.0" w:type="dxa"/>
              <w:right w:w="108.0" w:type="dxa"/>
            </w:tcMar>
            <w:vAlign w:val="top"/>
          </w:tcPr>
          <w:p w:rsidR="00000000" w:rsidDel="00000000" w:rsidP="00000000" w:rsidRDefault="00000000" w:rsidRPr="00000000" w14:paraId="0000033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83208.8</w:t>
            </w:r>
          </w:p>
        </w:tc>
        <w:tc>
          <w:tcPr>
            <w:shd w:fill="auto" w:val="clear"/>
            <w:tcMar>
              <w:top w:w="0.0" w:type="dxa"/>
              <w:left w:w="108.0" w:type="dxa"/>
              <w:bottom w:w="0.0" w:type="dxa"/>
              <w:right w:w="108.0" w:type="dxa"/>
            </w:tcMar>
            <w:vAlign w:val="top"/>
          </w:tcPr>
          <w:p w:rsidR="00000000" w:rsidDel="00000000" w:rsidP="00000000" w:rsidRDefault="00000000" w:rsidRPr="00000000" w14:paraId="0000033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62578.9</w:t>
            </w:r>
          </w:p>
        </w:tc>
        <w:tc>
          <w:tcPr>
            <w:shd w:fill="auto" w:val="clear"/>
            <w:tcMar>
              <w:top w:w="0.0" w:type="dxa"/>
              <w:left w:w="108.0" w:type="dxa"/>
              <w:bottom w:w="0.0" w:type="dxa"/>
              <w:right w:w="108.0" w:type="dxa"/>
            </w:tcMar>
            <w:vAlign w:val="top"/>
          </w:tcPr>
          <w:p w:rsidR="00000000" w:rsidDel="00000000" w:rsidP="00000000" w:rsidRDefault="00000000" w:rsidRPr="00000000" w14:paraId="0000033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56042.1</w:t>
            </w:r>
          </w:p>
        </w:tc>
        <w:tc>
          <w:tcPr>
            <w:shd w:fill="auto" w:val="clear"/>
            <w:tcMar>
              <w:top w:w="0.0" w:type="dxa"/>
              <w:left w:w="108.0" w:type="dxa"/>
              <w:bottom w:w="0.0" w:type="dxa"/>
              <w:right w:w="108.0" w:type="dxa"/>
            </w:tcMar>
            <w:vAlign w:val="top"/>
          </w:tcPr>
          <w:p w:rsidR="00000000" w:rsidDel="00000000" w:rsidP="00000000" w:rsidRDefault="00000000" w:rsidRPr="00000000" w14:paraId="0000033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29288.9</w:t>
            </w:r>
          </w:p>
        </w:tc>
        <w:tc>
          <w:tcPr>
            <w:shd w:fill="auto" w:val="clear"/>
            <w:tcMar>
              <w:top w:w="0.0" w:type="dxa"/>
              <w:left w:w="108.0" w:type="dxa"/>
              <w:bottom w:w="0.0" w:type="dxa"/>
              <w:right w:w="108.0" w:type="dxa"/>
            </w:tcMar>
            <w:vAlign w:val="top"/>
          </w:tcPr>
          <w:p w:rsidR="00000000" w:rsidDel="00000000" w:rsidP="00000000" w:rsidRDefault="00000000" w:rsidRPr="00000000" w14:paraId="0000033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22725.6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4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4"/>
                <w:szCs w:val="24"/>
                <w:vertAlign w:val="superscript"/>
              </w:rPr>
            </w:pPr>
            <w:r w:rsidDel="00000000" w:rsidR="00000000" w:rsidRPr="00000000">
              <w:rPr>
                <w:rFonts w:ascii="Cardo" w:cs="Cardo" w:eastAsia="Cardo" w:hAnsi="Cardo"/>
                <w:sz w:val="24"/>
                <w:szCs w:val="24"/>
                <w:rtl w:val="0"/>
              </w:rPr>
              <w:t xml:space="preserve">Ꭓ</w:t>
            </w:r>
            <w:r w:rsidDel="00000000" w:rsidR="00000000" w:rsidRPr="00000000">
              <w:rPr>
                <w:sz w:val="24"/>
                <w:szCs w:val="24"/>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34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5734.6</w:t>
            </w:r>
          </w:p>
        </w:tc>
        <w:tc>
          <w:tcPr>
            <w:shd w:fill="auto" w:val="clear"/>
            <w:tcMar>
              <w:top w:w="0.0" w:type="dxa"/>
              <w:left w:w="108.0" w:type="dxa"/>
              <w:bottom w:w="0.0" w:type="dxa"/>
              <w:right w:w="108.0" w:type="dxa"/>
            </w:tcMar>
            <w:vAlign w:val="top"/>
          </w:tcPr>
          <w:p w:rsidR="00000000" w:rsidDel="00000000" w:rsidP="00000000" w:rsidRDefault="00000000" w:rsidRPr="00000000" w14:paraId="0000034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5451.3</w:t>
            </w:r>
          </w:p>
        </w:tc>
        <w:tc>
          <w:tcPr>
            <w:shd w:fill="auto" w:val="clear"/>
            <w:tcMar>
              <w:top w:w="0.0" w:type="dxa"/>
              <w:left w:w="108.0" w:type="dxa"/>
              <w:bottom w:w="0.0" w:type="dxa"/>
              <w:right w:w="108.0" w:type="dxa"/>
            </w:tcMar>
            <w:vAlign w:val="top"/>
          </w:tcPr>
          <w:p w:rsidR="00000000" w:rsidDel="00000000" w:rsidP="00000000" w:rsidRDefault="00000000" w:rsidRPr="00000000" w14:paraId="0000034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9221.5</w:t>
            </w:r>
          </w:p>
        </w:tc>
        <w:tc>
          <w:tcPr>
            <w:shd w:fill="auto" w:val="clear"/>
            <w:tcMar>
              <w:top w:w="0.0" w:type="dxa"/>
              <w:left w:w="108.0" w:type="dxa"/>
              <w:bottom w:w="0.0" w:type="dxa"/>
              <w:right w:w="108.0" w:type="dxa"/>
            </w:tcMar>
            <w:vAlign w:val="top"/>
          </w:tcPr>
          <w:p w:rsidR="00000000" w:rsidDel="00000000" w:rsidP="00000000" w:rsidRDefault="00000000" w:rsidRPr="00000000" w14:paraId="0000034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6261.2</w:t>
            </w:r>
          </w:p>
        </w:tc>
        <w:tc>
          <w:tcPr>
            <w:shd w:fill="auto" w:val="clear"/>
            <w:tcMar>
              <w:top w:w="0.0" w:type="dxa"/>
              <w:left w:w="108.0" w:type="dxa"/>
              <w:bottom w:w="0.0" w:type="dxa"/>
              <w:right w:w="108.0" w:type="dxa"/>
            </w:tcMar>
            <w:vAlign w:val="top"/>
          </w:tcPr>
          <w:p w:rsidR="00000000" w:rsidDel="00000000" w:rsidP="00000000" w:rsidRDefault="00000000" w:rsidRPr="00000000" w14:paraId="0000034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6389.5</w:t>
            </w:r>
          </w:p>
        </w:tc>
        <w:tc>
          <w:tcPr>
            <w:shd w:fill="auto" w:val="clear"/>
            <w:tcMar>
              <w:top w:w="0.0" w:type="dxa"/>
              <w:left w:w="108.0" w:type="dxa"/>
              <w:bottom w:w="0.0" w:type="dxa"/>
              <w:right w:w="108.0" w:type="dxa"/>
            </w:tcMar>
            <w:vAlign w:val="top"/>
          </w:tcPr>
          <w:p w:rsidR="00000000" w:rsidDel="00000000" w:rsidP="00000000" w:rsidRDefault="00000000" w:rsidRPr="00000000" w14:paraId="0000034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3039.2</w:t>
            </w:r>
          </w:p>
        </w:tc>
        <w:tc>
          <w:tcPr>
            <w:shd w:fill="auto" w:val="clear"/>
            <w:tcMar>
              <w:top w:w="0.0" w:type="dxa"/>
              <w:left w:w="108.0" w:type="dxa"/>
              <w:bottom w:w="0.0" w:type="dxa"/>
              <w:right w:w="108.0" w:type="dxa"/>
            </w:tcMar>
            <w:vAlign w:val="top"/>
          </w:tcPr>
          <w:p w:rsidR="00000000" w:rsidDel="00000000" w:rsidP="00000000" w:rsidRDefault="00000000" w:rsidRPr="00000000" w14:paraId="0000034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2291.3</w:t>
            </w:r>
          </w:p>
        </w:tc>
        <w:tc>
          <w:tcPr>
            <w:shd w:fill="auto" w:val="clear"/>
            <w:tcMar>
              <w:top w:w="0.0" w:type="dxa"/>
              <w:left w:w="108.0" w:type="dxa"/>
              <w:bottom w:w="0.0" w:type="dxa"/>
              <w:right w:w="108.0" w:type="dxa"/>
            </w:tcMar>
            <w:vAlign w:val="top"/>
          </w:tcPr>
          <w:p w:rsidR="00000000" w:rsidDel="00000000" w:rsidP="00000000" w:rsidRDefault="00000000" w:rsidRPr="00000000" w14:paraId="0000034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4"/>
                <w:szCs w:val="24"/>
              </w:rPr>
            </w:pPr>
            <w:r w:rsidDel="00000000" w:rsidR="00000000" w:rsidRPr="00000000">
              <w:rPr>
                <w:sz w:val="24"/>
                <w:szCs w:val="24"/>
                <w:rtl w:val="0"/>
              </w:rPr>
              <w:t xml:space="preserve">1858.3</w:t>
            </w:r>
          </w:p>
        </w:tc>
      </w:tr>
    </w:tbl>
    <w:p w:rsidR="00000000" w:rsidDel="00000000" w:rsidP="00000000" w:rsidRDefault="00000000" w:rsidRPr="00000000" w14:paraId="0000034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rPr>
          <w:rtl w:val="0"/>
        </w:rPr>
        <w:t xml:space="preserve">* </w:t>
      </w:r>
      <w:r w:rsidDel="00000000" w:rsidR="00000000" w:rsidRPr="00000000">
        <w:rPr>
          <w:i w:val="1"/>
          <w:iCs w:val="1"/>
          <w:rtl w:val="0"/>
        </w:rPr>
        <w:t xml:space="preserve">p </w:t>
      </w:r>
      <w:r w:rsidDel="00000000" w:rsidR="00000000" w:rsidRPr="00000000">
        <w:rPr>
          <w:rtl w:val="0"/>
        </w:rPr>
        <w:t xml:space="preserve">&lt; 0.05 (two-tailed test; t-statistics in parentheses)</w:t>
      </w:r>
    </w:p>
    <w:p w:rsidR="00000000" w:rsidDel="00000000" w:rsidP="00000000" w:rsidRDefault="00000000" w:rsidRPr="00000000" w14:paraId="0000034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rPr>
          <w:rtl w:val="0"/>
        </w:rPr>
      </w:r>
    </w:p>
    <w:p w:rsidR="00000000" w:rsidDel="00000000" w:rsidP="00000000" w:rsidRDefault="00000000" w:rsidRPr="00000000" w14:paraId="0000034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4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b w:val="1"/>
          <w:bCs w:val="1"/>
        </w:rPr>
      </w:pPr>
      <w:r w:rsidDel="00000000" w:rsidR="00000000" w:rsidRPr="00000000">
        <w:rPr>
          <w:b w:val="1"/>
          <w:bCs w:val="1"/>
          <w:rtl w:val="0"/>
        </w:rPr>
        <w:t xml:space="preserve">Table 4. Best Linear Unbiased Predictors And Associated T-statistics Of Cohort-level Random Effects Obtained From Multilevel Logistic Hapc For All Eight “core” Participation Activities In The Cumulative Sppa Data File, 1982-2012. </w:t>
      </w:r>
      <w:r w:rsidDel="00000000" w:rsidR="00000000" w:rsidRPr="00000000">
        <w:rPr>
          <w:rtl w:val="0"/>
        </w:rPr>
      </w:r>
    </w:p>
    <w:tbl>
      <w:tblPr>
        <w:tblStyle w:val="Table4"/>
        <w:tblW w:w="891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35"/>
        <w:gridCol w:w="675"/>
        <w:gridCol w:w="675"/>
        <w:gridCol w:w="675"/>
        <w:gridCol w:w="675"/>
        <w:gridCol w:w="690"/>
        <w:gridCol w:w="690"/>
        <w:gridCol w:w="675"/>
        <w:gridCol w:w="675"/>
        <w:gridCol w:w="675"/>
        <w:gridCol w:w="675"/>
        <w:gridCol w:w="690"/>
        <w:gridCol w:w="705"/>
        <w:tblGridChange w:id="0">
          <w:tblGrid>
            <w:gridCol w:w="735"/>
            <w:gridCol w:w="675"/>
            <w:gridCol w:w="675"/>
            <w:gridCol w:w="675"/>
            <w:gridCol w:w="675"/>
            <w:gridCol w:w="690"/>
            <w:gridCol w:w="690"/>
            <w:gridCol w:w="675"/>
            <w:gridCol w:w="675"/>
            <w:gridCol w:w="675"/>
            <w:gridCol w:w="675"/>
            <w:gridCol w:w="690"/>
            <w:gridCol w:w="705"/>
          </w:tblGrid>
        </w:tblGridChange>
      </w:tblGrid>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Hist. Mon.</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Art. Fest.</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Art Museum</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Musical</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Symphony</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1889-</w:t>
            </w:r>
          </w:p>
        </w:tc>
        <w:tc>
          <w:tcPr>
            <w:shd w:fill="auto" w:val="clear"/>
            <w:tcMar>
              <w:top w:w="0.0" w:type="dxa"/>
              <w:left w:w="40.0" w:type="dxa"/>
              <w:bottom w:w="0.0" w:type="dxa"/>
              <w:right w:w="40.0" w:type="dxa"/>
            </w:tcMar>
            <w:vAlign w:val="bottom"/>
          </w:tcPr>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auto" w:val="clear"/>
            <w:tcMar>
              <w:top w:w="0.0" w:type="dxa"/>
              <w:left w:w="40.0" w:type="dxa"/>
              <w:bottom w:w="0.0" w:type="dxa"/>
              <w:right w:w="40.0" w:type="dxa"/>
            </w:tcMar>
            <w:vAlign w:val="bottom"/>
          </w:tcPr>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1893</w:t>
            </w:r>
          </w:p>
        </w:tc>
        <w:tc>
          <w:tcPr>
            <w:shd w:fill="auto" w:val="clear"/>
            <w:tcMar>
              <w:top w:w="0.0" w:type="dxa"/>
              <w:left w:w="40.0" w:type="dxa"/>
              <w:bottom w:w="0.0" w:type="dxa"/>
              <w:right w:w="40.0" w:type="dxa"/>
            </w:tcMar>
            <w:vAlign w:val="bottom"/>
          </w:tcPr>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-1.14</w:t>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c>
          <w:tcPr>
            <w:shd w:fill="auto" w:val="clear"/>
            <w:tcMar>
              <w:top w:w="0.0" w:type="dxa"/>
              <w:left w:w="40.0" w:type="dxa"/>
              <w:bottom w:w="0.0" w:type="dxa"/>
              <w:right w:w="40.0" w:type="dxa"/>
            </w:tcMar>
            <w:vAlign w:val="bottom"/>
          </w:tcPr>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1897</w:t>
            </w:r>
          </w:p>
        </w:tc>
        <w:tc>
          <w:tcPr>
            <w:shd w:fill="auto" w:val="clear"/>
            <w:tcMar>
              <w:top w:w="0.0" w:type="dxa"/>
              <w:left w:w="40.0" w:type="dxa"/>
              <w:bottom w:w="0.0" w:type="dxa"/>
              <w:right w:w="40.0" w:type="dxa"/>
            </w:tcMar>
            <w:vAlign w:val="bottom"/>
          </w:tcPr>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-0.52</w:t>
            </w:r>
          </w:p>
        </w:tc>
        <w:tc>
          <w:tcPr>
            <w:shd w:fill="auto" w:val="clear"/>
            <w:tcMar>
              <w:top w:w="0.0" w:type="dxa"/>
              <w:left w:w="40.0" w:type="dxa"/>
              <w:bottom w:w="0.0" w:type="dxa"/>
              <w:right w:w="40.0" w:type="dxa"/>
            </w:tcMar>
            <w:vAlign w:val="bottom"/>
          </w:tcPr>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-1.02</w:t>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1901</w:t>
            </w:r>
          </w:p>
        </w:tc>
        <w:tc>
          <w:tcPr>
            <w:shd w:fill="auto" w:val="clear"/>
            <w:tcMar>
              <w:top w:w="0.0" w:type="dxa"/>
              <w:left w:w="40.0" w:type="dxa"/>
              <w:bottom w:w="0.0" w:type="dxa"/>
              <w:right w:w="40.0" w:type="dxa"/>
            </w:tcMar>
            <w:vAlign w:val="bottom"/>
          </w:tcPr>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-0.70</w:t>
            </w:r>
          </w:p>
        </w:tc>
        <w:tc>
          <w:tcPr>
            <w:shd w:fill="auto" w:val="clear"/>
            <w:tcMar>
              <w:top w:w="0.0" w:type="dxa"/>
              <w:left w:w="40.0" w:type="dxa"/>
              <w:bottom w:w="0.0" w:type="dxa"/>
              <w:right w:w="40.0" w:type="dxa"/>
            </w:tcMar>
            <w:vAlign w:val="bottom"/>
          </w:tcPr>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auto" w:val="clear"/>
            <w:tcMar>
              <w:top w:w="0.0" w:type="dxa"/>
              <w:left w:w="40.0" w:type="dxa"/>
              <w:bottom w:w="0.0" w:type="dxa"/>
              <w:right w:w="40.0" w:type="dxa"/>
            </w:tcMar>
            <w:vAlign w:val="bottom"/>
          </w:tcPr>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-1.85</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-1.42</w:t>
            </w:r>
          </w:p>
        </w:tc>
        <w:tc>
          <w:tcPr>
            <w:shd w:fill="auto" w:val="clear"/>
            <w:tcMar>
              <w:top w:w="0.0" w:type="dxa"/>
              <w:left w:w="40.0" w:type="dxa"/>
              <w:bottom w:w="0.0" w:type="dxa"/>
              <w:right w:w="40.0" w:type="dxa"/>
            </w:tcMar>
            <w:vAlign w:val="bottom"/>
          </w:tcPr>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-0.86</w:t>
            </w:r>
          </w:p>
        </w:tc>
        <w:tc>
          <w:tcPr>
            <w:shd w:fill="f4cccc" w:val="clear"/>
            <w:tcMar>
              <w:top w:w="0.0" w:type="dxa"/>
              <w:left w:w="40.0" w:type="dxa"/>
              <w:bottom w:w="0.0" w:type="dxa"/>
              <w:right w:w="40.0" w:type="dxa"/>
            </w:tcMar>
            <w:vAlign w:val="bottom"/>
          </w:tcPr>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f4c7c3" w:val="clear"/>
            <w:tcMar>
              <w:top w:w="0.0" w:type="dxa"/>
              <w:left w:w="40.0" w:type="dxa"/>
              <w:bottom w:w="0.0" w:type="dxa"/>
              <w:right w:w="40.0" w:type="dxa"/>
            </w:tcMar>
            <w:vAlign w:val="bottom"/>
          </w:tcPr>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-2.26</w:t>
            </w:r>
          </w:p>
        </w:tc>
        <w:tc>
          <w:tcPr>
            <w:shd w:fill="auto" w:val="clear"/>
            <w:tcMar>
              <w:top w:w="0.0" w:type="dxa"/>
              <w:left w:w="40.0" w:type="dxa"/>
              <w:bottom w:w="0.0" w:type="dxa"/>
              <w:right w:w="40.0" w:type="dxa"/>
            </w:tcMar>
            <w:vAlign w:val="bottom"/>
          </w:tcPr>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-0.89</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1905</w:t>
            </w:r>
          </w:p>
        </w:tc>
        <w:tc>
          <w:tcPr>
            <w:shd w:fill="auto" w:val="clear"/>
            <w:tcMar>
              <w:top w:w="0.0" w:type="dxa"/>
              <w:left w:w="40.0" w:type="dxa"/>
              <w:bottom w:w="0.0" w:type="dxa"/>
              <w:right w:w="40.0" w:type="dxa"/>
            </w:tcMar>
            <w:vAlign w:val="bottom"/>
          </w:tcPr>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-1.56</w:t>
            </w:r>
          </w:p>
        </w:tc>
        <w:tc>
          <w:tcPr>
            <w:shd w:fill="f4cccc" w:val="clear"/>
            <w:tcMar>
              <w:top w:w="0.0" w:type="dxa"/>
              <w:left w:w="40.0" w:type="dxa"/>
              <w:bottom w:w="0.0" w:type="dxa"/>
              <w:right w:w="40.0" w:type="dxa"/>
            </w:tcMar>
            <w:vAlign w:val="bottom"/>
          </w:tcPr>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-0.43</w:t>
            </w:r>
          </w:p>
        </w:tc>
        <w:tc>
          <w:tcPr>
            <w:shd w:fill="f4c7c3" w:val="clear"/>
            <w:tcMar>
              <w:top w:w="0.0" w:type="dxa"/>
              <w:left w:w="40.0" w:type="dxa"/>
              <w:bottom w:w="0.0" w:type="dxa"/>
              <w:right w:w="40.0" w:type="dxa"/>
            </w:tcMar>
            <w:vAlign w:val="bottom"/>
          </w:tcPr>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-3.27</w:t>
            </w:r>
          </w:p>
        </w:tc>
        <w:tc>
          <w:tcPr>
            <w:shd w:fill="auto" w:val="clear"/>
            <w:tcMar>
              <w:top w:w="0.0" w:type="dxa"/>
              <w:left w:w="40.0" w:type="dxa"/>
              <w:bottom w:w="0.0" w:type="dxa"/>
              <w:right w:w="40.0" w:type="dxa"/>
            </w:tcMar>
            <w:vAlign w:val="bottom"/>
          </w:tcPr>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-0.79</w:t>
            </w:r>
          </w:p>
        </w:tc>
        <w:tc>
          <w:tcPr>
            <w:shd w:fill="auto" w:val="clear"/>
            <w:tcMar>
              <w:top w:w="0.0" w:type="dxa"/>
              <w:left w:w="40.0" w:type="dxa"/>
              <w:bottom w:w="0.0" w:type="dxa"/>
              <w:right w:w="40.0" w:type="dxa"/>
            </w:tcMar>
            <w:vAlign w:val="bottom"/>
          </w:tcPr>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-0.46</w:t>
            </w:r>
          </w:p>
        </w:tc>
        <w:tc>
          <w:tcPr>
            <w:shd w:fill="auto" w:val="clear"/>
            <w:tcMar>
              <w:top w:w="0.0" w:type="dxa"/>
              <w:left w:w="40.0" w:type="dxa"/>
              <w:bottom w:w="0.0" w:type="dxa"/>
              <w:right w:w="40.0" w:type="dxa"/>
            </w:tcMar>
            <w:vAlign w:val="bottom"/>
          </w:tcPr>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-1.59</w:t>
            </w:r>
          </w:p>
        </w:tc>
        <w:tc>
          <w:tcPr>
            <w:shd w:fill="auto" w:val="clear"/>
            <w:tcMar>
              <w:top w:w="0.0" w:type="dxa"/>
              <w:left w:w="40.0" w:type="dxa"/>
              <w:bottom w:w="0.0" w:type="dxa"/>
              <w:right w:w="40.0" w:type="dxa"/>
            </w:tcMar>
            <w:vAlign w:val="bottom"/>
          </w:tcPr>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-0.39</w:t>
            </w:r>
          </w:p>
        </w:tc>
        <w:tc>
          <w:tcPr>
            <w:shd w:fill="auto" w:val="clear"/>
            <w:tcMar>
              <w:top w:w="0.0" w:type="dxa"/>
              <w:left w:w="40.0" w:type="dxa"/>
              <w:bottom w:w="0.0" w:type="dxa"/>
              <w:right w:w="40.0" w:type="dxa"/>
            </w:tcMar>
            <w:vAlign w:val="bottom"/>
          </w:tcPr>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1909</w:t>
            </w:r>
          </w:p>
        </w:tc>
        <w:tc>
          <w:tcPr>
            <w:shd w:fill="auto" w:val="clear"/>
            <w:tcMar>
              <w:top w:w="0.0" w:type="dxa"/>
              <w:left w:w="40.0" w:type="dxa"/>
              <w:bottom w:w="0.0" w:type="dxa"/>
              <w:right w:w="40.0" w:type="dxa"/>
            </w:tcMar>
            <w:vAlign w:val="bottom"/>
          </w:tcPr>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-1.27</w:t>
            </w:r>
          </w:p>
        </w:tc>
        <w:tc>
          <w:tcPr>
            <w:shd w:fill="f4cccc" w:val="clear"/>
            <w:tcMar>
              <w:top w:w="0.0" w:type="dxa"/>
              <w:left w:w="40.0" w:type="dxa"/>
              <w:bottom w:w="0.0" w:type="dxa"/>
              <w:right w:w="40.0" w:type="dxa"/>
            </w:tcMar>
            <w:vAlign w:val="bottom"/>
          </w:tcPr>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f4c7c3" w:val="clear"/>
            <w:tcMar>
              <w:top w:w="0.0" w:type="dxa"/>
              <w:left w:w="40.0" w:type="dxa"/>
              <w:bottom w:w="0.0" w:type="dxa"/>
              <w:right w:w="40.0" w:type="dxa"/>
            </w:tcMar>
            <w:vAlign w:val="bottom"/>
          </w:tcPr>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-2.14</w:t>
            </w:r>
          </w:p>
        </w:tc>
        <w:tc>
          <w:tcPr>
            <w:shd w:fill="auto" w:val="clear"/>
            <w:tcMar>
              <w:top w:w="0.0" w:type="dxa"/>
              <w:left w:w="40.0" w:type="dxa"/>
              <w:bottom w:w="0.0" w:type="dxa"/>
              <w:right w:w="40.0" w:type="dxa"/>
            </w:tcMar>
            <w:vAlign w:val="bottom"/>
          </w:tcPr>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-1.80</w:t>
            </w:r>
          </w:p>
        </w:tc>
        <w:tc>
          <w:tcPr>
            <w:shd w:fill="auto" w:val="clear"/>
            <w:tcMar>
              <w:top w:w="0.0" w:type="dxa"/>
              <w:left w:w="40.0" w:type="dxa"/>
              <w:bottom w:w="0.0" w:type="dxa"/>
              <w:right w:w="40.0" w:type="dxa"/>
            </w:tcMar>
            <w:vAlign w:val="bottom"/>
          </w:tcPr>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-1.39</w:t>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f4cccc" w:val="clear"/>
            <w:tcMar>
              <w:top w:w="0.0" w:type="dxa"/>
              <w:left w:w="40.0" w:type="dxa"/>
              <w:bottom w:w="0.0" w:type="dxa"/>
              <w:right w:w="40.0" w:type="dxa"/>
            </w:tcMar>
            <w:vAlign w:val="bottom"/>
          </w:tcPr>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-0.57</w:t>
            </w:r>
          </w:p>
        </w:tc>
        <w:tc>
          <w:tcPr>
            <w:shd w:fill="f4c7c3" w:val="clear"/>
            <w:tcMar>
              <w:top w:w="0.0" w:type="dxa"/>
              <w:left w:w="40.0" w:type="dxa"/>
              <w:bottom w:w="0.0" w:type="dxa"/>
              <w:right w:w="40.0" w:type="dxa"/>
            </w:tcMar>
            <w:vAlign w:val="bottom"/>
          </w:tcPr>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-3.14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1913</w:t>
            </w:r>
          </w:p>
        </w:tc>
        <w:tc>
          <w:tcPr>
            <w:shd w:fill="auto" w:val="clear"/>
            <w:tcMar>
              <w:top w:w="0.0" w:type="dxa"/>
              <w:left w:w="40.0" w:type="dxa"/>
              <w:bottom w:w="0.0" w:type="dxa"/>
              <w:right w:w="40.0" w:type="dxa"/>
            </w:tcMar>
            <w:vAlign w:val="bottom"/>
          </w:tcPr>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-1.33</w:t>
            </w:r>
          </w:p>
        </w:tc>
        <w:tc>
          <w:tcPr>
            <w:shd w:fill="auto" w:val="clear"/>
            <w:tcMar>
              <w:top w:w="0.0" w:type="dxa"/>
              <w:left w:w="40.0" w:type="dxa"/>
              <w:bottom w:w="0.0" w:type="dxa"/>
              <w:right w:w="40.0" w:type="dxa"/>
            </w:tcMar>
            <w:vAlign w:val="bottom"/>
          </w:tcPr>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-1.68</w:t>
            </w:r>
          </w:p>
        </w:tc>
        <w:tc>
          <w:tcPr>
            <w:shd w:fill="auto" w:val="clear"/>
            <w:tcMar>
              <w:top w:w="0.0" w:type="dxa"/>
              <w:left w:w="40.0" w:type="dxa"/>
              <w:bottom w:w="0.0" w:type="dxa"/>
              <w:right w:w="40.0" w:type="dxa"/>
            </w:tcMar>
            <w:vAlign w:val="bottom"/>
          </w:tcPr>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-1.29</w:t>
            </w:r>
          </w:p>
        </w:tc>
        <w:tc>
          <w:tcPr>
            <w:shd w:fill="f4cccc" w:val="clear"/>
            <w:tcMar>
              <w:top w:w="0.0" w:type="dxa"/>
              <w:left w:w="40.0" w:type="dxa"/>
              <w:bottom w:w="0.0" w:type="dxa"/>
              <w:right w:w="40.0" w:type="dxa"/>
            </w:tcMar>
            <w:vAlign w:val="bottom"/>
          </w:tcPr>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-0.47</w:t>
            </w:r>
          </w:p>
        </w:tc>
        <w:tc>
          <w:tcPr>
            <w:shd w:fill="f4c7c3" w:val="clear"/>
            <w:tcMar>
              <w:top w:w="0.0" w:type="dxa"/>
              <w:left w:w="40.0" w:type="dxa"/>
              <w:bottom w:w="0.0" w:type="dxa"/>
              <w:right w:w="40.0" w:type="dxa"/>
            </w:tcMar>
            <w:vAlign w:val="bottom"/>
          </w:tcPr>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1917</w:t>
            </w:r>
          </w:p>
        </w:tc>
        <w:tc>
          <w:tcPr>
            <w:shd w:fill="auto" w:val="clear"/>
            <w:tcMar>
              <w:top w:w="0.0" w:type="dxa"/>
              <w:left w:w="40.0" w:type="dxa"/>
              <w:bottom w:w="0.0" w:type="dxa"/>
              <w:right w:w="40.0" w:type="dxa"/>
            </w:tcMar>
            <w:vAlign w:val="bottom"/>
          </w:tcPr>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-0.61</w:t>
            </w:r>
          </w:p>
        </w:tc>
        <w:tc>
          <w:tcPr>
            <w:shd w:fill="auto" w:val="clear"/>
            <w:tcMar>
              <w:top w:w="0.0" w:type="dxa"/>
              <w:left w:w="40.0" w:type="dxa"/>
              <w:bottom w:w="0.0" w:type="dxa"/>
              <w:right w:w="40.0" w:type="dxa"/>
            </w:tcMar>
            <w:vAlign w:val="bottom"/>
          </w:tcPr>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0.47</w:t>
            </w:r>
          </w:p>
        </w:tc>
        <w:tc>
          <w:tcPr>
            <w:shd w:fill="auto" w:val="clear"/>
            <w:tcMar>
              <w:top w:w="0.0" w:type="dxa"/>
              <w:left w:w="40.0" w:type="dxa"/>
              <w:bottom w:w="0.0" w:type="dxa"/>
              <w:right w:w="40.0" w:type="dxa"/>
            </w:tcMar>
            <w:vAlign w:val="bottom"/>
          </w:tcPr>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-1.36</w:t>
            </w:r>
          </w:p>
        </w:tc>
        <w:tc>
          <w:tcPr>
            <w:shd w:fill="auto" w:val="clear"/>
            <w:tcMar>
              <w:top w:w="0.0" w:type="dxa"/>
              <w:left w:w="40.0" w:type="dxa"/>
              <w:bottom w:w="0.0" w:type="dxa"/>
              <w:right w:w="40.0" w:type="dxa"/>
            </w:tcMar>
            <w:vAlign w:val="bottom"/>
          </w:tcPr>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1.96</w:t>
            </w:r>
          </w:p>
        </w:tc>
        <w:tc>
          <w:tcPr>
            <w:shd w:fill="auto" w:val="clear"/>
            <w:tcMar>
              <w:top w:w="0.0" w:type="dxa"/>
              <w:left w:w="40.0" w:type="dxa"/>
              <w:bottom w:w="0.0" w:type="dxa"/>
              <w:right w:w="40.0" w:type="dxa"/>
            </w:tcMar>
            <w:vAlign w:val="bottom"/>
          </w:tcPr>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-0.32</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1921</w:t>
            </w:r>
          </w:p>
        </w:tc>
        <w:tc>
          <w:tcPr>
            <w:shd w:fill="auto" w:val="clear"/>
            <w:tcMar>
              <w:top w:w="0.0" w:type="dxa"/>
              <w:left w:w="40.0" w:type="dxa"/>
              <w:bottom w:w="0.0" w:type="dxa"/>
              <w:right w:w="40.0" w:type="dxa"/>
            </w:tcMar>
            <w:vAlign w:val="bottom"/>
          </w:tcPr>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-0.97</w:t>
            </w:r>
          </w:p>
        </w:tc>
        <w:tc>
          <w:tcPr>
            <w:shd w:fill="auto" w:val="clear"/>
            <w:tcMar>
              <w:top w:w="0.0" w:type="dxa"/>
              <w:left w:w="40.0" w:type="dxa"/>
              <w:bottom w:w="0.0" w:type="dxa"/>
              <w:right w:w="40.0" w:type="dxa"/>
            </w:tcMar>
            <w:vAlign w:val="bottom"/>
          </w:tcPr>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-0.23</w:t>
            </w:r>
          </w:p>
        </w:tc>
        <w:tc>
          <w:tcPr>
            <w:shd w:fill="auto" w:val="clear"/>
            <w:tcMar>
              <w:top w:w="0.0" w:type="dxa"/>
              <w:left w:w="40.0" w:type="dxa"/>
              <w:bottom w:w="0.0" w:type="dxa"/>
              <w:right w:w="40.0" w:type="dxa"/>
            </w:tcMar>
            <w:vAlign w:val="bottom"/>
          </w:tcPr>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auto" w:val="clear"/>
            <w:tcMar>
              <w:top w:w="0.0" w:type="dxa"/>
              <w:left w:w="40.0" w:type="dxa"/>
              <w:bottom w:w="0.0" w:type="dxa"/>
              <w:right w:w="40.0" w:type="dxa"/>
            </w:tcMar>
            <w:vAlign w:val="bottom"/>
          </w:tcPr>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1.06</w:t>
            </w:r>
          </w:p>
        </w:tc>
        <w:tc>
          <w:tcPr>
            <w:shd w:fill="auto" w:val="clear"/>
            <w:tcMar>
              <w:top w:w="0.0" w:type="dxa"/>
              <w:left w:w="40.0" w:type="dxa"/>
              <w:bottom w:w="0.0" w:type="dxa"/>
              <w:right w:w="40.0" w:type="dxa"/>
            </w:tcMar>
            <w:vAlign w:val="bottom"/>
          </w:tcPr>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0.85</w:t>
            </w:r>
          </w:p>
        </w:tc>
        <w:tc>
          <w:tcPr>
            <w:shd w:fill="auto" w:val="clear"/>
            <w:tcMar>
              <w:top w:w="0.0" w:type="dxa"/>
              <w:left w:w="40.0" w:type="dxa"/>
              <w:bottom w:w="0.0" w:type="dxa"/>
              <w:right w:w="40.0" w:type="dxa"/>
            </w:tcMar>
            <w:vAlign w:val="bottom"/>
          </w:tcPr>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1925</w:t>
            </w:r>
          </w:p>
        </w:tc>
        <w:tc>
          <w:tcPr>
            <w:shd w:fill="auto" w:val="clear"/>
            <w:tcMar>
              <w:top w:w="0.0" w:type="dxa"/>
              <w:left w:w="40.0" w:type="dxa"/>
              <w:bottom w:w="0.0" w:type="dxa"/>
              <w:right w:w="40.0" w:type="dxa"/>
            </w:tcMar>
            <w:vAlign w:val="bottom"/>
          </w:tcPr>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-1.74</w:t>
            </w:r>
          </w:p>
        </w:tc>
        <w:tc>
          <w:tcPr>
            <w:shd w:fill="auto" w:val="clear"/>
            <w:tcMar>
              <w:top w:w="0.0" w:type="dxa"/>
              <w:left w:w="40.0" w:type="dxa"/>
              <w:bottom w:w="0.0" w:type="dxa"/>
              <w:right w:w="40.0" w:type="dxa"/>
            </w:tcMar>
            <w:vAlign w:val="bottom"/>
          </w:tcPr>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0.87</w:t>
            </w:r>
          </w:p>
        </w:tc>
        <w:tc>
          <w:tcPr>
            <w:shd w:fill="auto" w:val="clear"/>
            <w:tcMar>
              <w:top w:w="0.0" w:type="dxa"/>
              <w:left w:w="40.0" w:type="dxa"/>
              <w:bottom w:w="0.0" w:type="dxa"/>
              <w:right w:w="40.0" w:type="dxa"/>
            </w:tcMar>
            <w:vAlign w:val="bottom"/>
          </w:tcPr>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2.32</w:t>
            </w:r>
          </w:p>
        </w:tc>
        <w:tc>
          <w:tcPr>
            <w:shd w:fill="9fc5e8" w:val="clear"/>
            <w:tcMar>
              <w:top w:w="0.0" w:type="dxa"/>
              <w:left w:w="40.0" w:type="dxa"/>
              <w:bottom w:w="0.0" w:type="dxa"/>
              <w:right w:w="40.0" w:type="dxa"/>
            </w:tcMar>
            <w:vAlign w:val="bottom"/>
          </w:tcPr>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1929</w:t>
            </w:r>
          </w:p>
        </w:tc>
        <w:tc>
          <w:tcPr>
            <w:shd w:fill="auto" w:val="clear"/>
            <w:tcMar>
              <w:top w:w="0.0" w:type="dxa"/>
              <w:left w:w="40.0" w:type="dxa"/>
              <w:bottom w:w="0.0" w:type="dxa"/>
              <w:right w:w="40.0" w:type="dxa"/>
            </w:tcMar>
            <w:vAlign w:val="bottom"/>
          </w:tcPr>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0.50</w:t>
            </w:r>
          </w:p>
        </w:tc>
        <w:tc>
          <w:tcPr>
            <w:shd w:fill="9fc5e8" w:val="clear"/>
            <w:tcMar>
              <w:top w:w="0.0" w:type="dxa"/>
              <w:left w:w="40.0" w:type="dxa"/>
              <w:bottom w:w="0.0" w:type="dxa"/>
              <w:right w:w="40.0" w:type="dxa"/>
            </w:tcMar>
            <w:vAlign w:val="bottom"/>
          </w:tcPr>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9fc5e8" w:val="clear"/>
            <w:tcMar>
              <w:top w:w="0.0" w:type="dxa"/>
              <w:left w:w="40.0" w:type="dxa"/>
              <w:bottom w:w="0.0" w:type="dxa"/>
              <w:right w:w="40.0" w:type="dxa"/>
            </w:tcMar>
            <w:vAlign w:val="bottom"/>
          </w:tcPr>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3.67</w:t>
            </w:r>
          </w:p>
        </w:tc>
        <w:tc>
          <w:tcPr>
            <w:shd w:fill="auto" w:val="clear"/>
            <w:tcMar>
              <w:top w:w="0.0" w:type="dxa"/>
              <w:left w:w="40.0" w:type="dxa"/>
              <w:bottom w:w="0.0" w:type="dxa"/>
              <w:right w:w="40.0" w:type="dxa"/>
            </w:tcMar>
            <w:vAlign w:val="bottom"/>
          </w:tcPr>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1.60</w:t>
            </w:r>
          </w:p>
        </w:tc>
        <w:tc>
          <w:tcPr>
            <w:shd w:fill="9fc5e8" w:val="clear"/>
            <w:tcMar>
              <w:top w:w="0.0" w:type="dxa"/>
              <w:left w:w="40.0" w:type="dxa"/>
              <w:bottom w:w="0.0" w:type="dxa"/>
              <w:right w:w="40.0" w:type="dxa"/>
            </w:tcMar>
            <w:vAlign w:val="bottom"/>
          </w:tcPr>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2.76</w:t>
            </w:r>
          </w:p>
        </w:tc>
        <w:tc>
          <w:tcPr>
            <w:shd w:fill="9fc5e8" w:val="clear"/>
            <w:tcMar>
              <w:top w:w="0.0" w:type="dxa"/>
              <w:left w:w="40.0" w:type="dxa"/>
              <w:bottom w:w="0.0" w:type="dxa"/>
              <w:right w:w="40.0" w:type="dxa"/>
            </w:tcMar>
            <w:vAlign w:val="bottom"/>
          </w:tcPr>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0.15</w:t>
            </w:r>
          </w:p>
        </w:tc>
        <w:tc>
          <w:tcPr>
            <w:shd w:fill="9fc5e8" w:val="clear"/>
            <w:tcMar>
              <w:top w:w="0.0" w:type="dxa"/>
              <w:left w:w="40.0" w:type="dxa"/>
              <w:bottom w:w="0.0" w:type="dxa"/>
              <w:right w:w="40.0" w:type="dxa"/>
            </w:tcMar>
            <w:vAlign w:val="bottom"/>
          </w:tcPr>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3.08</w:t>
            </w:r>
          </w:p>
        </w:tc>
        <w:tc>
          <w:tcPr>
            <w:shd w:fill="9fc5e8" w:val="clear"/>
            <w:tcMar>
              <w:top w:w="0.0" w:type="dxa"/>
              <w:left w:w="40.0" w:type="dxa"/>
              <w:bottom w:w="0.0" w:type="dxa"/>
              <w:right w:w="40.0" w:type="dxa"/>
            </w:tcMar>
            <w:vAlign w:val="bottom"/>
          </w:tcPr>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4.78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1933</w:t>
            </w:r>
          </w:p>
        </w:tc>
        <w:tc>
          <w:tcPr>
            <w:shd w:fill="9fc5e8" w:val="clear"/>
            <w:tcMar>
              <w:top w:w="0.0" w:type="dxa"/>
              <w:left w:w="40.0" w:type="dxa"/>
              <w:bottom w:w="0.0" w:type="dxa"/>
              <w:right w:w="40.0" w:type="dxa"/>
            </w:tcMar>
            <w:vAlign w:val="bottom"/>
          </w:tcPr>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2.57</w:t>
            </w:r>
          </w:p>
        </w:tc>
        <w:tc>
          <w:tcPr>
            <w:shd w:fill="9fc5e8" w:val="clear"/>
            <w:tcMar>
              <w:top w:w="0.0" w:type="dxa"/>
              <w:left w:w="40.0" w:type="dxa"/>
              <w:bottom w:w="0.0" w:type="dxa"/>
              <w:right w:w="40.0" w:type="dxa"/>
            </w:tcMar>
            <w:vAlign w:val="bottom"/>
          </w:tcPr>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0.23</w:t>
            </w:r>
          </w:p>
        </w:tc>
        <w:tc>
          <w:tcPr>
            <w:shd w:fill="9fc5e8" w:val="clear"/>
            <w:tcMar>
              <w:top w:w="0.0" w:type="dxa"/>
              <w:left w:w="40.0" w:type="dxa"/>
              <w:bottom w:w="0.0" w:type="dxa"/>
              <w:right w:w="40.0" w:type="dxa"/>
            </w:tcMar>
            <w:vAlign w:val="bottom"/>
          </w:tcPr>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5.70</w:t>
            </w:r>
          </w:p>
        </w:tc>
        <w:tc>
          <w:tcPr>
            <w:shd w:fill="9fc5e8" w:val="clear"/>
            <w:tcMar>
              <w:top w:w="0.0" w:type="dxa"/>
              <w:left w:w="40.0" w:type="dxa"/>
              <w:bottom w:w="0.0" w:type="dxa"/>
              <w:right w:w="40.0" w:type="dxa"/>
            </w:tcMar>
            <w:vAlign w:val="bottom"/>
          </w:tcPr>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2.51</w:t>
            </w:r>
          </w:p>
        </w:tc>
        <w:tc>
          <w:tcPr>
            <w:shd w:fill="9fc5e8" w:val="clear"/>
            <w:tcMar>
              <w:top w:w="0.0" w:type="dxa"/>
              <w:left w:w="40.0" w:type="dxa"/>
              <w:bottom w:w="0.0" w:type="dxa"/>
              <w:right w:w="40.0" w:type="dxa"/>
            </w:tcMar>
            <w:vAlign w:val="bottom"/>
          </w:tcPr>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2.71</w:t>
            </w:r>
          </w:p>
        </w:tc>
        <w:tc>
          <w:tcPr>
            <w:shd w:fill="9fc5e8" w:val="clear"/>
            <w:tcMar>
              <w:top w:w="0.0" w:type="dxa"/>
              <w:left w:w="40.0" w:type="dxa"/>
              <w:bottom w:w="0.0" w:type="dxa"/>
              <w:right w:w="40.0" w:type="dxa"/>
            </w:tcMar>
            <w:vAlign w:val="bottom"/>
          </w:tcPr>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4.78</w:t>
            </w:r>
          </w:p>
        </w:tc>
        <w:tc>
          <w:tcPr>
            <w:shd w:fill="9fc5e8" w:val="clear"/>
            <w:tcMar>
              <w:top w:w="0.0" w:type="dxa"/>
              <w:left w:w="40.0" w:type="dxa"/>
              <w:bottom w:w="0.0" w:type="dxa"/>
              <w:right w:w="40.0" w:type="dxa"/>
            </w:tcMar>
            <w:vAlign w:val="bottom"/>
          </w:tcPr>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4.58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1937</w:t>
            </w:r>
          </w:p>
        </w:tc>
        <w:tc>
          <w:tcPr>
            <w:shd w:fill="9fc5e8" w:val="clear"/>
            <w:tcMar>
              <w:top w:w="0.0" w:type="dxa"/>
              <w:left w:w="40.0" w:type="dxa"/>
              <w:bottom w:w="0.0" w:type="dxa"/>
              <w:right w:w="40.0" w:type="dxa"/>
            </w:tcMar>
            <w:vAlign w:val="bottom"/>
          </w:tcPr>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5.05</w:t>
            </w:r>
          </w:p>
        </w:tc>
        <w:tc>
          <w:tcPr>
            <w:shd w:fill="9fc5e8" w:val="clear"/>
            <w:tcMar>
              <w:top w:w="0.0" w:type="dxa"/>
              <w:left w:w="40.0" w:type="dxa"/>
              <w:bottom w:w="0.0" w:type="dxa"/>
              <w:right w:w="40.0" w:type="dxa"/>
            </w:tcMar>
            <w:vAlign w:val="bottom"/>
          </w:tcPr>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2.56</w:t>
            </w:r>
          </w:p>
        </w:tc>
        <w:tc>
          <w:tcPr>
            <w:shd w:fill="9fc5e8" w:val="clear"/>
            <w:tcMar>
              <w:top w:w="0.0" w:type="dxa"/>
              <w:left w:w="40.0" w:type="dxa"/>
              <w:bottom w:w="0.0" w:type="dxa"/>
              <w:right w:w="40.0" w:type="dxa"/>
            </w:tcMar>
            <w:vAlign w:val="bottom"/>
          </w:tcPr>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8.59</w:t>
            </w:r>
          </w:p>
        </w:tc>
        <w:tc>
          <w:tcPr>
            <w:shd w:fill="9fc5e8" w:val="clear"/>
            <w:tcMar>
              <w:top w:w="0.0" w:type="dxa"/>
              <w:left w:w="40.0" w:type="dxa"/>
              <w:bottom w:w="0.0" w:type="dxa"/>
              <w:right w:w="40.0" w:type="dxa"/>
            </w:tcMar>
            <w:vAlign w:val="bottom"/>
          </w:tcPr>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3.44</w:t>
            </w:r>
          </w:p>
        </w:tc>
        <w:tc>
          <w:tcPr>
            <w:shd w:fill="9fc5e8" w:val="clear"/>
            <w:tcMar>
              <w:top w:w="0.0" w:type="dxa"/>
              <w:left w:w="40.0" w:type="dxa"/>
              <w:bottom w:w="0.0" w:type="dxa"/>
              <w:right w:w="40.0" w:type="dxa"/>
            </w:tcMar>
            <w:vAlign w:val="bottom"/>
          </w:tcPr>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6.30</w:t>
            </w:r>
          </w:p>
        </w:tc>
        <w:tc>
          <w:tcPr>
            <w:shd w:fill="9fc5e8" w:val="clear"/>
            <w:tcMar>
              <w:top w:w="0.0" w:type="dxa"/>
              <w:left w:w="40.0" w:type="dxa"/>
              <w:bottom w:w="0.0" w:type="dxa"/>
              <w:right w:w="40.0" w:type="dxa"/>
            </w:tcMar>
            <w:vAlign w:val="bottom"/>
          </w:tcPr>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4.41</w:t>
            </w:r>
          </w:p>
        </w:tc>
        <w:tc>
          <w:tcPr>
            <w:shd w:fill="9fc5e8" w:val="clear"/>
            <w:tcMar>
              <w:top w:w="0.0" w:type="dxa"/>
              <w:left w:w="40.0" w:type="dxa"/>
              <w:bottom w:w="0.0" w:type="dxa"/>
              <w:right w:w="40.0" w:type="dxa"/>
            </w:tcMar>
            <w:vAlign w:val="bottom"/>
          </w:tcPr>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4.52</w:t>
            </w:r>
          </w:p>
        </w:tc>
        <w:tc>
          <w:tcPr>
            <w:shd w:fill="9fc5e8" w:val="clear"/>
            <w:tcMar>
              <w:top w:w="0.0" w:type="dxa"/>
              <w:left w:w="40.0" w:type="dxa"/>
              <w:bottom w:w="0.0" w:type="dxa"/>
              <w:right w:w="40.0" w:type="dxa"/>
            </w:tcMar>
            <w:vAlign w:val="bottom"/>
          </w:tcPr>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0.38</w:t>
            </w:r>
          </w:p>
        </w:tc>
        <w:tc>
          <w:tcPr>
            <w:shd w:fill="9fc5e8" w:val="clear"/>
            <w:tcMar>
              <w:top w:w="0.0" w:type="dxa"/>
              <w:left w:w="40.0" w:type="dxa"/>
              <w:bottom w:w="0.0" w:type="dxa"/>
              <w:right w:w="40.0" w:type="dxa"/>
            </w:tcMar>
            <w:vAlign w:val="bottom"/>
          </w:tcPr>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9.99</w:t>
            </w:r>
          </w:p>
        </w:tc>
        <w:tc>
          <w:tcPr>
            <w:shd w:fill="9fc5e8" w:val="clear"/>
            <w:tcMar>
              <w:top w:w="0.0" w:type="dxa"/>
              <w:left w:w="40.0" w:type="dxa"/>
              <w:bottom w:w="0.0" w:type="dxa"/>
              <w:right w:w="40.0" w:type="dxa"/>
            </w:tcMar>
            <w:vAlign w:val="bottom"/>
          </w:tcPr>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1945</w:t>
            </w:r>
          </w:p>
        </w:tc>
        <w:tc>
          <w:tcPr>
            <w:shd w:fill="9fc5e8" w:val="clear"/>
            <w:tcMar>
              <w:top w:w="0.0" w:type="dxa"/>
              <w:left w:w="40.0" w:type="dxa"/>
              <w:bottom w:w="0.0" w:type="dxa"/>
              <w:right w:w="40.0" w:type="dxa"/>
            </w:tcMar>
            <w:vAlign w:val="bottom"/>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0.18</w:t>
            </w:r>
          </w:p>
        </w:tc>
        <w:tc>
          <w:tcPr>
            <w:shd w:fill="9fc5e8" w:val="clear"/>
            <w:tcMar>
              <w:top w:w="0.0" w:type="dxa"/>
              <w:left w:w="40.0" w:type="dxa"/>
              <w:bottom w:w="0.0" w:type="dxa"/>
              <w:right w:w="40.0" w:type="dxa"/>
            </w:tcMar>
            <w:vAlign w:val="bottom"/>
          </w:tcPr>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5.92</w:t>
            </w:r>
          </w:p>
        </w:tc>
        <w:tc>
          <w:tcPr>
            <w:shd w:fill="9fc5e8" w:val="clear"/>
            <w:tcMar>
              <w:top w:w="0.0" w:type="dxa"/>
              <w:left w:w="40.0" w:type="dxa"/>
              <w:bottom w:w="0.0" w:type="dxa"/>
              <w:right w:w="40.0" w:type="dxa"/>
            </w:tcMar>
            <w:vAlign w:val="bottom"/>
          </w:tcPr>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8.98</w:t>
            </w:r>
          </w:p>
        </w:tc>
        <w:tc>
          <w:tcPr>
            <w:shd w:fill="9fc5e8" w:val="clear"/>
            <w:tcMar>
              <w:top w:w="0.0" w:type="dxa"/>
              <w:left w:w="40.0" w:type="dxa"/>
              <w:bottom w:w="0.0" w:type="dxa"/>
              <w:right w:w="40.0" w:type="dxa"/>
            </w:tcMar>
            <w:vAlign w:val="bottom"/>
          </w:tcPr>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7.47</w:t>
            </w:r>
          </w:p>
        </w:tc>
        <w:tc>
          <w:tcPr>
            <w:shd w:fill="9fc5e8" w:val="clear"/>
            <w:tcMar>
              <w:top w:w="0.0" w:type="dxa"/>
              <w:left w:w="40.0" w:type="dxa"/>
              <w:bottom w:w="0.0" w:type="dxa"/>
              <w:right w:w="40.0" w:type="dxa"/>
            </w:tcMar>
            <w:vAlign w:val="bottom"/>
          </w:tcPr>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3.72</w:t>
            </w:r>
          </w:p>
        </w:tc>
        <w:tc>
          <w:tcPr>
            <w:shd w:fill="9fc5e8" w:val="clear"/>
            <w:tcMar>
              <w:top w:w="0.0" w:type="dxa"/>
              <w:left w:w="40.0" w:type="dxa"/>
              <w:bottom w:w="0.0" w:type="dxa"/>
              <w:right w:w="40.0" w:type="dxa"/>
            </w:tcMar>
            <w:vAlign w:val="bottom"/>
          </w:tcPr>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0.25</w:t>
            </w:r>
          </w:p>
        </w:tc>
        <w:tc>
          <w:tcPr>
            <w:shd w:fill="9fc5e8" w:val="clear"/>
            <w:tcMar>
              <w:top w:w="0.0" w:type="dxa"/>
              <w:left w:w="40.0" w:type="dxa"/>
              <w:bottom w:w="0.0" w:type="dxa"/>
              <w:right w:w="40.0" w:type="dxa"/>
            </w:tcMar>
            <w:vAlign w:val="bottom"/>
          </w:tcPr>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7.36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1949</w:t>
            </w:r>
          </w:p>
        </w:tc>
        <w:tc>
          <w:tcPr>
            <w:shd w:fill="9fc5e8" w:val="clear"/>
            <w:tcMar>
              <w:top w:w="0.0" w:type="dxa"/>
              <w:left w:w="40.0" w:type="dxa"/>
              <w:bottom w:w="0.0" w:type="dxa"/>
              <w:right w:w="40.0" w:type="dxa"/>
            </w:tcMar>
            <w:vAlign w:val="bottom"/>
          </w:tcPr>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9fc5e8" w:val="clear"/>
            <w:tcMar>
              <w:top w:w="0.0" w:type="dxa"/>
              <w:left w:w="40.0" w:type="dxa"/>
              <w:bottom w:w="0.0" w:type="dxa"/>
              <w:right w:w="40.0" w:type="dxa"/>
            </w:tcMar>
            <w:vAlign w:val="bottom"/>
          </w:tcPr>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4.38</w:t>
            </w:r>
          </w:p>
        </w:tc>
        <w:tc>
          <w:tcPr>
            <w:shd w:fill="9fc5e8" w:val="clear"/>
            <w:tcMar>
              <w:top w:w="0.0" w:type="dxa"/>
              <w:left w:w="40.0" w:type="dxa"/>
              <w:bottom w:w="0.0" w:type="dxa"/>
              <w:right w:w="40.0" w:type="dxa"/>
            </w:tcMar>
            <w:vAlign w:val="bottom"/>
          </w:tcPr>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0.24</w:t>
            </w:r>
          </w:p>
        </w:tc>
        <w:tc>
          <w:tcPr>
            <w:shd w:fill="9fc5e8" w:val="clear"/>
            <w:tcMar>
              <w:top w:w="0.0" w:type="dxa"/>
              <w:left w:w="40.0" w:type="dxa"/>
              <w:bottom w:w="0.0" w:type="dxa"/>
              <w:right w:w="40.0" w:type="dxa"/>
            </w:tcMar>
            <w:vAlign w:val="bottom"/>
          </w:tcPr>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8.25</w:t>
            </w:r>
          </w:p>
        </w:tc>
        <w:tc>
          <w:tcPr>
            <w:shd w:fill="9fc5e8" w:val="clear"/>
            <w:tcMar>
              <w:top w:w="0.0" w:type="dxa"/>
              <w:left w:w="40.0" w:type="dxa"/>
              <w:bottom w:w="0.0" w:type="dxa"/>
              <w:right w:w="40.0" w:type="dxa"/>
            </w:tcMar>
            <w:vAlign w:val="bottom"/>
          </w:tcPr>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4.50</w:t>
            </w:r>
          </w:p>
        </w:tc>
        <w:tc>
          <w:tcPr>
            <w:shd w:fill="auto" w:val="clear"/>
            <w:tcMar>
              <w:top w:w="0.0" w:type="dxa"/>
              <w:left w:w="40.0" w:type="dxa"/>
              <w:bottom w:w="0.0" w:type="dxa"/>
              <w:right w:w="40.0" w:type="dxa"/>
            </w:tcMar>
            <w:vAlign w:val="bottom"/>
          </w:tcPr>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1.81</w:t>
            </w:r>
          </w:p>
        </w:tc>
        <w:tc>
          <w:tcPr>
            <w:shd w:fill="auto" w:val="clear"/>
            <w:tcMar>
              <w:top w:w="0.0" w:type="dxa"/>
              <w:left w:w="40.0" w:type="dxa"/>
              <w:bottom w:w="0.0" w:type="dxa"/>
              <w:right w:w="40.0" w:type="dxa"/>
            </w:tcMar>
            <w:vAlign w:val="bottom"/>
          </w:tcPr>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6.08</w:t>
            </w:r>
          </w:p>
        </w:tc>
        <w:tc>
          <w:tcPr>
            <w:shd w:fill="9fc5e8" w:val="clear"/>
            <w:tcMar>
              <w:top w:w="0.0" w:type="dxa"/>
              <w:left w:w="40.0" w:type="dxa"/>
              <w:bottom w:w="0.0" w:type="dxa"/>
              <w:right w:w="40.0" w:type="dxa"/>
            </w:tcMar>
            <w:vAlign w:val="bottom"/>
          </w:tcPr>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0.52</w:t>
            </w:r>
          </w:p>
        </w:tc>
        <w:tc>
          <w:tcPr>
            <w:shd w:fill="9fc5e8" w:val="clear"/>
            <w:tcMar>
              <w:top w:w="0.0" w:type="dxa"/>
              <w:left w:w="40.0" w:type="dxa"/>
              <w:bottom w:w="0.0" w:type="dxa"/>
              <w:right w:w="40.0" w:type="dxa"/>
            </w:tcMar>
            <w:vAlign w:val="bottom"/>
          </w:tcPr>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1953</w:t>
            </w:r>
          </w:p>
        </w:tc>
        <w:tc>
          <w:tcPr>
            <w:shd w:fill="9fc5e8" w:val="clear"/>
            <w:tcMar>
              <w:top w:w="0.0" w:type="dxa"/>
              <w:left w:w="40.0" w:type="dxa"/>
              <w:bottom w:w="0.0" w:type="dxa"/>
              <w:right w:w="40.0" w:type="dxa"/>
            </w:tcMar>
            <w:vAlign w:val="bottom"/>
          </w:tcPr>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3.23</w:t>
            </w:r>
          </w:p>
        </w:tc>
        <w:tc>
          <w:tcPr>
            <w:shd w:fill="9fc5e8" w:val="clear"/>
            <w:tcMar>
              <w:top w:w="0.0" w:type="dxa"/>
              <w:left w:w="40.0" w:type="dxa"/>
              <w:bottom w:w="0.0" w:type="dxa"/>
              <w:right w:w="40.0" w:type="dxa"/>
            </w:tcMar>
            <w:vAlign w:val="bottom"/>
          </w:tcPr>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0.27</w:t>
            </w:r>
          </w:p>
        </w:tc>
        <w:tc>
          <w:tcPr>
            <w:shd w:fill="9fc5e8" w:val="clear"/>
            <w:tcMar>
              <w:top w:w="0.0" w:type="dxa"/>
              <w:left w:w="40.0" w:type="dxa"/>
              <w:bottom w:w="0.0" w:type="dxa"/>
              <w:right w:w="40.0" w:type="dxa"/>
            </w:tcMar>
            <w:vAlign w:val="bottom"/>
          </w:tcPr>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9.80</w:t>
            </w:r>
          </w:p>
        </w:tc>
        <w:tc>
          <w:tcPr>
            <w:shd w:fill="9fc5e8" w:val="clear"/>
            <w:tcMar>
              <w:top w:w="0.0" w:type="dxa"/>
              <w:left w:w="40.0" w:type="dxa"/>
              <w:bottom w:w="0.0" w:type="dxa"/>
              <w:right w:w="40.0" w:type="dxa"/>
            </w:tcMar>
            <w:vAlign w:val="bottom"/>
          </w:tcPr>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4.12</w:t>
            </w:r>
          </w:p>
        </w:tc>
        <w:tc>
          <w:tcPr>
            <w:shd w:fill="auto" w:val="clear"/>
            <w:tcMar>
              <w:top w:w="0.0" w:type="dxa"/>
              <w:left w:w="40.0" w:type="dxa"/>
              <w:bottom w:w="0.0" w:type="dxa"/>
              <w:right w:w="40.0" w:type="dxa"/>
            </w:tcMar>
            <w:vAlign w:val="bottom"/>
          </w:tcPr>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auto" w:val="clear"/>
            <w:tcMar>
              <w:top w:w="0.0" w:type="dxa"/>
              <w:left w:w="40.0" w:type="dxa"/>
              <w:bottom w:w="0.0" w:type="dxa"/>
              <w:right w:w="40.0" w:type="dxa"/>
            </w:tcMar>
            <w:vAlign w:val="bottom"/>
          </w:tcPr>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0.58</w:t>
            </w:r>
          </w:p>
        </w:tc>
        <w:tc>
          <w:tcPr>
            <w:shd w:fill="9fc5e8" w:val="clear"/>
            <w:tcMar>
              <w:top w:w="0.0" w:type="dxa"/>
              <w:left w:w="40.0" w:type="dxa"/>
              <w:bottom w:w="0.0" w:type="dxa"/>
              <w:right w:w="40.0" w:type="dxa"/>
            </w:tcMar>
            <w:vAlign w:val="bottom"/>
          </w:tcPr>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17.68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1957</w:t>
            </w:r>
          </w:p>
        </w:tc>
        <w:tc>
          <w:tcPr>
            <w:shd w:fill="9fc5e8" w:val="clear"/>
            <w:tcMar>
              <w:top w:w="0.0" w:type="dxa"/>
              <w:left w:w="40.0" w:type="dxa"/>
              <w:bottom w:w="0.0" w:type="dxa"/>
              <w:right w:w="40.0" w:type="dxa"/>
            </w:tcMar>
            <w:vAlign w:val="bottom"/>
          </w:tcPr>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7.97</w:t>
            </w:r>
          </w:p>
        </w:tc>
        <w:tc>
          <w:tcPr>
            <w:shd w:fill="auto" w:val="clear"/>
            <w:tcMar>
              <w:top w:w="0.0" w:type="dxa"/>
              <w:left w:w="40.0" w:type="dxa"/>
              <w:bottom w:w="0.0" w:type="dxa"/>
              <w:right w:w="40.0" w:type="dxa"/>
            </w:tcMar>
            <w:vAlign w:val="bottom"/>
          </w:tcPr>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-0.63</w:t>
            </w:r>
          </w:p>
        </w:tc>
        <w:tc>
          <w:tcPr>
            <w:shd w:fill="auto" w:val="clear"/>
            <w:tcMar>
              <w:top w:w="0.0" w:type="dxa"/>
              <w:left w:w="40.0" w:type="dxa"/>
              <w:bottom w:w="0.0" w:type="dxa"/>
              <w:right w:w="40.0" w:type="dxa"/>
            </w:tcMar>
            <w:vAlign w:val="bottom"/>
          </w:tcPr>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0.46</w:t>
            </w:r>
          </w:p>
        </w:tc>
        <w:tc>
          <w:tcPr>
            <w:shd w:fill="9fc5e8" w:val="clear"/>
            <w:tcMar>
              <w:top w:w="0.0" w:type="dxa"/>
              <w:left w:w="40.0" w:type="dxa"/>
              <w:bottom w:w="0.0" w:type="dxa"/>
              <w:right w:w="40.0" w:type="dxa"/>
            </w:tcMar>
            <w:vAlign w:val="bottom"/>
          </w:tcPr>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14.05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1961</w:t>
            </w:r>
          </w:p>
        </w:tc>
        <w:tc>
          <w:tcPr>
            <w:shd w:fill="auto" w:val="clear"/>
            <w:tcMar>
              <w:top w:w="0.0" w:type="dxa"/>
              <w:left w:w="40.0" w:type="dxa"/>
              <w:bottom w:w="0.0" w:type="dxa"/>
              <w:right w:w="40.0" w:type="dxa"/>
            </w:tcMar>
            <w:vAlign w:val="bottom"/>
          </w:tcPr>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-0.82</w:t>
            </w:r>
          </w:p>
        </w:tc>
        <w:tc>
          <w:tcPr>
            <w:shd w:fill="9fc5e8" w:val="clear"/>
            <w:tcMar>
              <w:top w:w="0.0" w:type="dxa"/>
              <w:left w:w="40.0" w:type="dxa"/>
              <w:bottom w:w="0.0" w:type="dxa"/>
              <w:right w:w="40.0" w:type="dxa"/>
            </w:tcMar>
            <w:vAlign w:val="bottom"/>
          </w:tcPr>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9fc5e8" w:val="clear"/>
            <w:tcMar>
              <w:top w:w="0.0" w:type="dxa"/>
              <w:left w:w="40.0" w:type="dxa"/>
              <w:bottom w:w="0.0" w:type="dxa"/>
              <w:right w:w="40.0" w:type="dxa"/>
            </w:tcMar>
            <w:vAlign w:val="bottom"/>
          </w:tcPr>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2.98</w:t>
            </w:r>
          </w:p>
        </w:tc>
        <w:tc>
          <w:tcPr>
            <w:shd w:fill="auto" w:val="clear"/>
            <w:tcMar>
              <w:top w:w="0.0" w:type="dxa"/>
              <w:left w:w="40.0" w:type="dxa"/>
              <w:bottom w:w="0.0" w:type="dxa"/>
              <w:right w:w="40.0" w:type="dxa"/>
            </w:tcMar>
            <w:vAlign w:val="bottom"/>
          </w:tcPr>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-0.62</w:t>
            </w:r>
          </w:p>
        </w:tc>
        <w:tc>
          <w:tcPr>
            <w:shd w:fill="auto" w:val="clear"/>
            <w:tcMar>
              <w:top w:w="0.0" w:type="dxa"/>
              <w:left w:w="40.0" w:type="dxa"/>
              <w:bottom w:w="0.0" w:type="dxa"/>
              <w:right w:w="40.0" w:type="dxa"/>
            </w:tcMar>
            <w:vAlign w:val="bottom"/>
          </w:tcPr>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-0.59</w:t>
            </w:r>
          </w:p>
        </w:tc>
        <w:tc>
          <w:tcPr>
            <w:shd w:fill="9fc5e8" w:val="clear"/>
            <w:tcMar>
              <w:top w:w="0.0" w:type="dxa"/>
              <w:left w:w="40.0" w:type="dxa"/>
              <w:bottom w:w="0.0" w:type="dxa"/>
              <w:right w:w="40.0" w:type="dxa"/>
            </w:tcMar>
            <w:vAlign w:val="bottom"/>
          </w:tcPr>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0.34</w:t>
            </w:r>
          </w:p>
        </w:tc>
        <w:tc>
          <w:tcPr>
            <w:shd w:fill="9fc5e8" w:val="clear"/>
            <w:tcMar>
              <w:top w:w="0.0" w:type="dxa"/>
              <w:left w:w="40.0" w:type="dxa"/>
              <w:bottom w:w="0.0" w:type="dxa"/>
              <w:right w:w="40.0" w:type="dxa"/>
            </w:tcMar>
            <w:vAlign w:val="bottom"/>
          </w:tcPr>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10.01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1965</w:t>
            </w:r>
          </w:p>
        </w:tc>
        <w:tc>
          <w:tcPr>
            <w:shd w:fill="f4cccc" w:val="clear"/>
            <w:tcMar>
              <w:top w:w="0.0" w:type="dxa"/>
              <w:left w:w="40.0" w:type="dxa"/>
              <w:bottom w:w="0.0" w:type="dxa"/>
              <w:right w:w="40.0" w:type="dxa"/>
            </w:tcMar>
            <w:vAlign w:val="bottom"/>
          </w:tcPr>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f4c7c3" w:val="clear"/>
            <w:tcMar>
              <w:top w:w="0.0" w:type="dxa"/>
              <w:left w:w="40.0" w:type="dxa"/>
              <w:bottom w:w="0.0" w:type="dxa"/>
              <w:right w:w="40.0" w:type="dxa"/>
            </w:tcMar>
            <w:vAlign w:val="bottom"/>
          </w:tcPr>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-2.03</w:t>
            </w:r>
          </w:p>
        </w:tc>
        <w:tc>
          <w:tcPr>
            <w:shd w:fill="auto" w:val="clear"/>
            <w:tcMar>
              <w:top w:w="0.0" w:type="dxa"/>
              <w:left w:w="40.0" w:type="dxa"/>
              <w:bottom w:w="0.0" w:type="dxa"/>
              <w:right w:w="40.0" w:type="dxa"/>
            </w:tcMar>
            <w:vAlign w:val="bottom"/>
          </w:tcPr>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auto" w:val="clear"/>
            <w:tcMar>
              <w:top w:w="0.0" w:type="dxa"/>
              <w:left w:w="40.0" w:type="dxa"/>
              <w:bottom w:w="0.0" w:type="dxa"/>
              <w:right w:w="40.0" w:type="dxa"/>
            </w:tcMar>
            <w:vAlign w:val="bottom"/>
          </w:tcPr>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-0.29</w:t>
            </w:r>
          </w:p>
        </w:tc>
        <w:tc>
          <w:tcPr>
            <w:shd w:fill="auto" w:val="clear"/>
            <w:tcMar>
              <w:top w:w="0.0" w:type="dxa"/>
              <w:left w:w="40.0" w:type="dxa"/>
              <w:bottom w:w="0.0" w:type="dxa"/>
              <w:right w:w="40.0" w:type="dxa"/>
            </w:tcMar>
            <w:vAlign w:val="bottom"/>
          </w:tcPr>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0.38</w:t>
            </w:r>
          </w:p>
        </w:tc>
        <w:tc>
          <w:tcPr>
            <w:shd w:fill="f4cccc" w:val="clear"/>
            <w:tcMar>
              <w:top w:w="0.0" w:type="dxa"/>
              <w:left w:w="40.0" w:type="dxa"/>
              <w:bottom w:w="0.0" w:type="dxa"/>
              <w:right w:w="40.0" w:type="dxa"/>
            </w:tcMar>
            <w:vAlign w:val="bottom"/>
          </w:tcPr>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-2.10</w:t>
            </w:r>
          </w:p>
        </w:tc>
        <w:tc>
          <w:tcPr>
            <w:shd w:fill="9fc5e8" w:val="clear"/>
            <w:tcMar>
              <w:top w:w="0.0" w:type="dxa"/>
              <w:left w:w="40.0" w:type="dxa"/>
              <w:bottom w:w="0.0" w:type="dxa"/>
              <w:right w:w="40.0" w:type="dxa"/>
            </w:tcMar>
            <w:vAlign w:val="bottom"/>
          </w:tcPr>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1969</w:t>
            </w:r>
          </w:p>
        </w:tc>
        <w:tc>
          <w:tcPr>
            <w:shd w:fill="f4cccc" w:val="clear"/>
            <w:tcMar>
              <w:top w:w="0.0" w:type="dxa"/>
              <w:left w:w="40.0" w:type="dxa"/>
              <w:bottom w:w="0.0" w:type="dxa"/>
              <w:right w:w="40.0" w:type="dxa"/>
            </w:tcMar>
            <w:vAlign w:val="bottom"/>
          </w:tcPr>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-2.37</w:t>
            </w:r>
          </w:p>
        </w:tc>
        <w:tc>
          <w:tcPr>
            <w:shd w:fill="auto" w:val="clear"/>
            <w:tcMar>
              <w:top w:w="0.0" w:type="dxa"/>
              <w:left w:w="40.0" w:type="dxa"/>
              <w:bottom w:w="0.0" w:type="dxa"/>
              <w:right w:w="40.0" w:type="dxa"/>
            </w:tcMar>
            <w:vAlign w:val="bottom"/>
          </w:tcPr>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-1.43</w:t>
            </w:r>
          </w:p>
        </w:tc>
        <w:tc>
          <w:tcPr>
            <w:shd w:fill="auto" w:val="clear"/>
            <w:tcMar>
              <w:top w:w="0.0" w:type="dxa"/>
              <w:left w:w="40.0" w:type="dxa"/>
              <w:bottom w:w="0.0" w:type="dxa"/>
              <w:right w:w="40.0" w:type="dxa"/>
            </w:tcMar>
            <w:vAlign w:val="bottom"/>
          </w:tcPr>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-0.91</w:t>
            </w:r>
          </w:p>
        </w:tc>
        <w:tc>
          <w:tcPr>
            <w:shd w:fill="f4cccc" w:val="clear"/>
            <w:tcMar>
              <w:top w:w="0.0" w:type="dxa"/>
              <w:left w:w="40.0" w:type="dxa"/>
              <w:bottom w:w="0.0" w:type="dxa"/>
              <w:right w:w="40.0" w:type="dxa"/>
            </w:tcMar>
            <w:vAlign w:val="bottom"/>
          </w:tcPr>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-2.60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1973</w:t>
            </w:r>
          </w:p>
        </w:tc>
        <w:tc>
          <w:tcPr>
            <w:shd w:fill="auto" w:val="clear"/>
            <w:tcMar>
              <w:top w:w="0.0" w:type="dxa"/>
              <w:left w:w="40.0" w:type="dxa"/>
              <w:bottom w:w="0.0" w:type="dxa"/>
              <w:right w:w="40.0" w:type="dxa"/>
            </w:tcMar>
            <w:vAlign w:val="bottom"/>
          </w:tcPr>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-1.77</w:t>
            </w:r>
          </w:p>
        </w:tc>
        <w:tc>
          <w:tcPr>
            <w:shd w:fill="auto" w:val="clear"/>
            <w:tcMar>
              <w:top w:w="0.0" w:type="dxa"/>
              <w:left w:w="40.0" w:type="dxa"/>
              <w:bottom w:w="0.0" w:type="dxa"/>
              <w:right w:w="40.0" w:type="dxa"/>
            </w:tcMar>
            <w:vAlign w:val="bottom"/>
          </w:tcPr>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-0.78</w:t>
            </w:r>
          </w:p>
        </w:tc>
        <w:tc>
          <w:tcPr>
            <w:shd w:fill="f4cccc" w:val="clear"/>
            <w:tcMar>
              <w:top w:w="0.0" w:type="dxa"/>
              <w:left w:w="40.0" w:type="dxa"/>
              <w:bottom w:w="0.0" w:type="dxa"/>
              <w:right w:w="40.0" w:type="dxa"/>
            </w:tcMar>
            <w:vAlign w:val="bottom"/>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-2.75</w:t>
            </w:r>
          </w:p>
        </w:tc>
        <w:tc>
          <w:tcPr>
            <w:shd w:fill="f4cccc" w:val="clear"/>
            <w:tcMar>
              <w:top w:w="0.0" w:type="dxa"/>
              <w:left w:w="40.0" w:type="dxa"/>
              <w:bottom w:w="0.0" w:type="dxa"/>
              <w:right w:w="40.0" w:type="dxa"/>
            </w:tcMar>
            <w:vAlign w:val="bottom"/>
          </w:tcPr>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-2.84</w:t>
            </w:r>
          </w:p>
        </w:tc>
        <w:tc>
          <w:tcPr>
            <w:shd w:fill="f4cccc" w:val="clear"/>
            <w:tcMar>
              <w:top w:w="0.0" w:type="dxa"/>
              <w:left w:w="40.0" w:type="dxa"/>
              <w:bottom w:w="0.0" w:type="dxa"/>
              <w:right w:w="40.0" w:type="dxa"/>
            </w:tcMar>
            <w:vAlign w:val="bottom"/>
          </w:tcPr>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-0.25</w:t>
            </w:r>
          </w:p>
        </w:tc>
        <w:tc>
          <w:tcPr>
            <w:shd w:fill="f4c7c3" w:val="clear"/>
            <w:tcMar>
              <w:top w:w="0.0" w:type="dxa"/>
              <w:left w:w="40.0" w:type="dxa"/>
              <w:bottom w:w="0.0" w:type="dxa"/>
              <w:right w:w="40.0" w:type="dxa"/>
            </w:tcMar>
            <w:vAlign w:val="bottom"/>
          </w:tcPr>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-4.19</w:t>
            </w:r>
          </w:p>
        </w:tc>
        <w:tc>
          <w:tcPr>
            <w:shd w:fill="f4cccc" w:val="clear"/>
            <w:tcMar>
              <w:top w:w="0.0" w:type="dxa"/>
              <w:left w:w="40.0" w:type="dxa"/>
              <w:bottom w:w="0.0" w:type="dxa"/>
              <w:right w:w="40.0" w:type="dxa"/>
            </w:tcMar>
            <w:vAlign w:val="bottom"/>
          </w:tcPr>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-2.66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1977</w:t>
            </w:r>
          </w:p>
        </w:tc>
        <w:tc>
          <w:tcPr>
            <w:shd w:fill="f4cccc" w:val="clear"/>
            <w:tcMar>
              <w:top w:w="0.0" w:type="dxa"/>
              <w:left w:w="40.0" w:type="dxa"/>
              <w:bottom w:w="0.0" w:type="dxa"/>
              <w:right w:w="40.0" w:type="dxa"/>
            </w:tcMar>
            <w:vAlign w:val="bottom"/>
          </w:tcPr>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-2.03</w:t>
            </w:r>
          </w:p>
        </w:tc>
        <w:tc>
          <w:tcPr>
            <w:shd w:fill="f4cccc" w:val="clear"/>
            <w:tcMar>
              <w:top w:w="0.0" w:type="dxa"/>
              <w:left w:w="40.0" w:type="dxa"/>
              <w:bottom w:w="0.0" w:type="dxa"/>
              <w:right w:w="40.0" w:type="dxa"/>
            </w:tcMar>
            <w:vAlign w:val="bottom"/>
          </w:tcPr>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f4c7c3" w:val="clear"/>
            <w:tcMar>
              <w:top w:w="0.0" w:type="dxa"/>
              <w:left w:w="40.0" w:type="dxa"/>
              <w:bottom w:w="0.0" w:type="dxa"/>
              <w:right w:w="40.0" w:type="dxa"/>
            </w:tcMar>
            <w:vAlign w:val="bottom"/>
          </w:tcPr>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-3.57</w:t>
            </w:r>
          </w:p>
        </w:tc>
        <w:tc>
          <w:tcPr>
            <w:shd w:fill="f4cccc" w:val="clear"/>
            <w:tcMar>
              <w:top w:w="0.0" w:type="dxa"/>
              <w:left w:w="40.0" w:type="dxa"/>
              <w:bottom w:w="0.0" w:type="dxa"/>
              <w:right w:w="40.0" w:type="dxa"/>
            </w:tcMar>
            <w:vAlign w:val="bottom"/>
          </w:tcPr>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c>
          <w:tcPr>
            <w:shd w:fill="f4c7c3" w:val="clear"/>
            <w:tcMar>
              <w:top w:w="0.0" w:type="dxa"/>
              <w:left w:w="40.0" w:type="dxa"/>
              <w:bottom w:w="0.0" w:type="dxa"/>
              <w:right w:w="40.0" w:type="dxa"/>
            </w:tcMar>
            <w:vAlign w:val="bottom"/>
          </w:tcPr>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-4.19</w:t>
            </w:r>
          </w:p>
        </w:tc>
        <w:tc>
          <w:tcPr>
            <w:shd w:fill="auto" w:val="clear"/>
            <w:tcMar>
              <w:top w:w="0.0" w:type="dxa"/>
              <w:left w:w="40.0" w:type="dxa"/>
              <w:bottom w:w="0.0" w:type="dxa"/>
              <w:right w:w="40.0" w:type="dxa"/>
            </w:tcMar>
            <w:vAlign w:val="bottom"/>
          </w:tcPr>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-1.37</w:t>
            </w:r>
          </w:p>
        </w:tc>
        <w:tc>
          <w:tcPr>
            <w:shd w:fill="f4cccc" w:val="clear"/>
            <w:tcMar>
              <w:top w:w="0.0" w:type="dxa"/>
              <w:left w:w="40.0" w:type="dxa"/>
              <w:bottom w:w="0.0" w:type="dxa"/>
              <w:right w:w="40.0" w:type="dxa"/>
            </w:tcMar>
            <w:vAlign w:val="bottom"/>
          </w:tcPr>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-0.34</w:t>
            </w:r>
          </w:p>
        </w:tc>
        <w:tc>
          <w:tcPr>
            <w:shd w:fill="f4c7c3" w:val="clear"/>
            <w:tcMar>
              <w:top w:w="0.0" w:type="dxa"/>
              <w:left w:w="40.0" w:type="dxa"/>
              <w:bottom w:w="0.0" w:type="dxa"/>
              <w:right w:w="40.0" w:type="dxa"/>
            </w:tcMar>
            <w:vAlign w:val="bottom"/>
          </w:tcPr>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-5.23</w:t>
            </w:r>
          </w:p>
        </w:tc>
        <w:tc>
          <w:tcPr>
            <w:shd w:fill="f4cccc" w:val="clear"/>
            <w:tcMar>
              <w:top w:w="0.0" w:type="dxa"/>
              <w:left w:w="40.0" w:type="dxa"/>
              <w:bottom w:w="0.0" w:type="dxa"/>
              <w:right w:w="40.0" w:type="dxa"/>
            </w:tcMar>
            <w:vAlign w:val="bottom"/>
          </w:tcPr>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-0.29</w:t>
            </w:r>
          </w:p>
        </w:tc>
        <w:tc>
          <w:tcPr>
            <w:shd w:fill="f4c7c3" w:val="clear"/>
            <w:tcMar>
              <w:top w:w="0.0" w:type="dxa"/>
              <w:left w:w="40.0" w:type="dxa"/>
              <w:bottom w:w="0.0" w:type="dxa"/>
              <w:right w:w="40.0" w:type="dxa"/>
            </w:tcMar>
            <w:vAlign w:val="bottom"/>
          </w:tcPr>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-4.80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1981</w:t>
            </w:r>
          </w:p>
        </w:tc>
        <w:tc>
          <w:tcPr>
            <w:shd w:fill="auto" w:val="clear"/>
            <w:tcMar>
              <w:top w:w="0.0" w:type="dxa"/>
              <w:left w:w="40.0" w:type="dxa"/>
              <w:bottom w:w="0.0" w:type="dxa"/>
              <w:right w:w="40.0" w:type="dxa"/>
            </w:tcMar>
            <w:vAlign w:val="bottom"/>
          </w:tcPr>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f4cccc" w:val="clear"/>
            <w:tcMar>
              <w:top w:w="0.0" w:type="dxa"/>
              <w:left w:w="40.0" w:type="dxa"/>
              <w:bottom w:w="0.0" w:type="dxa"/>
              <w:right w:w="40.0" w:type="dxa"/>
            </w:tcMar>
            <w:vAlign w:val="bottom"/>
          </w:tcPr>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f4c7c3" w:val="clear"/>
            <w:tcMar>
              <w:top w:w="0.0" w:type="dxa"/>
              <w:left w:w="40.0" w:type="dxa"/>
              <w:bottom w:w="0.0" w:type="dxa"/>
              <w:right w:w="40.0" w:type="dxa"/>
            </w:tcMar>
            <w:vAlign w:val="bottom"/>
          </w:tcPr>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-3.96</w:t>
            </w:r>
          </w:p>
        </w:tc>
        <w:tc>
          <w:tcPr>
            <w:shd w:fill="auto" w:val="clear"/>
            <w:tcMar>
              <w:top w:w="0.0" w:type="dxa"/>
              <w:left w:w="40.0" w:type="dxa"/>
              <w:bottom w:w="0.0" w:type="dxa"/>
              <w:right w:w="40.0" w:type="dxa"/>
            </w:tcMar>
            <w:vAlign w:val="bottom"/>
          </w:tcPr>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-1.01</w:t>
            </w:r>
          </w:p>
        </w:tc>
        <w:tc>
          <w:tcPr>
            <w:shd w:fill="auto" w:val="clear"/>
            <w:tcMar>
              <w:top w:w="0.0" w:type="dxa"/>
              <w:left w:w="40.0" w:type="dxa"/>
              <w:bottom w:w="0.0" w:type="dxa"/>
              <w:right w:w="40.0" w:type="dxa"/>
            </w:tcMar>
            <w:vAlign w:val="bottom"/>
          </w:tcPr>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-0.45</w:t>
            </w:r>
          </w:p>
        </w:tc>
        <w:tc>
          <w:tcPr>
            <w:shd w:fill="f4cccc" w:val="clear"/>
            <w:tcMar>
              <w:top w:w="0.0" w:type="dxa"/>
              <w:left w:w="40.0" w:type="dxa"/>
              <w:bottom w:w="0.0" w:type="dxa"/>
              <w:right w:w="40.0" w:type="dxa"/>
            </w:tcMar>
            <w:vAlign w:val="bottom"/>
          </w:tcPr>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-0.39</w:t>
            </w:r>
          </w:p>
        </w:tc>
        <w:tc>
          <w:tcPr>
            <w:shd w:fill="f4c7c3" w:val="clear"/>
            <w:tcMar>
              <w:top w:w="0.0" w:type="dxa"/>
              <w:left w:w="40.0" w:type="dxa"/>
              <w:bottom w:w="0.0" w:type="dxa"/>
              <w:right w:w="40.0" w:type="dxa"/>
            </w:tcMar>
            <w:vAlign w:val="bottom"/>
          </w:tcPr>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1985</w:t>
            </w:r>
          </w:p>
        </w:tc>
        <w:tc>
          <w:tcPr>
            <w:shd w:fill="f4cccc" w:val="clear"/>
            <w:tcMar>
              <w:top w:w="0.0" w:type="dxa"/>
              <w:left w:w="40.0" w:type="dxa"/>
              <w:bottom w:w="0.0" w:type="dxa"/>
              <w:right w:w="40.0" w:type="dxa"/>
            </w:tcMar>
            <w:vAlign w:val="bottom"/>
          </w:tcPr>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f4c7c3" w:val="clear"/>
            <w:tcMar>
              <w:top w:w="0.0" w:type="dxa"/>
              <w:left w:w="40.0" w:type="dxa"/>
              <w:bottom w:w="0.0" w:type="dxa"/>
              <w:right w:w="40.0" w:type="dxa"/>
            </w:tcMar>
            <w:vAlign w:val="bottom"/>
          </w:tcPr>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-2.28</w:t>
            </w:r>
          </w:p>
        </w:tc>
        <w:tc>
          <w:tcPr>
            <w:shd w:fill="f4cccc" w:val="clear"/>
            <w:tcMar>
              <w:top w:w="0.0" w:type="dxa"/>
              <w:left w:w="40.0" w:type="dxa"/>
              <w:bottom w:w="0.0" w:type="dxa"/>
              <w:right w:w="40.0" w:type="dxa"/>
            </w:tcMar>
            <w:vAlign w:val="bottom"/>
          </w:tcPr>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f4c7c3" w:val="clear"/>
            <w:tcMar>
              <w:top w:w="0.0" w:type="dxa"/>
              <w:left w:w="40.0" w:type="dxa"/>
              <w:bottom w:w="0.0" w:type="dxa"/>
              <w:right w:w="40.0" w:type="dxa"/>
            </w:tcMar>
            <w:vAlign w:val="bottom"/>
          </w:tcPr>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-4.70</w:t>
            </w:r>
          </w:p>
        </w:tc>
        <w:tc>
          <w:tcPr>
            <w:shd w:fill="f4cccc" w:val="clear"/>
            <w:tcMar>
              <w:top w:w="0.0" w:type="dxa"/>
              <w:left w:w="40.0" w:type="dxa"/>
              <w:bottom w:w="0.0" w:type="dxa"/>
              <w:right w:w="40.0" w:type="dxa"/>
            </w:tcMar>
            <w:vAlign w:val="bottom"/>
          </w:tcPr>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-2.47</w:t>
            </w:r>
          </w:p>
        </w:tc>
        <w:tc>
          <w:tcPr>
            <w:shd w:fill="auto" w:val="clear"/>
            <w:tcMar>
              <w:top w:w="0.0" w:type="dxa"/>
              <w:left w:w="40.0" w:type="dxa"/>
              <w:bottom w:w="0.0" w:type="dxa"/>
              <w:right w:w="40.0" w:type="dxa"/>
            </w:tcMar>
            <w:vAlign w:val="bottom"/>
          </w:tcPr>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-0.64</w:t>
            </w:r>
          </w:p>
        </w:tc>
        <w:tc>
          <w:tcPr>
            <w:shd w:fill="f4cccc" w:val="clear"/>
            <w:tcMar>
              <w:top w:w="0.0" w:type="dxa"/>
              <w:left w:w="40.0" w:type="dxa"/>
              <w:bottom w:w="0.0" w:type="dxa"/>
              <w:right w:w="40.0" w:type="dxa"/>
            </w:tcMar>
            <w:vAlign w:val="bottom"/>
          </w:tcPr>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-0.53</w:t>
            </w:r>
          </w:p>
        </w:tc>
        <w:tc>
          <w:tcPr>
            <w:shd w:fill="f4c7c3" w:val="clear"/>
            <w:tcMar>
              <w:top w:w="0.0" w:type="dxa"/>
              <w:left w:w="40.0" w:type="dxa"/>
              <w:bottom w:w="0.0" w:type="dxa"/>
              <w:right w:w="40.0" w:type="dxa"/>
            </w:tcMar>
            <w:vAlign w:val="bottom"/>
          </w:tcPr>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1989</w:t>
            </w:r>
          </w:p>
        </w:tc>
        <w:tc>
          <w:tcPr>
            <w:shd w:fill="auto" w:val="clear"/>
            <w:tcMar>
              <w:top w:w="0.0" w:type="dxa"/>
              <w:left w:w="40.0" w:type="dxa"/>
              <w:bottom w:w="0.0" w:type="dxa"/>
              <w:right w:w="40.0" w:type="dxa"/>
            </w:tcMar>
            <w:vAlign w:val="bottom"/>
          </w:tcPr>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-0.66</w:t>
            </w:r>
          </w:p>
        </w:tc>
        <w:tc>
          <w:tcPr>
            <w:shd w:fill="f4cccc" w:val="clear"/>
            <w:tcMar>
              <w:top w:w="0.0" w:type="dxa"/>
              <w:left w:w="40.0" w:type="dxa"/>
              <w:bottom w:w="0.0" w:type="dxa"/>
              <w:right w:w="40.0" w:type="dxa"/>
            </w:tcMar>
            <w:vAlign w:val="bottom"/>
          </w:tcPr>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-0.24</w:t>
            </w:r>
          </w:p>
        </w:tc>
        <w:tc>
          <w:tcPr>
            <w:shd w:fill="f4c7c3" w:val="clear"/>
            <w:tcMar>
              <w:top w:w="0.0" w:type="dxa"/>
              <w:left w:w="40.0" w:type="dxa"/>
              <w:bottom w:w="0.0" w:type="dxa"/>
              <w:right w:w="40.0" w:type="dxa"/>
            </w:tcMar>
            <w:vAlign w:val="bottom"/>
          </w:tcPr>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-3.51</w:t>
            </w:r>
          </w:p>
        </w:tc>
        <w:tc>
          <w:tcPr>
            <w:shd w:fill="auto" w:val="clear"/>
            <w:tcMar>
              <w:top w:w="0.0" w:type="dxa"/>
              <w:left w:w="40.0" w:type="dxa"/>
              <w:bottom w:w="0.0" w:type="dxa"/>
              <w:right w:w="40.0" w:type="dxa"/>
            </w:tcMar>
            <w:vAlign w:val="bottom"/>
          </w:tcPr>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-0.43</w:t>
            </w:r>
          </w:p>
        </w:tc>
        <w:tc>
          <w:tcPr>
            <w:shd w:fill="auto" w:val="clear"/>
            <w:tcMar>
              <w:top w:w="0.0" w:type="dxa"/>
              <w:left w:w="40.0" w:type="dxa"/>
              <w:bottom w:w="0.0" w:type="dxa"/>
              <w:right w:w="40.0" w:type="dxa"/>
            </w:tcMar>
            <w:vAlign w:val="bottom"/>
          </w:tcPr>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0.97</w:t>
            </w:r>
          </w:p>
        </w:tc>
        <w:tc>
          <w:tcPr>
            <w:shd w:fill="f4cccc" w:val="clear"/>
            <w:tcMar>
              <w:top w:w="0.0" w:type="dxa"/>
              <w:left w:w="40.0" w:type="dxa"/>
              <w:bottom w:w="0.0" w:type="dxa"/>
              <w:right w:w="40.0" w:type="dxa"/>
            </w:tcMar>
            <w:vAlign w:val="bottom"/>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f4c7c3" w:val="clear"/>
            <w:tcMar>
              <w:top w:w="0.0" w:type="dxa"/>
              <w:left w:w="40.0" w:type="dxa"/>
              <w:bottom w:w="0.0" w:type="dxa"/>
              <w:right w:w="40.0" w:type="dxa"/>
            </w:tcMar>
            <w:vAlign w:val="bottom"/>
          </w:tcPr>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-3.90</w:t>
            </w:r>
          </w:p>
        </w:tc>
      </w:tr>
    </w:tbl>
    <w:p w:rsidR="00000000" w:rsidDel="00000000" w:rsidP="00000000" w:rsidRDefault="00000000" w:rsidRPr="00000000" w14:paraId="000004B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rPr>
          <w:rtl w:val="0"/>
        </w:rPr>
        <w:t xml:space="preserve">Red and Blue Shaded Cells: </w:t>
      </w:r>
      <w:r w:rsidDel="00000000" w:rsidR="00000000" w:rsidRPr="00000000">
        <w:rPr>
          <w:i w:val="1"/>
          <w:iCs w:val="1"/>
          <w:rtl w:val="0"/>
        </w:rPr>
        <w:t xml:space="preserve">p </w:t>
      </w:r>
      <w:r w:rsidDel="00000000" w:rsidR="00000000" w:rsidRPr="00000000">
        <w:rPr>
          <w:rtl w:val="0"/>
        </w:rPr>
        <w:t xml:space="preserve">&lt; 0.05</w:t>
      </w:r>
      <w:r w:rsidDel="00000000" w:rsidR="00000000" w:rsidRPr="00000000">
        <w:rPr>
          <w:rtl w:val="0"/>
        </w:rPr>
      </w:r>
    </w:p>
    <w:p w:rsidR="00000000" w:rsidDel="00000000" w:rsidP="00000000" w:rsidRDefault="00000000" w:rsidRPr="00000000" w14:paraId="000004BA">
      <w:pPr>
        <w:pStyle w:val="Heading4"/>
        <w:pageBreakBefore w:val="0"/>
        <w:spacing w:before="0" w:line="360" w:lineRule="auto"/>
        <w:rPr/>
      </w:pPr>
      <w:bookmarkStart w:colFirst="0" w:colLast="0" w:name="_14ykbeg" w:id="122"/>
      <w:bookmarkEnd w:id="122"/>
      <w:r w:rsidDel="00000000" w:rsidR="00000000" w:rsidRPr="00000000">
        <w:rPr>
          <w:rtl w:val="0"/>
        </w:rPr>
      </w:r>
    </w:p>
    <w:p w:rsidR="00000000" w:rsidDel="00000000" w:rsidP="00000000" w:rsidRDefault="00000000" w:rsidRPr="00000000" w14:paraId="000004BB">
      <w:pPr>
        <w:pStyle w:val="Heading4"/>
        <w:pageBreakBefore w:val="0"/>
        <w:spacing w:before="0" w:line="360" w:lineRule="auto"/>
        <w:rPr/>
      </w:pPr>
      <w:bookmarkStart w:colFirst="0" w:colLast="0" w:name="_3oy7u29" w:id="123"/>
      <w:bookmarkEnd w:id="123"/>
      <w:r w:rsidDel="00000000" w:rsidR="00000000" w:rsidRPr="00000000">
        <w:rPr>
          <w:rtl w:val="0"/>
        </w:rPr>
      </w:r>
    </w:p>
    <w:p w:rsidR="00000000" w:rsidDel="00000000" w:rsidP="00000000" w:rsidRDefault="00000000" w:rsidRPr="00000000" w14:paraId="000004BC">
      <w:pPr>
        <w:pStyle w:val="Heading4"/>
        <w:pageBreakBefore w:val="0"/>
        <w:spacing w:before="0" w:line="360" w:lineRule="auto"/>
        <w:rPr/>
      </w:pPr>
      <w:bookmarkStart w:colFirst="0" w:colLast="0" w:name="_243i4a2" w:id="124"/>
      <w:bookmarkEnd w:id="124"/>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1.png" id="2" name="image9.png"/>
            <a:graphic>
              <a:graphicData uri="http://schemas.openxmlformats.org/drawingml/2006/picture">
                <pic:pic>
                  <pic:nvPicPr>
                    <pic:cNvPr descr="desc-plot1.png" id="0" name="image9.png"/>
                    <pic:cNvPicPr preferRelativeResize="0"/>
                  </pic:nvPicPr>
                  <pic:blipFill>
                    <a:blip r:embed="rId14"/>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1. Descriptive Age, Period, And Cohort Trends For All Eight “core” SPPA Arts Participation Activities (Standardized To The Same Scale For Comparability), 1982-2012.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b w:val="1"/>
          <w:bCs w:val="1"/>
        </w:rPr>
        <w:drawing>
          <wp:inline distB="114300" distT="114300" distL="114300" distR="114300">
            <wp:extent cx="5943600" cy="3657600"/>
            <wp:effectExtent b="0" l="0" r="0" t="0"/>
            <wp:docPr descr="desc-plot2.png" id="1" name="image3.png"/>
            <a:graphic>
              <a:graphicData uri="http://schemas.openxmlformats.org/drawingml/2006/picture">
                <pic:pic>
                  <pic:nvPicPr>
                    <pic:cNvPr descr="desc-plot2.png" id="0" name="image3.png"/>
                    <pic:cNvPicPr preferRelativeResize="0"/>
                  </pic:nvPicPr>
                  <pic:blipFill>
                    <a:blip r:embed="rId15"/>
                    <a:srcRect b="0" l="0" r="0" t="0"/>
                    <a:stretch>
                      <a:fillRect/>
                    </a:stretch>
                  </pic:blipFill>
                  <pic:spPr>
                    <a:xfrm>
                      <a:off x="0" y="0"/>
                      <a:ext cx="5943600" cy="3657600"/>
                    </a:xfrm>
                    <a:prstGeom prst="rect"/>
                    <a:ln/>
                  </pic:spPr>
                </pic:pic>
              </a:graphicData>
            </a:graphic>
          </wp:inline>
        </w:drawing>
      </w:r>
      <w:r w:rsidDel="00000000" w:rsidR="00000000" w:rsidRPr="00000000">
        <w:rPr>
          <w:b w:val="1"/>
          <w:bCs w:val="1"/>
          <w:smallCaps w:val="0"/>
          <w:shd w:fill="auto" w:val="clear"/>
          <w:vertAlign w:val="baseline"/>
          <w:rtl w:val="0"/>
        </w:rPr>
        <w:t xml:space="preserve">Figure 2. Period-specific Cohort Trends In Arts Participation, Cumulative </w:t>
      </w:r>
      <w:r w:rsidDel="00000000" w:rsidR="00000000" w:rsidRPr="00000000">
        <w:rPr>
          <w:b w:val="1"/>
          <w:bCs w:val="1"/>
          <w:rtl w:val="0"/>
        </w:rPr>
        <w:t xml:space="preserve">SPPA</w:t>
      </w:r>
      <w:r w:rsidDel="00000000" w:rsidR="00000000" w:rsidRPr="00000000">
        <w:rPr>
          <w:b w:val="1"/>
          <w:bCs w:val="1"/>
          <w:smallCaps w:val="0"/>
          <w:shd w:fill="auto" w:val="clear"/>
          <w:vertAlign w:val="baseline"/>
          <w:rtl w:val="0"/>
        </w:rPr>
        <w:t xml:space="preserve"> Data, 1982-2012.</w: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b w:val="1"/>
          <w:bCs w:val="1"/>
        </w:rPr>
      </w:pPr>
      <w:r w:rsidDel="00000000" w:rsidR="00000000" w:rsidRPr="00000000">
        <w:rPr>
          <w:b w:val="1"/>
          <w:bCs w:val="1"/>
        </w:rPr>
        <w:drawing>
          <wp:inline distB="114300" distT="114300" distL="114300" distR="114300">
            <wp:extent cx="5943600" cy="2286000"/>
            <wp:effectExtent b="0" l="0" r="0" t="0"/>
            <wp:docPr descr="gr1.png" id="3" name="image1.png"/>
            <a:graphic>
              <a:graphicData uri="http://schemas.openxmlformats.org/drawingml/2006/picture">
                <pic:pic>
                  <pic:nvPicPr>
                    <pic:cNvPr descr="gr1.png" id="0" name="image1.png"/>
                    <pic:cNvPicPr preferRelativeResize="0"/>
                  </pic:nvPicPr>
                  <pic:blipFill>
                    <a:blip r:embed="rId1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(a)</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2.png" id="10" name="image4.png"/>
            <a:graphic>
              <a:graphicData uri="http://schemas.openxmlformats.org/drawingml/2006/picture">
                <pic:pic>
                  <pic:nvPicPr>
                    <pic:cNvPr descr="gr2.png" id="0" name="image4.png"/>
                    <pic:cNvPicPr preferRelativeResize="0"/>
                  </pic:nvPicPr>
                  <pic:blipFill>
                    <a:blip r:embed="rId1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(b)</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3.png" id="12" name="image6.png"/>
            <a:graphic>
              <a:graphicData uri="http://schemas.openxmlformats.org/drawingml/2006/picture">
                <pic:pic>
                  <pic:nvPicPr>
                    <pic:cNvPr descr="gr3.png" id="0" name="image6.png"/>
                    <pic:cNvPicPr preferRelativeResize="0"/>
                  </pic:nvPicPr>
                  <pic:blipFill>
                    <a:blip r:embed="rId18"/>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(c)</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b w:val="1"/>
          <w:bCs w:val="1"/>
          <w:rtl w:val="0"/>
        </w:rPr>
        <w:t xml:space="preserve">Figure 3. Random effect estimates of group level cohort effects using different window sizes to define cohort groups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b w:val="1"/>
          <w:bCs w:val="1"/>
        </w:rPr>
        <w:drawing>
          <wp:inline distB="114300" distT="114300" distL="114300" distR="114300">
            <wp:extent cx="5943600" cy="3200400"/>
            <wp:effectExtent b="0" l="0" r="0" t="0"/>
            <wp:docPr descr="art-cohort-by-educ.png" id="9" name="image10.png"/>
            <a:graphic>
              <a:graphicData uri="http://schemas.openxmlformats.org/drawingml/2006/picture">
                <pic:pic>
                  <pic:nvPicPr>
                    <pic:cNvPr descr="art-cohort-by-educ.png" id="0" name="image10.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(a)</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b w:val="1"/>
          <w:bCs w:val="1"/>
        </w:rPr>
        <w:drawing>
          <wp:inline distB="114300" distT="114300" distL="114300" distR="114300">
            <wp:extent cx="5943600" cy="3200400"/>
            <wp:effectExtent b="0" l="0" r="0" t="0"/>
            <wp:docPr descr="craft-cohort-by-educ.png" id="4" name="image8.png"/>
            <a:graphic>
              <a:graphicData uri="http://schemas.openxmlformats.org/drawingml/2006/picture">
                <pic:pic>
                  <pic:nvPicPr>
                    <pic:cNvPr descr="craft-cohort-by-educ.png" id="0" name="image8.png"/>
                    <pic:cNvPicPr preferRelativeResize="0"/>
                  </pic:nvPicPr>
                  <pic:blipFill>
                    <a:blip r:embed="rId2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(b)</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b w:val="1"/>
          <w:bCs w:val="1"/>
          <w:rtl w:val="0"/>
        </w:rPr>
        <w:t xml:space="preserve">Figure 4. Group-Specific Cohort Effect Estimates for Respondents with Some College Experience (or Higher) and Respondents with No College Education for Two SPPA Arts Participation Outcomes.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1_age.png" id="11" name="image2.png"/>
            <a:graphic>
              <a:graphicData uri="http://schemas.openxmlformats.org/drawingml/2006/picture">
                <pic:pic>
                  <pic:nvPicPr>
                    <pic:cNvPr descr="gr1_age.png" id="0" name="image2.png"/>
                    <pic:cNvPicPr preferRelativeResize="0"/>
                  </pic:nvPicPr>
                  <pic:blipFill>
                    <a:blip r:embed="rId2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(a)</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2_age.png" id="7" name="image7.png"/>
            <a:graphic>
              <a:graphicData uri="http://schemas.openxmlformats.org/drawingml/2006/picture">
                <pic:pic>
                  <pic:nvPicPr>
                    <pic:cNvPr descr="gr2_age.png" id="0" name="image7.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(b)</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3_age.png" id="5" name="image5.png"/>
            <a:graphic>
              <a:graphicData uri="http://schemas.openxmlformats.org/drawingml/2006/picture">
                <pic:pic>
                  <pic:nvPicPr>
                    <pic:cNvPr descr="gr3_age.png" id="0" name="image5.png"/>
                    <pic:cNvPicPr preferRelativeResize="0"/>
                  </pic:nvPicPr>
                  <pic:blipFill>
                    <a:blip r:embed="rId2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(c)</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Figure 5. Random effect estimates of group level cohort effects using different specifications of the age effect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drawing>
          <wp:inline distB="114300" distT="114300" distL="114300" distR="114300">
            <wp:extent cx="5486400" cy="5486400"/>
            <wp:effectExtent b="0" l="0" r="0" t="0"/>
            <wp:docPr descr="exposure-by-cohort.png" id="8" name="image11.png"/>
            <a:graphic>
              <a:graphicData uri="http://schemas.openxmlformats.org/drawingml/2006/picture">
                <pic:pic>
                  <pic:nvPicPr>
                    <pic:cNvPr descr="exposure-by-cohort.png" id="0" name="image11.png"/>
                    <pic:cNvPicPr preferRelativeResize="0"/>
                  </pic:nvPicPr>
                  <pic:blipFill>
                    <a:blip r:embed="rId24"/>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sectPr>
      <w:footerReference r:id="rId2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E2">
      <w:pPr>
        <w:pStyle w:val="Heading4"/>
        <w:pageBreakBefore w:val="0"/>
        <w:rPr/>
      </w:pPr>
      <w:bookmarkStart w:colFirst="0" w:colLast="0" w:name="_j8sehv" w:id="125"/>
      <w:bookmarkEnd w:id="125"/>
      <w:r w:rsidDel="00000000" w:rsidR="00000000" w:rsidRPr="00000000">
        <w:rPr>
          <w:rStyle w:val="FootnoteReference"/>
          <w:vertAlign w:val="superscript"/>
        </w:rPr>
        <w:footnoteRef/>
      </w:r>
      <w:r w:rsidDel="00000000" w:rsidR="00000000" w:rsidRPr="00000000">
        <w:rPr>
          <w:sz w:val="20"/>
          <w:szCs w:val="20"/>
          <w:rtl w:val="0"/>
        </w:rPr>
        <w:t xml:space="preserve"> There are almost as many measures of omnivorousness as there are papers on the topic. Peterson and Simkus (1992) conceptualized it as a bundle of highbrow and non-highbrow tastes. Later papers </w:t>
      </w:r>
      <w:r w:rsidDel="00000000" w:rsidR="00000000" w:rsidRPr="00000000">
        <w:rPr>
          <w:rtl w:val="0"/>
        </w:rPr>
        <w:t xml:space="preserve">treated omnivorousness as a continuous variable in regression analyses (Rossman and Peterson 2015; for a review, see Peterson 2005). Still others subjected reports of attendance at cultural events to Multiple Correspondence Analysis, producing continuous dimensions that allow researchers to identify the most central and distal tastes (Lopez-Sintas and Katz-Gerro 2005). Later works also distinguished omnivorousness, or breadth of taste, from frequency of engagement, or “voraciousness” (Katz-Gerro and Sullivan 2005). Many papers focused on music, but not all. Some focused on elites, but not all. There is no single measure of omnivorousness, and no consensus on how the concept should be stabilized.</w:t>
      </w:r>
    </w:p>
  </w:footnote>
  <w:footnote w:id="1">
    <w:p w:rsidR="00000000" w:rsidDel="00000000" w:rsidP="00000000" w:rsidRDefault="00000000" w:rsidRPr="00000000" w14:paraId="000004E3">
      <w:pPr>
        <w:pStyle w:val="Heading4"/>
        <w:pageBreakBefore w:val="0"/>
        <w:spacing w:before="0" w:lineRule="auto"/>
        <w:ind w:firstLine="720"/>
        <w:rPr/>
      </w:pPr>
      <w:bookmarkStart w:colFirst="0" w:colLast="0" w:name="_338fx5o" w:id="126"/>
      <w:bookmarkEnd w:id="126"/>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1">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2">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5">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r w:rsidDel="00000000" w:rsidR="00000000" w:rsidRPr="00000000">
        <w:rPr>
          <w:rtl w:val="0"/>
        </w:rPr>
      </w:r>
    </w:p>
  </w:footnote>
  <w:footnote w:id="6">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r w:rsidDel="00000000" w:rsidR="00000000" w:rsidRPr="00000000">
        <w:rPr>
          <w:rtl w:val="0"/>
        </w:rPr>
      </w:r>
    </w:p>
  </w:footnote>
  <w:footnote w:id="7">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r w:rsidDel="00000000" w:rsidR="00000000" w:rsidRPr="00000000">
        <w:rPr>
          <w:rtl w:val="0"/>
        </w:rPr>
      </w:r>
    </w:p>
  </w:footnote>
  <w:footnote w:id="8">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r w:rsidDel="00000000" w:rsidR="00000000" w:rsidRPr="00000000">
        <w:rPr>
          <w:rtl w:val="0"/>
        </w:rPr>
      </w:r>
    </w:p>
  </w:footnote>
  <w:footnote w:id="9">
    <w:p w:rsidR="00000000" w:rsidDel="00000000" w:rsidP="00000000" w:rsidRDefault="00000000" w:rsidRPr="00000000" w14:paraId="000004E9">
      <w:pPr>
        <w:pStyle w:val="Heading4"/>
        <w:pageBreakBefore w:val="0"/>
        <w:spacing w:before="0" w:lineRule="auto"/>
        <w:ind w:firstLine="720"/>
        <w:rPr/>
      </w:pPr>
      <w:bookmarkStart w:colFirst="0" w:colLast="0" w:name="_2hio093" w:id="127"/>
      <w:bookmarkEnd w:id="127"/>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We observe strong positive cohort effects for Whites born between 1930 and 1950  when it comes to attendance at Classical music concerts (symphony) but almost no discernible cohort effect for Blacks when it comes to this form of cultural participation.  When it comes to attendance at Jazz concerts, but Blacks and Whites born during the post-progressive era exhibit strong cohort effects, extending to persons born in the 1960s. </w:t>
      </w:r>
      <w:r w:rsidDel="00000000" w:rsidR="00000000" w:rsidRPr="00000000">
        <w:rPr>
          <w:rtl w:val="0"/>
        </w:rPr>
      </w:r>
    </w:p>
  </w:footnote>
  <w:footnote w:id="10">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r w:rsidDel="00000000" w:rsidR="00000000" w:rsidRPr="00000000">
        <w:rPr>
          <w:rtl w:val="0"/>
        </w:rPr>
      </w:r>
    </w:p>
  </w:footnote>
  <w:footnote w:id="11">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 other analyses (available upon request) we have examined variation of generational and period effects on the SPPA core participation items by gender, and race by fitting group specific HAPC models to the data.</w:t>
      </w:r>
      <w:r w:rsidDel="00000000" w:rsidR="00000000" w:rsidRPr="00000000">
        <w:rPr>
          <w:rtl w:val="0"/>
        </w:rPr>
      </w:r>
    </w:p>
  </w:footnote>
  <w:footnote w:id="12">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Data files were obtained from the National Archive of Data on Arts &amp; Culture (NADAC) hosted by ICPSR at: </w:t>
      </w:r>
      <w:hyperlink r:id="rId2">
        <w:r w:rsidDel="00000000" w:rsidR="00000000" w:rsidRPr="00000000">
          <w:rPr>
            <w:rFonts w:ascii="Garamond" w:cs="Garamond" w:eastAsia="Garamond" w:hAnsi="Garamond"/>
            <w:b w:val="0"/>
            <w:bCs w:val="0"/>
            <w:i w:val="0"/>
            <w:iCs w:val="0"/>
            <w:smallCaps w:val="0"/>
            <w:strike w:val="0"/>
            <w:color w:val="1155cc"/>
            <w:sz w:val="20"/>
            <w:szCs w:val="20"/>
            <w:u w:val="single"/>
            <w:shd w:fill="auto" w:val="clear"/>
            <w:vertAlign w:val="baseline"/>
            <w:rtl w:val="0"/>
          </w:rPr>
          <w:t xml:space="preserve">http://www.icpsr.umich.edu/icpsrweb/NADAC/</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3">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hyperlink r:id="rId3">
        <w:r w:rsidDel="00000000" w:rsidR="00000000" w:rsidRPr="00000000">
          <w:rPr>
            <w:rFonts w:ascii="Garamond" w:cs="Garamond" w:eastAsia="Garamond" w:hAnsi="Garamond"/>
            <w:b w:val="0"/>
            <w:bCs w:val="0"/>
            <w:i w:val="0"/>
            <w:iCs w:val="0"/>
            <w:smallCaps w:val="0"/>
            <w:strike w:val="0"/>
            <w:color w:val="1155cc"/>
            <w:sz w:val="20"/>
            <w:szCs w:val="20"/>
            <w:u w:val="single"/>
            <w:shd w:fill="auto" w:val="clear"/>
            <w:vertAlign w:val="baseline"/>
            <w:rtl w:val="0"/>
          </w:rPr>
          <w:t xml:space="preserve">http://www.icpsr.umich.edu/icpsrweb/NADAC/studies/35575?archive=NADAC&amp;q=american+and+the+arts#method</w:t>
        </w:r>
      </w:hyperlink>
      <w:r w:rsidDel="00000000" w:rsidR="00000000" w:rsidRPr="00000000">
        <w:rPr>
          <w:rtl w:val="0"/>
        </w:rPr>
      </w:r>
    </w:p>
  </w:footnote>
  <w:footnote w:id="14">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footnote>
  <w:footnote w:id="3">
    <w:p w:rsidR="00000000" w:rsidDel="00000000" w:rsidP="00000000" w:rsidRDefault="00000000" w:rsidRPr="00000000" w14:paraId="000004F2">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pPr>
      <w:bookmarkStart w:colFirst="0" w:colLast="0" w:name="_1idq7dh" w:id="128"/>
      <w:bookmarkEnd w:id="128"/>
      <w:r w:rsidDel="00000000" w:rsidR="00000000" w:rsidRPr="00000000">
        <w:rPr>
          <w:rStyle w:val="FootnoteReference"/>
          <w:vertAlign w:val="superscript"/>
        </w:rPr>
        <w:footnoteRef/>
      </w:r>
      <w:r w:rsidDel="00000000" w:rsidR="00000000" w:rsidRPr="00000000">
        <w:rPr>
          <w:sz w:val="20"/>
          <w:szCs w:val="20"/>
          <w:rtl w:val="0"/>
        </w:rPr>
        <w:t xml:space="preserve"> We estimate the HAPC models via maximum likelihood using the routine for mixed effects logit regression modelling (</w:t>
      </w:r>
      <w:r w:rsidDel="00000000" w:rsidR="00000000" w:rsidRPr="00000000">
        <w:rPr>
          <w:rFonts w:ascii="Courier New" w:cs="Courier New" w:eastAsia="Courier New" w:hAnsi="Courier New"/>
          <w:sz w:val="16"/>
          <w:szCs w:val="16"/>
          <w:rtl w:val="0"/>
        </w:rPr>
        <w:t xml:space="preserve">melogit</w:t>
      </w:r>
      <w:r w:rsidDel="00000000" w:rsidR="00000000" w:rsidRPr="00000000">
        <w:rPr>
          <w:sz w:val="20"/>
          <w:szCs w:val="20"/>
          <w:rtl w:val="0"/>
        </w:rPr>
        <w:t xml:space="preserve">) included in Stata 14.2.</w:t>
      </w:r>
      <w:r w:rsidDel="00000000" w:rsidR="00000000" w:rsidRPr="00000000">
        <w:rPr>
          <w:rtl w:val="0"/>
        </w:rPr>
      </w:r>
    </w:p>
  </w:footnote>
  <w:footnote w:id="4">
    <w:p w:rsidR="00000000" w:rsidDel="00000000" w:rsidP="00000000" w:rsidRDefault="00000000" w:rsidRPr="00000000" w14:paraId="000004F3">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pPr>
      <w:bookmarkStart w:colFirst="0" w:colLast="0" w:name="_krz14bkwdhup" w:id="129"/>
      <w:bookmarkEnd w:id="129"/>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 Id="rId11" Type="http://schemas.openxmlformats.org/officeDocument/2006/relationships/image" Target="media/image12.png"/><Relationship Id="rId10" Type="http://schemas.openxmlformats.org/officeDocument/2006/relationships/hyperlink" Target="https://www.codecogs.com/eqnedit.php?latex=P(Y_%7Bijkl%7D)%20%3D%20%5Cgamma_0%20%2B%20%5Cbeta_1Age%20%2B%20%5Cbeta_2Age%5E2%20%2B%20%5Cbeta_3Age%5E3%20%2B%20%5Cbeta_4Woman%20%2B%20%5Cbeta_5College%20%2B%20%5Cbeta_6White%20%2B%20%5Cbeta_7Black%20%2B%20%5Csum_%7Bk%20%3D%202%7D%5E6%5Ctheta_k%20%2B%20v_0j%20%2B%20%5Cepsilon_%7Bijkl%7D" TargetMode="External"/><Relationship Id="rId13" Type="http://schemas.openxmlformats.org/officeDocument/2006/relationships/hyperlink" Target="http://doi.org/10.3886/ICPSR35575.v1" TargetMode="External"/><Relationship Id="rId12" Type="http://schemas.openxmlformats.org/officeDocument/2006/relationships/hyperlink" Target="http://www.festival.si.edu/about-us/mission-and-history/smithsonian" TargetMode="External"/><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Lato-boldItalic.ttf"/><Relationship Id="rId10" Type="http://schemas.openxmlformats.org/officeDocument/2006/relationships/font" Target="fonts/Lato-italic.ttf"/><Relationship Id="rId9" Type="http://schemas.openxmlformats.org/officeDocument/2006/relationships/font" Target="fonts/Lat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Lato-regular.ttf"/></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