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after="0" w:lineRule="auto"/>
        <w:rPr/>
      </w:pPr>
      <w:bookmarkStart w:colFirst="0" w:colLast="0" w:name="_gjdgxs" w:id="0"/>
      <w:bookmarkEnd w:id="0"/>
      <w:r w:rsidDel="00000000" w:rsidR="00000000" w:rsidRPr="00000000">
        <w:rPr>
          <w:rtl w:val="0"/>
        </w:rPr>
        <w:t xml:space="preserve">The Making of an “Omnivorous Generation”</w:t>
      </w:r>
      <w:r w:rsidDel="00000000" w:rsidR="00000000" w:rsidRPr="00000000">
        <w:rPr>
          <w:vertAlign w:val="superscript"/>
          <w:rtl w:val="0"/>
        </w:rPr>
        <w:t xml:space="preserve">*</w:t>
      </w:r>
      <w:r w:rsidDel="00000000" w:rsidR="00000000" w:rsidRPr="00000000">
        <w:rPr>
          <w:rtl w:val="0"/>
        </w:rPr>
      </w:r>
    </w:p>
    <w:p w:rsidR="00000000" w:rsidDel="00000000" w:rsidP="00000000" w:rsidRDefault="00000000" w:rsidRPr="00000000" w14:paraId="00000002">
      <w:pPr>
        <w:pStyle w:val="Subtitle"/>
        <w:pageBreakBefore w:val="0"/>
        <w:spacing w:line="240" w:lineRule="auto"/>
        <w:rPr/>
      </w:pPr>
      <w:bookmarkStart w:colFirst="0" w:colLast="0" w:name="_30j0zll" w:id="1"/>
      <w:bookmarkEnd w:id="1"/>
      <w:r w:rsidDel="00000000" w:rsidR="00000000" w:rsidRPr="00000000">
        <w:rPr>
          <w:rtl w:val="0"/>
        </w:rPr>
        <w:tab/>
      </w:r>
    </w:p>
    <w:p w:rsidR="00000000" w:rsidDel="00000000" w:rsidP="00000000" w:rsidRDefault="00000000" w:rsidRPr="00000000" w14:paraId="00000003">
      <w:pPr>
        <w:pStyle w:val="Subtitle"/>
        <w:pageBreakBefore w:val="0"/>
        <w:spacing w:line="240" w:lineRule="auto"/>
        <w:rPr/>
      </w:pPr>
      <w:bookmarkStart w:colFirst="0" w:colLast="0" w:name="_1fob9te" w:id="2"/>
      <w:bookmarkEnd w:id="2"/>
      <w:r w:rsidDel="00000000" w:rsidR="00000000" w:rsidRPr="00000000">
        <w:rPr>
          <w:rtl w:val="0"/>
        </w:rPr>
      </w:r>
    </w:p>
    <w:p w:rsidR="00000000" w:rsidDel="00000000" w:rsidP="00000000" w:rsidRDefault="00000000" w:rsidRPr="00000000" w14:paraId="00000004">
      <w:pPr>
        <w:pStyle w:val="Subtitle"/>
        <w:pageBreakBefore w:val="0"/>
        <w:spacing w:line="240" w:lineRule="auto"/>
        <w:rPr/>
      </w:pPr>
      <w:r w:rsidDel="00000000" w:rsidR="00000000" w:rsidRPr="00000000">
        <w:rPr>
          <w:rtl w:val="0"/>
        </w:rPr>
        <w:t xml:space="preserve">Jennifer C. Lena</w:t>
      </w:r>
    </w:p>
    <w:p w:rsidR="00000000" w:rsidDel="00000000" w:rsidP="00000000" w:rsidRDefault="00000000" w:rsidRPr="00000000" w14:paraId="00000005">
      <w:pPr>
        <w:pStyle w:val="Subtitle"/>
        <w:pageBreakBefore w:val="0"/>
        <w:spacing w:line="240" w:lineRule="auto"/>
        <w:rPr/>
      </w:pPr>
      <w:r w:rsidDel="00000000" w:rsidR="00000000" w:rsidRPr="00000000">
        <w:rPr>
          <w:i w:val="1"/>
          <w:iCs w:val="1"/>
          <w:rtl w:val="0"/>
        </w:rPr>
        <w:t xml:space="preserve">Columbia University, Teachers College</w:t>
      </w:r>
      <w:r w:rsidDel="00000000" w:rsidR="00000000" w:rsidRPr="00000000">
        <w:rPr>
          <w:rtl w:val="0"/>
        </w:rPr>
      </w:r>
    </w:p>
    <w:p w:rsidR="00000000" w:rsidDel="00000000" w:rsidP="00000000" w:rsidRDefault="00000000" w:rsidRPr="00000000" w14:paraId="00000006">
      <w:pPr>
        <w:pStyle w:val="Subtitle"/>
        <w:pageBreakBefore w:val="0"/>
        <w:spacing w:line="240" w:lineRule="auto"/>
        <w:rPr/>
      </w:pPr>
      <w:r w:rsidDel="00000000" w:rsidR="00000000" w:rsidRPr="00000000">
        <w:rPr>
          <w:rtl w:val="0"/>
        </w:rPr>
      </w:r>
    </w:p>
    <w:p w:rsidR="00000000" w:rsidDel="00000000" w:rsidP="00000000" w:rsidRDefault="00000000" w:rsidRPr="00000000" w14:paraId="00000007">
      <w:pPr>
        <w:pStyle w:val="Subtitle"/>
        <w:pageBreakBefore w:val="0"/>
        <w:spacing w:line="240" w:lineRule="auto"/>
        <w:rPr/>
      </w:pPr>
      <w:r w:rsidDel="00000000" w:rsidR="00000000" w:rsidRPr="00000000">
        <w:rPr>
          <w:rtl w:val="0"/>
        </w:rPr>
        <w:t xml:space="preserve">Omar Lizardo</w:t>
      </w:r>
    </w:p>
    <w:p w:rsidR="00000000" w:rsidDel="00000000" w:rsidP="00000000" w:rsidRDefault="00000000" w:rsidRPr="00000000" w14:paraId="00000008">
      <w:pPr>
        <w:pStyle w:val="Subtitle"/>
        <w:pageBreakBefore w:val="0"/>
        <w:spacing w:line="240" w:lineRule="auto"/>
        <w:rPr/>
      </w:pPr>
      <w:bookmarkStart w:colFirst="0" w:colLast="0" w:name="_3znysh7" w:id="3"/>
      <w:bookmarkEnd w:id="3"/>
      <w:r w:rsidDel="00000000" w:rsidR="00000000" w:rsidRPr="00000000">
        <w:rPr>
          <w:i w:val="1"/>
          <w:iCs w:val="1"/>
          <w:rtl w:val="0"/>
        </w:rPr>
        <w:t xml:space="preserve">University of Notre Dame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Keywords: Omnivorousness, generation, culture, valorization, vernacular, folk, institutions, New Deal, Progressive Era, museums, organizations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Word Count: 12,025 (plus 1,560 in Appendix)</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F">
      <w:pPr>
        <w:pStyle w:val="Subtitle"/>
        <w:pageBreakBefore w:val="0"/>
        <w:spacing w:line="240" w:lineRule="auto"/>
        <w:rPr/>
      </w:pPr>
      <w:bookmarkStart w:colFirst="0" w:colLast="0" w:name="_2et92p0" w:id="4"/>
      <w:bookmarkEnd w:id="4"/>
      <w:r w:rsidDel="00000000" w:rsidR="00000000" w:rsidRPr="00000000">
        <w:rPr>
          <w:rtl w:val="0"/>
        </w:rPr>
      </w:r>
    </w:p>
    <w:p w:rsidR="00000000" w:rsidDel="00000000" w:rsidP="00000000" w:rsidRDefault="00000000" w:rsidRPr="00000000" w14:paraId="00000010">
      <w:pPr>
        <w:pStyle w:val="Subtitle"/>
        <w:pageBreakBefore w:val="0"/>
        <w:spacing w:line="240" w:lineRule="auto"/>
        <w:rPr/>
      </w:pPr>
      <w:bookmarkStart w:colFirst="0" w:colLast="0" w:name="_tyjcwt" w:id="5"/>
      <w:bookmarkEnd w:id="5"/>
      <w:r w:rsidDel="00000000" w:rsidR="00000000" w:rsidRPr="00000000">
        <w:rPr>
          <w:rtl w:val="0"/>
        </w:rPr>
      </w:r>
    </w:p>
    <w:p w:rsidR="00000000" w:rsidDel="00000000" w:rsidP="00000000" w:rsidRDefault="00000000" w:rsidRPr="00000000" w14:paraId="00000011">
      <w:pPr>
        <w:pStyle w:val="Subtitle"/>
        <w:pageBreakBefore w:val="0"/>
        <w:spacing w:line="240" w:lineRule="auto"/>
        <w:rPr/>
      </w:pPr>
      <w:bookmarkStart w:colFirst="0" w:colLast="0" w:name="_3dy6vkm" w:id="6"/>
      <w:bookmarkEnd w:id="6"/>
      <w:r w:rsidDel="00000000" w:rsidR="00000000" w:rsidRPr="00000000">
        <w:rPr>
          <w:rtl w:val="0"/>
        </w:rPr>
      </w:r>
    </w:p>
    <w:p w:rsidR="00000000" w:rsidDel="00000000" w:rsidP="00000000" w:rsidRDefault="00000000" w:rsidRPr="00000000" w14:paraId="00000012">
      <w:pPr>
        <w:pStyle w:val="Subtitle"/>
        <w:pageBreakBefore w:val="0"/>
        <w:spacing w:line="240" w:lineRule="auto"/>
        <w:rPr/>
      </w:pPr>
      <w:bookmarkStart w:colFirst="0" w:colLast="0" w:name="_1t3h5sf"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4">
      <w:pPr>
        <w:pStyle w:val="Subtitle"/>
        <w:pageBreakBefore w:val="0"/>
        <w:spacing w:line="240" w:lineRule="auto"/>
        <w:rPr/>
      </w:pPr>
      <w:bookmarkStart w:colFirst="0" w:colLast="0" w:name="_4d34og8" w:id="8"/>
      <w:bookmarkEnd w:id="8"/>
      <w:r w:rsidDel="00000000" w:rsidR="00000000" w:rsidRPr="00000000">
        <w:rPr>
          <w:rtl w:val="0"/>
        </w:rPr>
      </w:r>
    </w:p>
    <w:p w:rsidR="00000000" w:rsidDel="00000000" w:rsidP="00000000" w:rsidRDefault="00000000" w:rsidRPr="00000000" w14:paraId="00000015">
      <w:pPr>
        <w:pStyle w:val="Subtitle"/>
        <w:pageBreakBefore w:val="0"/>
        <w:spacing w:line="240" w:lineRule="auto"/>
        <w:rPr/>
      </w:pPr>
      <w:bookmarkStart w:colFirst="0" w:colLast="0" w:name="_2s8eyo1" w:id="9"/>
      <w:bookmarkEnd w:id="9"/>
      <w:r w:rsidDel="00000000" w:rsidR="00000000" w:rsidRPr="00000000">
        <w:rPr>
          <w:rtl w:val="0"/>
        </w:rPr>
      </w:r>
    </w:p>
    <w:p w:rsidR="00000000" w:rsidDel="00000000" w:rsidP="00000000" w:rsidRDefault="00000000" w:rsidRPr="00000000" w14:paraId="00000016">
      <w:pPr>
        <w:pStyle w:val="Subtitle"/>
        <w:pageBreakBefore w:val="0"/>
        <w:spacing w:line="240" w:lineRule="auto"/>
        <w:rPr/>
      </w:pPr>
      <w:bookmarkStart w:colFirst="0" w:colLast="0" w:name="_17dp8vu" w:id="10"/>
      <w:bookmarkEnd w:id="10"/>
      <w:r w:rsidDel="00000000" w:rsidR="00000000" w:rsidRPr="00000000">
        <w:rPr>
          <w:rtl w:val="0"/>
        </w:rPr>
      </w:r>
    </w:p>
    <w:p w:rsidR="00000000" w:rsidDel="00000000" w:rsidP="00000000" w:rsidRDefault="00000000" w:rsidRPr="00000000" w14:paraId="00000017">
      <w:pPr>
        <w:pStyle w:val="Subtitle"/>
        <w:pageBreakBefore w:val="0"/>
        <w:spacing w:line="240" w:lineRule="auto"/>
        <w:rPr/>
      </w:pPr>
      <w:bookmarkStart w:colFirst="0" w:colLast="0" w:name="_3rdcrjn" w:id="11"/>
      <w:bookmarkEnd w:id="11"/>
      <w:r w:rsidDel="00000000" w:rsidR="00000000" w:rsidRPr="00000000">
        <w:rPr>
          <w:rtl w:val="0"/>
        </w:rPr>
      </w:r>
    </w:p>
    <w:p w:rsidR="00000000" w:rsidDel="00000000" w:rsidP="00000000" w:rsidRDefault="00000000" w:rsidRPr="00000000" w14:paraId="00000018">
      <w:pPr>
        <w:pStyle w:val="Subtitle"/>
        <w:pageBreakBefore w:val="0"/>
        <w:spacing w:line="240" w:lineRule="auto"/>
        <w:rPr/>
      </w:pPr>
      <w:bookmarkStart w:colFirst="0" w:colLast="0" w:name="_26in1rg" w:id="12"/>
      <w:bookmarkEnd w:id="12"/>
      <w:r w:rsidDel="00000000" w:rsidR="00000000" w:rsidRPr="00000000">
        <w:rPr>
          <w:rtl w:val="0"/>
        </w:rPr>
      </w:r>
    </w:p>
    <w:p w:rsidR="00000000" w:rsidDel="00000000" w:rsidP="00000000" w:rsidRDefault="00000000" w:rsidRPr="00000000" w14:paraId="00000019">
      <w:pPr>
        <w:pStyle w:val="Subtitle"/>
        <w:pageBreakBefore w:val="0"/>
        <w:spacing w:line="240" w:lineRule="auto"/>
        <w:rPr/>
      </w:pPr>
      <w:bookmarkStart w:colFirst="0" w:colLast="0" w:name="_lnxbz9" w:id="13"/>
      <w:bookmarkEnd w:id="13"/>
      <w:r w:rsidDel="00000000" w:rsidR="00000000" w:rsidRPr="00000000">
        <w:rPr>
          <w:sz w:val="24"/>
          <w:szCs w:val="24"/>
          <w:rtl w:val="0"/>
        </w:rPr>
        <w:t xml:space="preserve">*</w:t>
      </w:r>
      <w:r w:rsidDel="00000000" w:rsidR="00000000" w:rsidRPr="00000000">
        <w:rPr>
          <w:sz w:val="20"/>
          <w:szCs w:val="20"/>
          <w:rtl w:val="0"/>
        </w:rPr>
        <w:t xml:space="preserve">Earlier versions of this paper were presented at the 2014 Annual Meetings of the American Sociological Association in San Francisco, and at the 2015 Annual Meetings of the American Sociological Association in Chicago. We would like to thank Peter Bearman, Shamus Khan, Adam Reich, Wendy Griswold, and four anonymous reviewers for helpful comments and suggestions. Direct correspondence to Jennifer Lena, 525 West 120th St. Box 78, NYC, NY 10027, Email: </w:t>
      </w:r>
      <w:hyperlink r:id="rId7">
        <w:r w:rsidDel="00000000" w:rsidR="00000000" w:rsidRPr="00000000">
          <w:rPr>
            <w:color w:val="1155cc"/>
            <w:sz w:val="20"/>
            <w:szCs w:val="20"/>
            <w:u w:val="single"/>
            <w:rtl w:val="0"/>
          </w:rPr>
          <w:t xml:space="preserve">jcl42@columbia.edu</w:t>
        </w:r>
      </w:hyperlink>
      <w:r w:rsidDel="00000000" w:rsidR="00000000" w:rsidRPr="00000000">
        <w:rPr>
          <w:sz w:val="20"/>
          <w:szCs w:val="20"/>
          <w:rtl w:val="0"/>
        </w:rPr>
        <w:t xml:space="preserve"> or Omar Lizardo, 810 Flanner Hall Notre Dame, IN 46556, Email: </w:t>
      </w:r>
      <w:hyperlink r:id="rId8">
        <w:r w:rsidDel="00000000" w:rsidR="00000000" w:rsidRPr="00000000">
          <w:rPr>
            <w:color w:val="1155cc"/>
            <w:sz w:val="20"/>
            <w:szCs w:val="20"/>
            <w:u w:val="single"/>
            <w:rtl w:val="0"/>
          </w:rPr>
          <w:t xml:space="preserve">olizardo@nd.edu</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A">
      <w:pPr>
        <w:pStyle w:val="Subtitle"/>
        <w:pageBreakBefore w:val="0"/>
        <w:rPr/>
      </w:pPr>
      <w:bookmarkStart w:colFirst="0" w:colLast="0" w:name="_35nkun2" w:id="14"/>
      <w:bookmarkEnd w:id="14"/>
      <w:r w:rsidDel="00000000" w:rsidR="00000000" w:rsidRPr="00000000">
        <w:rPr>
          <w:rtl w:val="0"/>
        </w:rPr>
      </w:r>
    </w:p>
    <w:p w:rsidR="00000000" w:rsidDel="00000000" w:rsidP="00000000" w:rsidRDefault="00000000" w:rsidRPr="00000000" w14:paraId="0000001B">
      <w:pPr>
        <w:pStyle w:val="Subtitle"/>
        <w:pageBreakBefore w:val="0"/>
        <w:rPr/>
      </w:pPr>
      <w:bookmarkStart w:colFirst="0" w:colLast="0" w:name="_1ksv4uv" w:id="15"/>
      <w:bookmarkEnd w:id="15"/>
      <w:r w:rsidDel="00000000" w:rsidR="00000000" w:rsidRPr="00000000">
        <w:rPr>
          <w:rtl w:val="0"/>
        </w:rPr>
      </w:r>
    </w:p>
    <w:p w:rsidR="00000000" w:rsidDel="00000000" w:rsidP="00000000" w:rsidRDefault="00000000" w:rsidRPr="00000000" w14:paraId="0000001C">
      <w:pPr>
        <w:pStyle w:val="Subtitle"/>
        <w:pageBreakBefore w:val="0"/>
        <w:rPr/>
      </w:pPr>
      <w:bookmarkStart w:colFirst="0" w:colLast="0" w:name="_44sinio" w:id="16"/>
      <w:bookmarkEnd w:id="16"/>
      <w:r w:rsidDel="00000000" w:rsidR="00000000" w:rsidRPr="00000000">
        <w:rPr>
          <w:rtl w:val="0"/>
        </w:rPr>
      </w:r>
    </w:p>
    <w:p w:rsidR="00000000" w:rsidDel="00000000" w:rsidP="00000000" w:rsidRDefault="00000000" w:rsidRPr="00000000" w14:paraId="0000001D">
      <w:pPr>
        <w:pStyle w:val="Subtitle"/>
        <w:pageBreakBefore w:val="0"/>
        <w:rPr/>
      </w:pPr>
      <w:bookmarkStart w:colFirst="0" w:colLast="0" w:name="_2jxsxqh" w:id="17"/>
      <w:bookmarkEnd w:id="17"/>
      <w:r w:rsidDel="00000000" w:rsidR="00000000" w:rsidRPr="00000000">
        <w:rPr>
          <w:rtl w:val="0"/>
        </w:rPr>
      </w:r>
    </w:p>
    <w:p w:rsidR="00000000" w:rsidDel="00000000" w:rsidP="00000000" w:rsidRDefault="00000000" w:rsidRPr="00000000" w14:paraId="0000001E">
      <w:pPr>
        <w:pStyle w:val="Subtitle"/>
        <w:pageBreakBefore w:val="0"/>
        <w:rPr/>
      </w:pPr>
      <w:bookmarkStart w:colFirst="0" w:colLast="0" w:name="_z337ya" w:id="18"/>
      <w:bookmarkEnd w:id="18"/>
      <w:r w:rsidDel="00000000" w:rsidR="00000000" w:rsidRPr="00000000">
        <w:rPr>
          <w:rtl w:val="0"/>
        </w:rPr>
      </w:r>
    </w:p>
    <w:p w:rsidR="00000000" w:rsidDel="00000000" w:rsidP="00000000" w:rsidRDefault="00000000" w:rsidRPr="00000000" w14:paraId="0000001F">
      <w:pPr>
        <w:pStyle w:val="Subtitle"/>
        <w:pageBreakBefore w:val="0"/>
        <w:rPr/>
      </w:pPr>
      <w:bookmarkStart w:colFirst="0" w:colLast="0" w:name="_3j2qqm3" w:id="19"/>
      <w:bookmarkEnd w:id="19"/>
      <w:r w:rsidDel="00000000" w:rsidR="00000000" w:rsidRPr="00000000">
        <w:rPr>
          <w:rtl w:val="0"/>
        </w:rPr>
        <w:t xml:space="preserve">Abstract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confirming and advancing preliminary research indicating period-specific effects in Americans’ cultural omnivorousness. We use data from the Survey for Public Participation in the Arts to examine arts participation. Our analysis uncovers a distinct “omnivorous generation” born in the post-Progressive Era. Mirroring prior analyses of the features of status-defining tastes which have linked transformations in tastes to those in arts organizations and institutions, we find one powerful potential explanation in the New Deal era art works programs.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historical analysis reveals that institutional entrepreneurship by government arts administrators increased the diversity of art on offer to this generation and promoted its artistic legitimation. We argue that the “historicality” embedded in cohorts is a key driver of contemporaneous patterns of cultural choice, generating durable dispositions toward cultural participation among members of this generation that are still evident today.</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2">
      <w:pPr>
        <w:pStyle w:val="Heading1"/>
        <w:pageBreakBefore w:val="0"/>
        <w:rPr/>
      </w:pPr>
      <w:bookmarkStart w:colFirst="0" w:colLast="0" w:name="_1y810tw" w:id="20"/>
      <w:bookmarkEnd w:id="20"/>
      <w:r w:rsidDel="00000000" w:rsidR="00000000" w:rsidRPr="00000000">
        <w:rPr>
          <w:rtl w:val="0"/>
        </w:rPr>
        <w:t xml:space="preserve">1.0 Introduction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fundamental premise of classic work linking the production and consumption of culture is that historical changes in the institutional organization of artistic production, dissemination, and classification are linked to the “making” of distinct culture consuming publics (Bourdieu 1993; DiMaggio 1982; Levine 1988; Weber 1977). In spite of this foundational emphasis on between-domain linkages, recent work in cultural sociology has been characterized by an increasing segregation of research on production and consumption dynamics. On the production side, we have sophisticated studies of the emergence, consolidation, and transformation of production systems and associated cultural classification regimes for cultural goods (Baumann 2001; Allen and Lincoln 2004; Ferguson 1998; Johnston and Baumann 2007; Lena 2012; Rossman 2012). On the consumption side, attention has centered on putative transformations of elite consumption patterns summarized by the notion of “omnivorousness” (Peterson 2005). This refers to the now well-established propensity on the part of contemporary elites to express a variety of cultural preferences and activities either within a single domain such as music or television (Lizardo and Skiles 2009; García-Álvarez, Katz-Gerro, and López-Sintas 2007) or, as in the analysis that follows, across the arts broadly defined (López-Sintas and Katz-Gerro 2005; DiMaggio and Mukhtar 2004).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the major drawback of production-oriented studies is that they tend to leave implicit the consequences of production-side dynamics for patterns of cultural choice, a key weakness of consumption-oriented studies is that they tend to neglect the generative mechanisms for the genesis and maintenance of cultural tastes (Lizardo and Skiles 2012). As a result, there has been a relative lack of attention to the macro/micro linkage between institutional context and culture consumption patterns. In particular, work on the production of culture, save for some signal exceptions (e.g. Mears 2011; Lena 2012; Ocejo 2014), has lacked systematic examination to how the making of taste publics (Gans 1999) is contingent on processes embedded in configurations of institutional and organizational practices, themselves the product of specific historical trajectories. More specifically, there has been a relative dearth of work empirically examining how differences in patterns of artistic engagement may be reflective of the “historicality” encoded in individuals as a result of their distinct generational experiences (Abbott 2016). From this perspective, the differential distribution of culture consumption propensities at any given time may be the result of “institutional legacy” effects linking contemporaneous differentiation in cultural engagement to historical factors operative at previous point in time (Fishman and Lizardo 2013).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this paper, we synthesize variegated lines of work pointing to linkages between production and consumption domains and institutional legacies embedded in unique cohort experiences (Abbott 2016; Greve and Rao 2014; Fishman and Lizardo 2013). Our argument is that historically durable dispositions towards “omnivorous” forms of arts consumption emerged for persons who experienced significant expansions in the availability, accessibility, and institutional valorization of categories of cultural goods (DiMaggio 2000). We demonstrate that there exists an empirically specifiable generational effect on the breadth of involvement in particular arts activities for specific groups of Americans. This is a contemporary behavioral pattern that can be traced to significant (e.g. “coming of age”) experiences, namely, institutional entrepreneurship within and around arts organizations during the New Deal, itself spurred by then unprecedented levels of public investment in American art. Our analysis thus provides a sustained empirical demonstration of the historically mediated effect of organizational practices and institutional legacies on patterns of cultural choice over time. </w:t>
      </w:r>
    </w:p>
    <w:p w:rsidR="00000000" w:rsidDel="00000000" w:rsidP="00000000" w:rsidRDefault="00000000" w:rsidRPr="00000000" w14:paraId="00000026">
      <w:pPr>
        <w:pStyle w:val="Heading2"/>
        <w:pageBreakBefore w:val="0"/>
        <w:jc w:val="both"/>
        <w:rPr/>
      </w:pPr>
      <w:bookmarkStart w:colFirst="0" w:colLast="0" w:name="_4i7ojhp" w:id="21"/>
      <w:bookmarkEnd w:id="21"/>
      <w:r w:rsidDel="00000000" w:rsidR="00000000" w:rsidRPr="00000000">
        <w:rPr>
          <w:sz w:val="26"/>
          <w:szCs w:val="26"/>
          <w:rtl w:val="0"/>
        </w:rPr>
        <w:t xml:space="preserve">1.1 Cultural Omnivorousness </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American cultural omnivore was introduced in Peterson and Simkus’s (1992) analysis of elites’ musical preferences, although earlier studies suggested it would be found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Lynes 1954; Shils 1958; Wilensky 1964). The initial series of studies predominantly relied upon the SPPA’s data on cultural participation and taste, demonstrating a particular interest in music as a site of taste discrimination. Peterson and Simkus (1992) concluded that only a small minority of college-educated elite Americans remained committed to univorous tastes for “highbrow” culture (e.g., classical music and opera), and a growing majority enjoyed popular musical entertainment. They argued that “highbrow snobbery” had been replaced by “highbrow omnivorousness.”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Studies of cultural omnivorousness now comprise a vast, international, and wide-ranging literature featuring various definitions, conceptualizations, and operationalizations of the construct (for reviews, see Peterson 2005; Ollivier 2008; Robette and Roueff 2014).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What all the definitions have in common is that omnivorousness is meant to capture the breadth of involvement of an individual in a given domain of cultural engagement (e.g., music, television, comedy) or the arts broadly defined.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different approaches to conceptualizing omnivorousness can be sorted along two dimensions: First, there is the distinction between measures of omnivorousness as concerned with taste judgments (e.g. of like or dislike) or more behavioral measures of cultural participation. Second, there is the issue as to whether omnivorousness is best thought of as breadth of engagement within a domain or as boundary crossing (across genres, domains, or hierarchies like “highbrow” and “popular”). As described by Ollivier (2008: 122</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ff</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dimensions define a possible space of conceptualizations of the omnivorousness construct. Rather than arguing about which conceptualization or measurement strategy is best, we follow a more pragmatic route. Our own approach follows López-Sintas and Katz-Gerro (2005) in investigating the phenomenon with respect to a range of activities that have received cultural legitimation and institutional supports as “the arts.” Thus, our conception of omnivorousness is both domain-specific (although allowing for quite a range of variation across forms), and focuses on patterns of consumption behavior.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begin by empirically considering whether Americans’ cultural omnivorousness, centered around patterns of participation in a wide range of cultural forms related to the arts, exhibit cohort-specific effects. This possibility was raised in López-Sintas and Katz-Gerro’s (2005) study of behavioral indicators of the omnivorous disposition, taken from three waves (1982, 1992, 2002) of the Survey of Public Participation in the Arts (SPPA).  López-Sintas and Katz-Gerro (2005) note that, rather than observing an unilinear trend in which less omnivorous cohorts are replaced by more omnivorous ones, the “omnivorousness trend developed unevenly over the 20 years” and is characterized by period-specific effects. This reflects the null relationship between cohort and omnivorousness uncovered by Garcia-Alvarez, Katz-Gerro and López-Sintas (2007: 433). </w:t>
      </w:r>
    </w:p>
    <w:p w:rsidR="00000000" w:rsidDel="00000000" w:rsidP="00000000" w:rsidRDefault="00000000" w:rsidRPr="00000000" w14:paraId="0000002B">
      <w:pPr>
        <w:pStyle w:val="Heading2"/>
        <w:pageBreakBefore w:val="0"/>
        <w:jc w:val="both"/>
        <w:rPr/>
      </w:pPr>
      <w:bookmarkStart w:colFirst="0" w:colLast="0" w:name="_2xcytpi" w:id="22"/>
      <w:bookmarkEnd w:id="22"/>
      <w:r w:rsidDel="00000000" w:rsidR="00000000" w:rsidRPr="00000000">
        <w:rPr>
          <w:sz w:val="26"/>
          <w:szCs w:val="26"/>
          <w:rtl w:val="0"/>
        </w:rPr>
        <w:t xml:space="preserve">1.2 Data and Methods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in previous work (e.g. DiMaggio and Mukhtar 2004; López-Sintas and Katz-Gerro 2005), we rely on the cumulative data file containing six waves of the the Survey of Public Participation in the Arts (SPPA), covering 30 years (1982-2012).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SPPA is sponsored by the Research Division of the National Endowment for the Arts (</w:t>
      </w:r>
      <w:hyperlink r:id="rId9">
        <w:r w:rsidDel="00000000" w:rsidR="00000000" w:rsidRPr="00000000">
          <w:rPr>
            <w:rFonts w:ascii="Garamond" w:cs="Garamond" w:eastAsia="Garamond" w:hAnsi="Garamond"/>
            <w:b w:val="0"/>
            <w:bCs w:val="0"/>
            <w:i w:val="0"/>
            <w:iCs w:val="0"/>
            <w:smallCaps w:val="0"/>
            <w:strike w:val="0"/>
            <w:color w:val="1155cc"/>
            <w:sz w:val="26"/>
            <w:szCs w:val="26"/>
            <w:u w:val="single"/>
            <w:shd w:fill="auto" w:val="clear"/>
            <w:vertAlign w:val="baseline"/>
            <w:rtl w:val="0"/>
          </w:rPr>
          <w:t xml:space="preserve">http://www.nea.gov</w:t>
        </w:r>
      </w:hyperlink>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and is designed to capture Americans' participation in the performing, visual, and literary arts; it constitutes the largest recurring cross-sectional survey of adult arts participation in the U.S.  The 1982, 1985, and 1992 surveys were conducted by the Bureau of the Census as a supplement to the National Crime Survey (NCS). The 1997 survey was conducted by Westat, a private contractor using a different sampling scheme, so it was not included as part of the cumulative data file. The 2002, 2008, and 2012 surveys were conducted by the Bureau of Labor Statistics as a supplement to the Current Population Survey. The SPPA 1982-2008 cumulative file was produced to facilitate trend analysis such as the one that we report here.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SPPA is appropriate for our purpose for several reasons. First, these data have been used to establish a good portion of the research on omnivorousness in the U.S.; in order to advance research in this tradition we utilize the same data source. In keeping with current trends in the field, our operationalization makes use of all the key cultural consumption items in the SPPA, and captures breadth and intensity of engagement. While these eight items reflect only a portion of the cultural activities enjoyed by Americans (of any birth cohort), the SPPA constitutes the largest recurring cross-sectional survey of adults arts participation in the U.S., and is thus the most likely to contain traces of continuity and differentiation in the long historical experience encoded in cohorts, information that is critical to our argument.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These data include genres with stable canons that enjoy generations of fans (classical, ballet, opera) and those which enjoyed recent artistic legitimation efforts (jazz, musicals, craft fairs and festivals). That is these activities can be differentiated by levels of prestige and length of time at which they have been institutionalized as “serious art” (e.g. by being included in university curricula or by drawing revenue outside of commercial establishments): “with classical music, museum art, opera, and ballet at the top, followed by...jazz and musical theatre, and finally art...craft fairs” and finally historical sites “institutionally orthogonal but aimed at a broad audience” (DiMaggio and Mukhtar 2004: 175). The process of artistic legitimation, which takes place when elites use their familiarity with, and training in, artistic classification to appropriate new works into legitimate categories, is one outcome of omnivorousness (Bourdieu 1987, 1993, 1996).</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remain in dialogue with this body of research we did not go in search of data on “Americans’ cultural tastes,” broadly conceived, rather, we required data that captured participation in those cultural forms that benefited from aesthetic legitimation processes in the 20th century. The SPPA is ideal for these purposes. Any discovery of the enabling effect of cohort membership on engagement across these activities would provide strong evidence for generational effects on omnivorousness.</w:t>
      </w:r>
    </w:p>
    <w:p w:rsidR="00000000" w:rsidDel="00000000" w:rsidP="00000000" w:rsidRDefault="00000000" w:rsidRPr="00000000" w14:paraId="00000030">
      <w:pPr>
        <w:pStyle w:val="Heading2"/>
        <w:pageBreakBefore w:val="0"/>
        <w:jc w:val="both"/>
        <w:rPr/>
      </w:pPr>
      <w:bookmarkStart w:colFirst="0" w:colLast="0" w:name="_1ci93xb" w:id="23"/>
      <w:bookmarkEnd w:id="23"/>
      <w:r w:rsidDel="00000000" w:rsidR="00000000" w:rsidRPr="00000000">
        <w:rPr>
          <w:sz w:val="26"/>
          <w:szCs w:val="26"/>
          <w:rtl w:val="0"/>
        </w:rPr>
        <w:t xml:space="preserve">1.3 Generations and Taste Publics</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concept of generations, as classically defined by Mannheim (1952), refers to age cohorts that experience the same major events in their lives and subsequently develop similar dispositions and worldviews (Ryder 1965). Mannheim’s generational thesis has been applied to empirical material mainly in the study of collective memory (e.g. Schuman and Scott 1989), and knowledge of important public events (e.g. Schuman and Corning 2000). We argue that this theoretical lens can be used to identify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culture consumption generations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whose dispositions are shaped by historically located organizational features and institutional processes.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Here we heed recent calls for cultural sociologists to move beyond an emphasis on contemporaneous socio-demographic effects on patterns of cultural choice and towards a more concerted consideration of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temporality</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at both the individual and macrosocial levels. The increasing availability of data on repeated cross-sections of culture consumers has opened up this analytic potential, especially when it comes to the “omnivore thesis”  (Reeves 2015: 116-117; López-Sintas and Katz-Gerro 2005). We see an opportunity to conjoin this line of work with recent calls to consider the “historicality” encoded in groups via their dispositions as a powerful historical force, thereby linking the institutional past with the behavioral present (Abbott 2016: 10; Greve and Rao 2014; Fishman and Lizardo 2013). Investigation of the features of omnivorous cultural consumption may serve as an ideal testbed for this process, as periods of intensive investment in the arts are often accompanied by the legitimation of novel aesthetic objects; persons who came of age during these periods may “carry over” such dispositions to their engagement with art over time.</w:t>
      </w:r>
    </w:p>
    <w:p w:rsidR="00000000" w:rsidDel="00000000" w:rsidP="00000000" w:rsidRDefault="00000000" w:rsidRPr="00000000" w14:paraId="00000033">
      <w:pPr>
        <w:pStyle w:val="Heading2"/>
        <w:pageBreakBefore w:val="0"/>
        <w:jc w:val="both"/>
        <w:rPr/>
      </w:pPr>
      <w:bookmarkStart w:colFirst="0" w:colLast="0" w:name="_3whwml4" w:id="24"/>
      <w:bookmarkEnd w:id="24"/>
      <w:r w:rsidDel="00000000" w:rsidR="00000000" w:rsidRPr="00000000">
        <w:rPr>
          <w:sz w:val="26"/>
          <w:szCs w:val="26"/>
          <w:rtl w:val="0"/>
        </w:rPr>
        <w:t xml:space="preserve">1.4 Outcome: Arts Participation in “Core Activities”</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goal is to ascertain the possible existence of generational (cohort) effects in engagement with the arts; given the existence of these effects, our goal is to identify their pattern. The SPPA tracks arts participation by, among other things, asking respondents about whether they have engaged in a series of activities during the last 12 months. Consistent with previous work (e.g. DiMaggio and Mukhtar 2004; López-Sintas and Katz-Gerro 2005), we focus on the SPPA’s ‘‘core’’ items: questions about attendance at classical music concerts, jazz performances, opera, musical theatre, ballet, visual art exhibits at museums or galleries, arts and craft fairs, and historic sites. Respondents choose either “yes” or “no,” with residual codes for “don’t know” and “refused.”  We analyze the same data source and behavioral indicators of engagement as López-Sintas and Katz-Gerro (2005), but augment the cumulative data set with the two most recent survey waves (2008 and 2012), while relying on a technique explicitly developed to tease out cohort from period and age effects in substantively meaningful ways (Yang and Land 2006, 2008; Reeves 2015). Until recently, scholars lacked both data and means to adjudicate between cohort and generational effects on outcomes like taste omnivorousness, and this article takes advantage of advances in both domains.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Table 1 shows the percentage of respondents who reported having attended each activity for all six survey waves. The table also reports the number of respondents for whom we have non-missing data on each item in each year. We fit logistic regression models to each separately.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[Table 1 About Here]</w:t>
      </w:r>
    </w:p>
    <w:p w:rsidR="00000000" w:rsidDel="00000000" w:rsidP="00000000" w:rsidRDefault="00000000" w:rsidRPr="00000000" w14:paraId="00000038">
      <w:pPr>
        <w:pStyle w:val="Heading2"/>
        <w:pageBreakBefore w:val="0"/>
        <w:jc w:val="both"/>
        <w:rPr/>
      </w:pPr>
      <w:bookmarkStart w:colFirst="0" w:colLast="0" w:name="_2bn6wsx" w:id="25"/>
      <w:bookmarkEnd w:id="25"/>
      <w:r w:rsidDel="00000000" w:rsidR="00000000" w:rsidRPr="00000000">
        <w:rPr>
          <w:sz w:val="26"/>
          <w:szCs w:val="26"/>
          <w:rtl w:val="0"/>
        </w:rPr>
        <w:t xml:space="preserve">1.5 Uncovering Cohort Effects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groupings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of persons defined by a common event and experiences (Ryder 1965).</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Substantively, Yang and Land’s (2006) hierarchical age-period-cohort (HAPC) approach to breaking the linear dependency between age, period, and cohort relies on conceiving of age as an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individual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contextual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within a multilevel modelling framework. The partially overlapping nature of cohort and period memberships implies that, in the context of a repeated cross-sections survey design (such as the cumulative SPPA), time periods are not fully nested within cohorts or vice versa (as in standard multilevel models in which persons are embedded within fully overlapping contexts such as schools and neighborhoods). Rather, one obtains a “cross-classified” structure with individuals nested within cells defined by birth cohorts and time period.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Statistically, this yields the Cross-Classified Random Effects Models (CCREM;  see Yang and Land 2006, 2008 for technical details). The cohort effect thus captures that which is distinctive of each generation and is carried forward via historical encoding; period effects capture purely contemporaneous influences, while age is held constant as an individual level trait. Accordingly, we specify a crossed random-effects model for binary outcomes of the general form: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hyperlink r:id="rId10">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hyperlink>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ab/>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9050" distT="19050" distL="19050" distR="19050">
            <wp:extent cx="3429000" cy="4826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29000" cy="482600"/>
                    </a:xfrm>
                    <a:prstGeom prst="rect"/>
                    <a:ln/>
                  </pic:spPr>
                </pic:pic>
              </a:graphicData>
            </a:graphic>
          </wp:inline>
        </w:drawing>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ab/>
        <w:tab/>
        <w:t xml:space="preserve">(1)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Where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Y</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bscript"/>
          <w:rtl w:val="0"/>
        </w:rPr>
        <w:t xml:space="preserve">ijkl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1 if individual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i</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assigned to cohort group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j</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interviewed at survey wave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k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reports having attended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perscript"/>
          <w:rtl w:val="0"/>
        </w:rPr>
        <w:t xml:space="preserve">th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arts participation activity;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υ</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bscript"/>
          <w:rtl w:val="0"/>
        </w:rPr>
        <w:t xml:space="preserve">0j</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bscript"/>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is the random effect for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jth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cohort group (at 5 year intervals),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υ</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bscript"/>
          <w:rtl w:val="0"/>
        </w:rPr>
        <w:t xml:space="preserve">0k</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is the random effect for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k</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perscript"/>
          <w:rtl w:val="0"/>
        </w:rPr>
        <w:t xml:space="preserve">th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period group (survey year),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age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is the respondent’s age centered at (the grand mean of) 45 years,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age</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perscript"/>
          <w:rtl w:val="0"/>
        </w:rPr>
        <w:t xml:space="preserve">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is the square of the respondent’s age, the betas are fixed regression weights, and X</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bscript"/>
          <w:rtl w:val="0"/>
        </w:rPr>
        <w:t xml:space="preserve">i</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is a vector of individual level covariates. The result of interest in this model will be an estimate of the age-adjusted likelihood of the group level (cohort) effect for each arts participation activity. Positive (negative)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deviations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from the expected baseline (represented by the sign of exp(</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υ</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bscript"/>
          <w:rtl w:val="0"/>
        </w:rPr>
        <w:t xml:space="preserve">0j</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are taken as evidence of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facilitating</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suppressing</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of cohort group membership on arts participation for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activity net of age influences.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3"/>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descriptive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3F">
      <w:pPr>
        <w:pStyle w:val="Heading2"/>
        <w:pageBreakBefore w:val="0"/>
        <w:jc w:val="both"/>
        <w:rPr/>
      </w:pPr>
      <w:bookmarkStart w:colFirst="0" w:colLast="0" w:name="_qsh70q" w:id="26"/>
      <w:bookmarkEnd w:id="26"/>
      <w:r w:rsidDel="00000000" w:rsidR="00000000" w:rsidRPr="00000000">
        <w:rPr>
          <w:sz w:val="26"/>
          <w:szCs w:val="26"/>
          <w:rtl w:val="0"/>
        </w:rPr>
        <w:t xml:space="preserve">1.6 Exploratory Analyses</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Bell and Jones (2014) have argued that HAPC models can sometimes fail to recover true cohort (or period effects). However, as a response drafted by some of the leading demographers in the field (Reither et al 2015) shows, HAPC will recover cohort and period effects in real data when these data are extensive enough to display variation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similar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What is the pattern of variation across the three dimensions? Figure 1 provides a descriptive plot of all age, period, and cohort trends. One thing to look for here is sufficient distinctiveness in the trends across dimensions,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1960. Note that the effect seems to be partially asymmetrical, with the contrast between people born around mid-century being stronger in relation to their older predecessors (pre-depression era cohorts) than their successors (post-1960 cohorts). Figure 2 shows period-specific plots (Reeves 2014) of the cohort trends for all eight core activities. The results show that the seeming omnivorousness of the post-progressive era cohorts (1930-1960) is not a period specific artifact of any one survey wave, but instead it reappears across surveys separated by as much as two decades. Although we can observe evidence of the aging effect in the leftmost panel of figure 1 (downward movement in the y axis with in 2002 and 2012 in relation to 1982), the inverted u-shaped pattern favoring post-progressive era cohorts is robust. </w:t>
      </w:r>
    </w:p>
    <w:p w:rsidR="00000000" w:rsidDel="00000000" w:rsidP="00000000" w:rsidRDefault="00000000" w:rsidRPr="00000000" w14:paraId="00000042">
      <w:pPr>
        <w:pStyle w:val="Heading2"/>
        <w:pageBreakBefore w:val="0"/>
        <w:jc w:val="both"/>
        <w:rPr/>
      </w:pPr>
      <w:bookmarkStart w:colFirst="0" w:colLast="0" w:name="_3as4poj" w:id="27"/>
      <w:bookmarkEnd w:id="27"/>
      <w:r w:rsidDel="00000000" w:rsidR="00000000" w:rsidRPr="00000000">
        <w:rPr>
          <w:sz w:val="26"/>
          <w:szCs w:val="26"/>
          <w:rtl w:val="0"/>
        </w:rPr>
        <w:t xml:space="preserve">1.7 Multivariate Analyses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(1940s, 1950s, 1960s).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models include an ordinal variable indexing highest degree completed, ranging from high school to postgraduate or professional degree. In addition, our HAPC specification also holds constant other individual (and, at the cohort level, compositional) predictors of engagement with the arts: race (DiMaggio and Ostrower 1990 with dummy variables for white, black, asian, and hispanic respondents), gender (Lizardo 2006), and region of residence (with dummy variables for northeast, south, midwest/plains and west coast). Finally, in accord with the pattern of results shown in Figure 1, we specify the fixed effects of age using a parsimonious spline function with a “hinge” at 55 years of age. </w:t>
      </w:r>
    </w:p>
    <w:p w:rsidR="00000000" w:rsidDel="00000000" w:rsidP="00000000" w:rsidRDefault="00000000" w:rsidRPr="00000000" w14:paraId="00000045">
      <w:pPr>
        <w:pageBreakBefore w:val="0"/>
        <w:rPr>
          <w:rFonts w:ascii="Times" w:cs="Times" w:eastAsia="Times" w:hAnsi="Times"/>
          <w:color w:val="000000"/>
          <w:sz w:val="20"/>
          <w:szCs w:val="20"/>
        </w:rPr>
      </w:pPr>
      <w:r w:rsidDel="00000000" w:rsidR="00000000" w:rsidRPr="00000000">
        <w:rPr>
          <w:rtl w:val="0"/>
        </w:rPr>
        <w:t xml:space="preserve">While the HAPC models produce fixed effects estimates of the effects of these covariates on cultural participation (</w:t>
      </w:r>
      <w:r w:rsidDel="00000000" w:rsidR="00000000" w:rsidRPr="00000000">
        <w:rPr>
          <w:rFonts w:ascii="Cambria" w:cs="Cambria" w:eastAsia="Cambria" w:hAnsi="Cambria"/>
          <w:i w:val="1"/>
          <w:iCs w:val="1"/>
          <w:rtl w:val="0"/>
        </w:rPr>
        <w:t xml:space="preserve">𝛽</w:t>
      </w:r>
      <w:r w:rsidDel="00000000" w:rsidR="00000000" w:rsidRPr="00000000">
        <w:rPr>
          <w:i w:val="1"/>
          <w:iCs w:val="1"/>
          <w:sz w:val="16"/>
          <w:szCs w:val="16"/>
          <w:vertAlign w:val="subscript"/>
          <w:rtl w:val="0"/>
        </w:rPr>
        <w:t xml:space="preserve">1</w:t>
      </w:r>
      <w:r w:rsidDel="00000000" w:rsidR="00000000" w:rsidRPr="00000000">
        <w:rPr>
          <w:rtl w:val="0"/>
        </w:rPr>
        <w:t xml:space="preserve">, </w:t>
      </w:r>
      <w:r w:rsidDel="00000000" w:rsidR="00000000" w:rsidRPr="00000000">
        <w:rPr>
          <w:rFonts w:ascii="Cambria" w:cs="Cambria" w:eastAsia="Cambria" w:hAnsi="Cambria"/>
          <w:i w:val="1"/>
          <w:iCs w:val="1"/>
          <w:rtl w:val="0"/>
        </w:rPr>
        <w:t xml:space="preserve">𝛽</w:t>
      </w:r>
      <w:r w:rsidDel="00000000" w:rsidR="00000000" w:rsidRPr="00000000">
        <w:rPr>
          <w:i w:val="1"/>
          <w:iCs w:val="1"/>
          <w:sz w:val="16"/>
          <w:szCs w:val="16"/>
          <w:vertAlign w:val="subscript"/>
          <w:rtl w:val="0"/>
        </w:rPr>
        <w:t xml:space="preserve">m</w:t>
      </w:r>
      <w:r w:rsidDel="00000000" w:rsidR="00000000" w:rsidRPr="00000000">
        <w:rPr>
          <w:i w:val="1"/>
          <w:iCs w:val="1"/>
          <w:vertAlign w:val="subscript"/>
          <w:rtl w:val="0"/>
        </w:rPr>
        <w:t xml:space="preserve"> </w:t>
      </w:r>
      <w:r w:rsidDel="00000000" w:rsidR="00000000" w:rsidRPr="00000000">
        <w:rPr>
          <w:rtl w:val="0"/>
        </w:rPr>
        <w:t xml:space="preserve">in equation 1), of more substantive interest are the random variance component estimates for the cohort (</w:t>
      </w:r>
      <w:r w:rsidDel="00000000" w:rsidR="00000000" w:rsidRPr="00000000">
        <w:rPr>
          <w:rFonts w:ascii="Cambria" w:cs="Cambria" w:eastAsia="Cambria" w:hAnsi="Cambria"/>
          <w:rtl w:val="0"/>
        </w:rPr>
        <w:t xml:space="preserve">𝜐</w:t>
      </w:r>
      <w:r w:rsidDel="00000000" w:rsidR="00000000" w:rsidRPr="00000000">
        <w:rPr>
          <w:vertAlign w:val="subscript"/>
          <w:rtl w:val="0"/>
        </w:rPr>
        <w:t xml:space="preserve">0j</w:t>
      </w:r>
      <w:r w:rsidDel="00000000" w:rsidR="00000000" w:rsidRPr="00000000">
        <w:rPr>
          <w:rtl w:val="0"/>
        </w:rPr>
        <w:t xml:space="preserve">) and period (</w:t>
      </w:r>
      <w:r w:rsidDel="00000000" w:rsidR="00000000" w:rsidRPr="00000000">
        <w:rPr>
          <w:rFonts w:ascii="Cambria" w:cs="Cambria" w:eastAsia="Cambria" w:hAnsi="Cambria"/>
          <w:rtl w:val="0"/>
        </w:rPr>
        <w:t xml:space="preserve">𝜐</w:t>
      </w:r>
      <w:r w:rsidDel="00000000" w:rsidR="00000000" w:rsidRPr="00000000">
        <w:rPr>
          <w:vertAlign w:val="subscript"/>
          <w:rtl w:val="0"/>
        </w:rPr>
        <w:t xml:space="preserve">0k</w:t>
      </w:r>
      <w:r w:rsidDel="00000000" w:rsidR="00000000" w:rsidRPr="00000000">
        <w:rPr>
          <w:rtl w:val="0"/>
        </w:rPr>
        <w:t xml:space="preserve">) group contexts for each outcome. These are shown in Table 2. These estimates give us a sense of whether we can identify cohort and period based on variation in art participation levels, above and beyond the effect of age. As suggested by the previous analysis, we find statistically significant cohort and period-based variance for all outcomes after adjusting for age fixed effects (results remain the same when including a more extensive set of covariates such as age, education, and current region of residence). Comparing the substantive magnitude of cohort and period variance component estimates across participation outcomes, we can see that the cohort effect rivals the period effect in size for all outcomes except Ballet attendance. For four outcomes, Jazz, Classical, Musicals, and Art Museums, the cohort-based variance is substantially larger than the period-based variance; in the case of Art Festivals both are of equal (substantively significant) magnitude.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3 shows the cohort-group deviations from the average for each activity. This quantity can be interpreted as the “boost” (or “suppression”) for cultural participation that the individual gets as a result of their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membership in a cohort group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net of individual characteristics. The direction and magnitude of the cohort effects across different participation rates reveal a clear pattern of generational clustering. Across putatively distinct arts participation practices, we find that, with few exceptions, cohorts born between 1930 and 1950 have higher positive deviations in expected engagement than their earlier born counterparts. Because the distribution of age becomes truncated as we move to more recently born cohorts (or move back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 </w:t>
      </w:r>
    </w:p>
    <w:p w:rsidR="00000000" w:rsidDel="00000000" w:rsidP="00000000" w:rsidRDefault="00000000" w:rsidRPr="00000000" w14:paraId="00000047">
      <w:pPr>
        <w:pStyle w:val="Heading2"/>
        <w:pageBreakBefore w:val="0"/>
        <w:jc w:val="both"/>
        <w:rPr/>
      </w:pPr>
      <w:bookmarkStart w:colFirst="0" w:colLast="0" w:name="_1pxezwc" w:id="28"/>
      <w:bookmarkEnd w:id="28"/>
      <w:r w:rsidDel="00000000" w:rsidR="00000000" w:rsidRPr="00000000">
        <w:rPr>
          <w:sz w:val="26"/>
          <w:szCs w:val="26"/>
          <w:rtl w:val="0"/>
        </w:rPr>
        <w:t xml:space="preserve">1.7 Summary of Survey-Based Analysis of Cohort Effects in Arts Participation</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Results from random-effects Hierarchical Age-Period-Cohort Models (HAPC) point to the existence of a distinct Omnivorous Generation, born in the immediate post-Progressive Era, who are more likely to engage in diverse forms of arts participation. For this group of respondents, the generational effect is facilitative rather than inhibitive, and extends to virtually all of the core arts participation activities. For most activities, the generational effect is bounded roughly between 1930 and 1950. This produces a consistent “reverse U-shaped” cohort effect for all of our outcomes (see Figure 1 for the pattern of cohort deviations and Figure 4 in Appendix 1 for predicted rates of participation).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detailed in the supplementary analyses reported in the Appendix, these results are robust to alternative (fixed effects) specifications of the HAPC modeling strategy (section 1, figure 4); moreover, the cohort boundaries suggested by the HAPC analysis, especially those separating the omnivorous generation from their predecessors (section 2, figure 5), can be corroborated by inspection of simple cohort-by-period graphical plots (Reeves 2015; see, e.g., Voas and Chaves 2016 for an application of this approach to religiosity trends). Finally, there is suggestive evidence that members of this generational cluster are more likely to report more exposure to the arts during their formative years than persons born before 1930 (section 3, figure 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Overall, these results strongly suggest that persons born in the three decades immediately following the Progressive Era are distinctive enough in their pattern of cultural engagement to be considered an “Omnivorous Generation.” As noted above, it is important underscore both the avidity and breadth of cultural engagement of members of this generation. This breadth extends to forms of folk and vernacular culture that were legitimized during the 20th century, including Jazz and--most importantly for the argument that follows--Craft Fairs and Art Festivals. These results lead us to discard interpretations of omnivorousness as a linear cohort trend over time, in favor of a generational specificity argument, confirming recent but preliminary work in the field (Rossman and Peterson 2015; López-Sintas and Katz-Gerro 2005).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pattern of generational clustering is in itself a compelling finding but as a macro-level quantitative pattern it opens up questions that the survey data alone cannot answer (Spillman 2014). What exactly makes the generation born in the immediate post-Progressive Era distinctive from those born just a decade earlier? When research in the mid-1990s discovered patterns of omnivorousness among elites, scholars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inter alia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Peterson and Kern 1996) hypothesized that transformations in artistic classification systems, promoted by cultural entrepreneurs with control over organizations and their institutional practices, must lie behind these changes. Even the emergence of a distinction between high and popular culture in the U.S. has been demonstrably linked to organizational and institutional transformations (DiMaggio 1982). The generational clustering pattern we report above suggests we should find an historically rooted transformation related to artistic classification, dissemination, and production systems (DiMaggio 1987, 2000).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the next section, we explore the possibility that this generational effect can be traced to the expansion and consolidation of elite-led institutional work enacted during the Progressive Era, which consolidated in powerful organizations during the post-war period. We hypothesize that these left their mark in the “encoding” of individual cultural consumption practices, and made this generation distinct from their predecessors.</w:t>
      </w:r>
    </w:p>
    <w:p w:rsidR="00000000" w:rsidDel="00000000" w:rsidP="00000000" w:rsidRDefault="00000000" w:rsidRPr="00000000" w14:paraId="0000004D">
      <w:pPr>
        <w:pStyle w:val="Heading1"/>
        <w:pageBreakBefore w:val="0"/>
        <w:jc w:val="both"/>
        <w:rPr/>
      </w:pPr>
      <w:bookmarkStart w:colFirst="0" w:colLast="0" w:name="_49x2ik5" w:id="29"/>
      <w:bookmarkEnd w:id="29"/>
      <w:r w:rsidDel="00000000" w:rsidR="00000000" w:rsidRPr="00000000">
        <w:rPr>
          <w:rtl w:val="0"/>
        </w:rPr>
        <w:t xml:space="preserve">2.0 Institutional and Organizational Impacts on Tastes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Deep and fruitful investigations of cultural tastes on the one hand, and the production of culture on the other, provide contemporary scholars with the opportunity to build more sophisticated accounts of the links between these two cultural realms. We begin with a simple premise: historical changes in the institutional organization of culture are linked to the creation, maintenance, or dissolution of culture consuming publics. This sensitizes us to look for this type of antecedent to account for the Omnivorous Generation.</w:t>
      </w:r>
    </w:p>
    <w:p w:rsidR="00000000" w:rsidDel="00000000" w:rsidP="00000000" w:rsidRDefault="00000000" w:rsidRPr="00000000" w14:paraId="0000004F">
      <w:pPr>
        <w:pStyle w:val="Heading2"/>
        <w:pageBreakBefore w:val="0"/>
        <w:jc w:val="both"/>
        <w:rPr/>
      </w:pPr>
      <w:bookmarkStart w:colFirst="0" w:colLast="0" w:name="_2p2csry" w:id="30"/>
      <w:bookmarkEnd w:id="30"/>
      <w:r w:rsidDel="00000000" w:rsidR="00000000" w:rsidRPr="00000000">
        <w:rPr>
          <w:sz w:val="26"/>
          <w:szCs w:val="26"/>
          <w:rtl w:val="0"/>
        </w:rPr>
        <w:t xml:space="preserve">2.1 The Emergence of High Culture as an Exemplar Case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an influential article, DiMaggio (1982) attributes the emergence of a distinction between high and popular culture in the U.S. to organizational and institutional transformations that took place in 19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Boston. This is the period when the grand project of defining an institutional field of “fine arts” culture began to be pursued by bourgeois, urban elites. This is also the period in which what Levine (1988: 85-168) has referred to as the “sacralization” of the arts began in full force. These fields come to have an organizational base in universities, museums, galleries and other elite-supported non-profit institutions designed for the production, dissemination, and canonization of cultural products; they play a critical role training both artists and consumers in the newly defined principles of cultural valuation (Conner 2008: 113; DiMaggio 2000).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This research demonstrates an association between organizational factors (the creation and elaboration of the non-profit arts organization) and institutional work (sacralization) accomplished by cultural entrepreneurs (the Boston Brahmins; college educated arts bureaucrats) resulting in the production and perpetuation of a new form of taste (“high culture”). It is this sort of work that is still needed as sociologists explore new forms of cultural expression, and new production arrangements. These include, most importantly for our purposes, the characteristic features of the 20th century’s artistic field: the emergence of omnivorous culture consuming publics and aesthetic legitimation processes leading to the expansion of the artistic canon. Although scholars have proffered some scattered ideas on the link between these two developments, no single analysis has tried to link the behavioral manifestation with its institutional antecedents.</w:t>
      </w:r>
    </w:p>
    <w:p w:rsidR="00000000" w:rsidDel="00000000" w:rsidP="00000000" w:rsidRDefault="00000000" w:rsidRPr="00000000" w14:paraId="00000052">
      <w:pPr>
        <w:pStyle w:val="Heading2"/>
        <w:pageBreakBefore w:val="0"/>
        <w:jc w:val="both"/>
        <w:rPr/>
      </w:pPr>
      <w:bookmarkStart w:colFirst="0" w:colLast="0" w:name="_147n2zr" w:id="31"/>
      <w:bookmarkEnd w:id="31"/>
      <w:r w:rsidDel="00000000" w:rsidR="00000000" w:rsidRPr="00000000">
        <w:rPr>
          <w:sz w:val="26"/>
          <w:szCs w:val="26"/>
          <w:rtl w:val="0"/>
        </w:rPr>
        <w:t xml:space="preserve">2.2 Artistic Valorization and the WPA</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By the turn of the 20th century, the non-profit organizational form provided elite art patrons dominion over definitions of “art,” and they turned their attention toward maintaining the new category’s legitimacy by responding to shifting expectations of the role of art at the national level. Changing political, social, and economic conditions during the interwar period placed pressure on organizations to modify their institutional practices. In particular, arts administrators, dealers, experts, critics, patrons, donors, collectors, artists, and audience members sought to change definitions of “American art” to reflect perceived transformations in the national character: “one of the consequences is that...museums welcome into their halls works that were not considered Art until they were granted entry: African ‘primitive’ works, folk art, comic strips, and even industrial artifacts” (Zolberg 1984: 390). The artistic legitimation of vernacular culture--and what Bourdieu (1965) called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les arts moyennes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--was the locus of intense cultural entrepreneurship in the first half of the twentieth century.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No movement better illustrates the intensity of 20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th</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century vernacular culture legitimation than the federated state and national arts programs during the 1930s and 40s. Under the auspices of the New Deal programs, federal, state, and local government bodies provided subsidies to individual artists and supported new schools of art, visual art and performing arts events. As a direct commissioning agent, government agencies encouraged the production of works that displayed “the American experience” and its “roots in the folk tradition of the people” (Matthews 1975: 334). Administrators of WPA offices encouraged their artists to develop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720" w:right="72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 local vernacular associated with regional and cultural identity…[a] vernacular of authenticity that could plumb native sources of modern art within an academic tradition, the vernacular of folk art, the vernacular of indigenous traditions and ethnography, the vernacular of the everyday, and the vernacular of regional artists, photographers, and filmmakers giving expression to national consciousness during the lean years of the Great Depression (Umbach and Hüppauf 2005: 25).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Broad-based transformations in the expectations of the art-consuming public resulted from these measures, and arts administrators, curators, and artistic directors worked expeditiously to make that culture available. In so doing, they legitimated some vernacular culture, heralding the rise of what some have called a renaissance of “vernacular modernism” (Bacon 2005).</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Artists employed under these works programs at the federal, state, and local levels, produced an enormous variety of art, including paintings, graphics, motion pictures, murals, photographs, posters, sculptures, and plates for the Index of American Design. Still others taught art and art appreciation; mounted exhibitions, tours, and lectures; built frames and dioramas; and sketched maps. Some creative workers even developed color standards and tested paint in cooperation with the Bureau of Standards. Arguably, the most popular program placed commissioned murals into 1,100 post offices (Park and Markowitz 1984).</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State-level support for indigent artists began as early as 1931, but the first Federal, non-relief project for artists, the Public Works of Art project, was initiated in 1933.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5"/>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 more comprehensive work relief program was announced in August, 1935 and was known as the Works Progress Administration (WPA). Under the WPA, the four programs referred to as “Federal Project Number One” provided subsidies for the production of visual art, music, theater, and literature (and later, the historical records survey). The resulting output of creative material from Federal One is nothing short of astonishing: from 1935 to its closure in June 1943, artists created 2,566 murals, 17,744 sculptures, 108,099 paintings, 250,000 prints from 11,285 images, 2 million posters from 35,000 designs, and more than 22,000 design plates (O’Connor 1969: 28-9; Greengard et al 1986: 58-60).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6"/>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As one historian opined: “the resulting output of Americana was overwhelming” (Mathews 1975: 334).</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7"/>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expansion of access to artistic production and presentation provided by state and federal subsidy produced two outcomes that are critical to our argument: first, it diversified both artistic content and personnel; second, new genres were presented as art within benchmark art organizations as objects for aesthetic appreciation, endorsed by legitimate art experts like curators, collectors, and critics.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not all of the arts administrators in charge of disposing of federal and state arts funds embraced the vision of a cultural democracy taken up by Roosevelt, some endorsed this vision and welcomed new content and creators into art genres. Harry Hopkins, appointed in 1933 to direct monies for actors and musicians, was a member of the latter group; he pushed theater directors to depict the deplorable conditions in tenements in the hope that it might encourage a landslide of support for the construction of decent housing for American citizens. Administrators in the Theater Division commissioned adaptations of non-theatrical material like pageants, dance dramas, and living newspapers in order to dramatize the full range of American life. Playwright Percy MacKaye called for a “Drama for Democracy” and theaters that would be a “civic agency” for “the whole people” (N.A. 1936, “Art: Government Inspiration”). Musicologist Charles Seeger was encouraged by the Resettlement Administration to foster the unity of communities by encouraging the use of indigenous musical resources. Seeger had built his career on identifying regional, popular, and folk music and integrating those with academic music into a uniquely American idiomatic expression (Mathews 1975).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arts diversified, arts administrators worked to legitimate particular forms of vernacular culture as art. Artist Yasuo Kuniyoshi has argued that great American culture was created by WPA “artists [who] were encouraged to...search for roots in the folk tradition of the people, documenting the values and behavior of a culture in the throes of self-recognition” (Matthews 1975: 334).</w:t>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WPA music division director Nikolai Sokoloff presented folk music of a dizzying variety: white and black spirituals, Spanish songs from the Southwest, Creole ballads from Louisiana, liturgical music from California missions, and bayou songs from the Mississippi delta (Mathews 1975: 336). In 1936,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Time Magazine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reported that Sokoloff’s payroll included a 22-piece “gypsy orchestra” in Pittsburg, a Hungarian ensemble in Chicago, and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típica</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orchestras in San Antonio and Tucson (N.A. 1936, “Music: Relief Melodies,” 1936). State and federal agencies provided the funding to refurbish and rejuvenate Harlem’s Lafayette Theater, which offered staged Macbeth for over 130,000 audience members (Mathews 1975: 325). Other organizations in ethnic and minority neighborhoods launched or advanced the careers of local artists; the Harlem Art Center presented such shows, including work by now famous painters like Jacob Lawrence.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Operating under the aegis of federal, state, and local governments, some of these works were presented in benchmark arts organizations including the Smithsonian, the National Gallery, the Museum of Modern Art, and the Federal Art Gallery in New York (Greengard et al 1986). The Public Works of Art Project closed with a gigantic exhibition in Washington at which high-ranking government employees were encouraged to take what they liked and to display the art in their offices.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8"/>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President and Mrs. Roosevelt hosted a series of nine concerts of “traditional” musicians at the White House, including one in June 1939 attended by the King and Queen of England, the first reigning British monarchs to visit the U.S. The playbill included the mountain string band the Coon Creek Girls; Marion Anderson, the contralto opera singer; the North Carolina Spiritual Singers; and musicologist Alan Lomax, who performed cowboy songs. Federal One contributed to a transformation in the organization of art in America: curators and preservationists developed new competencies, organizations presented new kinds of work, new markets opened, and audiences acquired new modes of appreciation.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How lasting were these changes? The record keeping for WPA federal and state agencies was uneven and distributed across more than a hundred offices. We do know that some of the art and arts administrators had long careers. The original 22,000 plates from the Index of American Design are still housed at the National Gallery of Art in Washington, DC. The Newark Museum also has a large number of WPA works, including Minna Citron’s painting “Staten Island Ferry.” Yet, many other works produced in the New Deal era were destroyed, abandoned, or forgotten.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somewhat easier to trace the fate of the WPA arts administrators, some of whom went on to helm large and influential organizations and brought with them a desire to diversify the art on offer. To trace just a single, important lineage: Holger Cahill left his position as the Director of the Federal Art Project (FAP, 1935-1943), and became a curator at the Newark Museum and then MoMA, where he served as interim director for a year (1932-1933). In both jobs, he worked to canonize material that drew upon the nation’s folk traditions, a modernist project for which MoMA would become famous. Barr was succeeded at MoMA by René d'Harnoncourt, former Manager of the WPA’s Indian Arts and Crafts Board. An advocate of folk art, d'Harnoncourt was an expert in Mexican, vernacular, and modern American art. During his tenure at MoMA (1949-1968), d’Harnoncourt supervised and curated numerous exhibitions of folk material from the U.S. and elsewhere including displays of American woodcuts (1952), “young American printmakers” (1954), paintings by “amateurs” (1955), graffiti (1956), and film posters (1960). He became a close advisor to Nelson A. Rockefeller, and supported his acquisition of an enormous collection of so-called “primitive art” from Africa, Oceania, and the Americas. Nelson presented this collection as the Museum of Primitive Art in 1957; it housed the nation's most extensive collection of art objects from Africa, Oceania, and the Americas. In the mid-1970s, it was transferred to the Metropolitan Museum of Art (NYC), signaling a shift in the museum’s opinion of these works from anthropological to aesthetic in character, and again, expanding the corpus of what counted as American art (LaGamma et al 2014). Equally significant changes were taking place in the performing arts as cultural capitalists moved benchmark arts organizations toward the goal of presenting American vernacular culture as art.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significance of the aesthetic legitimation of some vernacular culture as art can also be seen in the creation of new organizations, and new regulatory and institutional practices. These include the American Folklife Preservation Act of 1976, the American Folklife Center, the Folk Arts Program at the National Endowment of the Arts, and UNESCO’s 2003 International Convention on the Safeguarding of Intangible Cultural Heritage (Kurin 1989: 18-19). These provide additional evidence of the artistic legitimation process taking place.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Thus, we note historical evidence of significant organizational and institutional changes that take place in the lead birth years of the omnivorous generation, and take root during their enculturation process. As the oldest members of this generation aged into their early adulthood, these transformations matured. College-educated elites among them witnessed the closure of WPA art schools and the slow decline of public murals, but also must have come to expect the presentation of African sculpture and film posters as art—the exception became the norm. We hypothesize that these changes impacted the tastes of Americans born in this era, producing a distinct Omnivorous Generation.</w:t>
      </w:r>
    </w:p>
    <w:p w:rsidR="00000000" w:rsidDel="00000000" w:rsidP="00000000" w:rsidRDefault="00000000" w:rsidRPr="00000000" w14:paraId="00000061">
      <w:pPr>
        <w:pStyle w:val="Heading2"/>
        <w:pageBreakBefore w:val="0"/>
        <w:jc w:val="both"/>
        <w:rPr/>
      </w:pPr>
      <w:bookmarkStart w:colFirst="0" w:colLast="0" w:name="_3o7alnk" w:id="32"/>
      <w:bookmarkEnd w:id="32"/>
      <w:r w:rsidDel="00000000" w:rsidR="00000000" w:rsidRPr="00000000">
        <w:rPr>
          <w:sz w:val="26"/>
          <w:szCs w:val="26"/>
          <w:rtl w:val="0"/>
        </w:rPr>
        <w:t xml:space="preserve">2.3 Supplementary Analysis</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Given our argument, it is instructive to compare generational differences across consumption domains that differ both by (a) levels of differentiation across social strata and (b) the likelihood of being an institutional conduit for the aesthetic legitimation of American vernacular culture. Out of the eight SPPA core participation activities, attendance at Art Museums and Craft Fairs and Art Festivals provide such a substantively motivated contrast (DiMaggio and Mukhtar 2004; López-Sintas and Katz-Gerro 2005). If our argument is on the right track, we should find sharper cohort differentiation patterns setting apart the Omnivorous Generation from other cohorts for Craft Fair and Art Festival attendance, since the latter was a locus of state-led institutional investment and a conduit of aesthetic legitimation practices. In addition, we should find a relative lack of differentiation between persons who have garnered elite markers of status (e.g. a college degree) and those without in the generational effect for Craft Fairs and Art Festivals in comparison to Art Museum attendance.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2 About Here]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3 About Here]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Figures 2 and 3 show the results of cohort-specific participation likelihood estimates obtained from separate random-effects HAPC models estimated for persons without and with a college education (or more) for both participation in Art Festivals/Craft Fairs and Art Museum attendance (respectively). As before, the cohort effect is the deviation in the expected probability of participation in comparison to the cohort- and group-specific (college-educated versus non-college-educated) baseline rate. Since the effects are normalized to each group’s baseline, it is not appropriate to interpret these as absolute effects across groups but only as relative effects. For instance, stronger cohort effects for non-college educated individuals born in a particular cohort do not mean that the non-college educated are more likely to attend than the college educated (the absolute rate of attendance of college educated individuals is higher for all activities in all cohorts). Instead, it means that non-college educated persons born in that group have stronger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deviations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from the overall baseline expectation for the non-college educated than college educated people born during those years have in relation to their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own</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college educated peers. Note, however, that even a proportionally “smaller” effect among the non-college educated may imply larger absolute effects, as the college educated are a comparative minority of the U.S. population, especially in the first half of the twentieth century.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results of this analysis show the Omnivorous Generation effect crosses the education divide, and it illustrates the mediation of this generation’s arts engagement by artistic form and education. First, the generational effect is of a much stronger substantive magnitude for Art Festival/Craft Fair attendance than attendance at Art Museums. Second, there are education-based differences in the cohort effect: it is stronger for college educated persons born between 1930 and 1950. However, the difference within this cohort between those with college educations and those without is larger for Art Museums than it for Art Festivals. Third, we can observe positive cohort effects (in relation to generational peers without a college education) among non-college educated Americans born between 1915 and 1929 when it comes to participation in Art Festivals and Craft Fairs. This suggests that less educated Americans coming of age during the Progressive Era may have benefited from cultural activation mechanisms that did not depend on access to elite cultural capital from higher-education institutions (DiMaggio 2000). This is what we would expect if the WPA programs in fact facilitated the expansion of, and broadened access to, this domain of cultural enjoyment. Art Festivals and Craft Fairs are thus among the group of participatory activities that may have functioned as gateways into other forms of arts participation, like attendance at museums, as shown by the positive cohort effects on this outcome for non-college educated individuals born during the Progressive Era (Figure 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9"/>
      </w:r>
      <w:r w:rsidDel="00000000" w:rsidR="00000000" w:rsidRPr="00000000">
        <w:rPr>
          <w:rtl w:val="0"/>
        </w:rPr>
      </w:r>
    </w:p>
    <w:p w:rsidR="00000000" w:rsidDel="00000000" w:rsidP="00000000" w:rsidRDefault="00000000" w:rsidRPr="00000000" w14:paraId="00000069">
      <w:pPr>
        <w:pStyle w:val="Heading1"/>
        <w:pageBreakBefore w:val="0"/>
        <w:jc w:val="both"/>
        <w:rPr/>
      </w:pPr>
      <w:bookmarkStart w:colFirst="0" w:colLast="0" w:name="_23ckvvd" w:id="33"/>
      <w:bookmarkEnd w:id="33"/>
      <w:r w:rsidDel="00000000" w:rsidR="00000000" w:rsidRPr="00000000">
        <w:rPr>
          <w:rtl w:val="0"/>
        </w:rPr>
        <w:t xml:space="preserve">3.0 Alternative Explanations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Based on an analysis of the cumulative data file covering six waves of the SPPA, our results confirm López-Sintas and Kats-Gerro (2005) and Rossman and Peterson’s (2015) conception of omnivorousness as a generational phenomenon. Prior analyses of the features of status-defining tastes in the United States have linked transformations in tastes to transformations in arts organizations and institutions (DiMaggio 1982; Peterson and Kern 1996). Based on the discovery of an omnivorous generation of Americans born in the post-Progressive Era, we hypothesize that this cohort’s exposure to a novel set of experiences in and around the American arts, as a result of New Deal arts programs and their diversification of the artistic canon, is one likely contributor.</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 changes we link to the New Deal are not taking place in a vacuum, and might have been buttressed by other transformations noted by scholars seeking to explain the rise of omnivorousness. Those include the “emergence of an inclusive national culture, linking local economies, identities, and lifestyles” (Hall 1984); the occlusion of administrative control of the arts from an essentially hereditary, urban elite by a large class of upwardly-mobile college graduates (DiMaggio 2000); the subsequent managerial revolution in the arts (Zolberg 1986; Meyer 1979; DiMaggio 1991, 2000); the expansion of art education, advocacy, and trade union and guild solidarity by artists (McDonald 1969: 345); and the expansion of public, foundation, and corporate support for the arts (Zolberg 1981, 1986; DiMaggio 2000). Some have also pointed toward macro-social transformations including pervasive and powerful media presentations of global culture (Appadurai 1996; Kuipers and de Kloet 2009; Wright, Purhonen and Heikkilä 2013), the exhaustion of the modernist aesthetic as a cultural force and the subsequent hegemony of consumer culture (Wright 2011; Hanquinet, Roose and Savage 2014), and increasing social and geographic mobility (Peterson and Kern 1996; Van Eijck 2001; Daenekindt and Roose 2014; Emmison 2003).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While the current research is not designed to adjudicate between possible explanations for our primary finding of an Omnivorous Generation, we hypothesize that some lines of inquiry are more likely to yield results than others. Any theory that contains generative mechanisms with stable state properties, or which exert increasing influence, like social and geographic mobility, can not explain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effect. That we witness declining arts participation and declining rates of omnivorousness in more recent birth cohorts, suggests that this specie of mechanism is unlikely to be present.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reasonable to expect that the legacy of institutional work enacted during the Progressive Era would carry forward, producing multiple subsequent generations of omnivores. Yet, our results (Table 3) indicate that the cohorts born after the mid-1950s have baseline or slightly below baseline likelihoods of consuming all eight cultural forms. Why do levels of omnivorousness decline in the post-1950s birth cohorts? We have focused our analysis on the main finding of an omnivorous generation, but we can offer some speculation about the conditions that might have produced its apparent decline. These include the gradual decline of organizational resources, the shift of subsidy from artists to audiences, and potential drift of status-defining tastes toward forms of culture that are not captured by these data.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While most additions to the canon remained, and the basic classification schema remained in place, the end of the New Deal heralded the gradual decline of other resources. Art schools closed, murals were over-painted, and comprehensive work relief for artists ended by the war years. Federal subsidies for individual artists were reintroduced by the National Endowment for the Arts (NEA) after it was established by Congress in 1965, but these were competitive grants programs designed to facilitate artistic excellence and innovation. When NEA individual grants were effectively ended in 1994 in the wake of controversies around funding for the so-called “NEA Four,” federal cultural policy shifted to support organizations and to increase audience access and participation (Chartrand and McCaughey 1989).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0"/>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Finally, while it is difficult to compare dollar-to-dollar the impact of WPA-era agencies and the NEA (due to distributed and poor record-keeping in the 1930s and 40s, and the “multiplying effect” of NEA grants which throws off estimates of their “real” value), the government was the primary supporter of the arts in the Progressive Era, but now provides only 10% of financial support for arts organizations, only 2% of which comes from the feds, and only 1% from the NEA (Cowen 2004). In short, the amount and provisioning of resources to support the arts is unique from 1931 to about 1943, and so the constellation of factors that produced the omnivorous generation were only partially (and sometimes only weakly) present for their children. However, there is demonstrable evidence to confirm our argument that there is an association between the rise of omnivorousness and the legitimation of new works and new genres, but not because there is a “meltdown scenario” in which the arts have begun to fail as a signal of cultural capital (DiMaggio and Mukhtar 2004).</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To be sure, some Americans consume both vernacular culture and art. We have argued that this breadth of interest is a condition for initiating the process of artistic legitimation, the outcome of which is the expansion of artistic canons to include new works, and the broadening of definitions of art to include new genres and styles. Is there a young omnivorous generation that our analysis is missing because the art they consume is not queried by the SPPA? Scholars pursuing this result would have to identify organizational and institutional transformations in the post-War arts that led to new patterns in status-granting behavior. They would then identify multiple categories of newly legitimate arts that are independent of those queried on the SPPA. Since the core participation questions we utilize focus on some organizational sites where multiple genres of art are presented (e.g., “art museums”), it may be difficult to identify participation in newly legitimate arts that are not already being tapped by the existing questions. In other cases (e.g., graphic novels), there is scholarly consensus that the field is undergoing artistic legitimation, yet we might reasonably state respondents do not have a place to indicate their participation in this art form on the SPPA. Even when that is the case, such results are unlikely to eliminate the generational effect reported herein, as they are robust to multiple specifications</w:t>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(see Appendix), and mainly bear on the question of whether later generations exist.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Finally, it is important to note that some studies of omnivorousness have relaxed the association of the concept with taste hierarchies, and instead utilize it as a way of thinking of how cultural tastes link individuals to groups, and groups to one another. If you begin from this premise--very different from our own--that contemporary Americans have broad tastes for many kinds of culture, the SPPA will be a frustrating and dull instrument. It provides little information on participation in the many forms of contemporary, popular culture that are most broadly enjoyed (e.g., video games, NASCAR), and categories are so broadly defined as to obscure salient distinctions, especially between generations. For example, the music preference questions ask respondents if they enjoy “rock,” a style of music that has entertained multiple generations of fans who may not enjoy the same style of music in real terms, as some of them are imagining Elvis Presley and others Marilyn Manson. The re-specification of the concept of omnivorousness to refer to “taste groups” has led to profound confusion in the field; we think it’s original use in dialogue with art genres holds the greatest potential for future research.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the literature on omnivorousness has grown, scholars have discovered evidence in multiple other nations, including Netherlands, France, Germany, Spain, Austria, and Australia among others (see Peterson 2015 for a review). Does global evidence of omnivorousness indicate our hypothesized association with organizational and institutional change in the American arts during the post-Progressive Era is a weak explanation? First, it is important to note that none of these studies, to our knowledge, seek to identify generational patterns that may be present. We hope to inspire scholars working with non-U.S. data to investigate the possibility that omnivorousness can function as a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generational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trait, because group-level measurement of the phenomenon is the ideal method to adjudicate these hypotheses.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If such discoveries were made, scholars would have to explain how varied policy structures (and funding models) produced similar distributions of taste (and prestige). In the broadest sense, the factors that gave birth to the Omnivorous Generation (e.g., economic depression, state and educational expansion) were felt around the world. We expect that the capacity and orientation of federal governments to respond to those conditions with cultural policy solutions varied greatly. The timing, scale, and focus of any such investment would impact the likelihood that generational effects would result, and would resemble those we have identified in the U.S. In point of fact, the direct subsidies of the 1930s appear to have produced an Omnivorous Generation in the U.S., while reliance on third-party provision of organizational grants to encourage participation (post-1965) has not. All government support for the arts is not equal, and that logic must guide replication studies abroad.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It is also possible that organizational and institutional transformations abroad could have resulted from isomorphic pressures exerted by changes in the U.S., without having grounding in any domestic work relief program. Whether there are broad cross-national commonalities or synchronicities in the emergence and generational location of omnivorous expression should be left as an empirical question to be answered in each national setting.</w:t>
      </w:r>
    </w:p>
    <w:p w:rsidR="00000000" w:rsidDel="00000000" w:rsidP="00000000" w:rsidRDefault="00000000" w:rsidRPr="00000000" w14:paraId="00000074">
      <w:pPr>
        <w:pStyle w:val="Heading1"/>
        <w:pageBreakBefore w:val="0"/>
        <w:rPr/>
      </w:pPr>
      <w:bookmarkStart w:colFirst="0" w:colLast="0" w:name="_ihv636" w:id="34"/>
      <w:bookmarkEnd w:id="34"/>
      <w:r w:rsidDel="00000000" w:rsidR="00000000" w:rsidRPr="00000000">
        <w:rPr>
          <w:rtl w:val="0"/>
        </w:rPr>
        <w:t xml:space="preserve">4.0 Discussion and Concluding Remarks</w:t>
      </w:r>
    </w:p>
    <w:p w:rsidR="00000000" w:rsidDel="00000000" w:rsidP="00000000" w:rsidRDefault="00000000" w:rsidRPr="00000000" w14:paraId="00000075">
      <w:pPr>
        <w:pStyle w:val="Heading2"/>
        <w:pageBreakBefore w:val="0"/>
        <w:spacing w:before="400" w:lineRule="auto"/>
        <w:rPr/>
      </w:pPr>
      <w:bookmarkStart w:colFirst="0" w:colLast="0" w:name="_32hioqz" w:id="35"/>
      <w:bookmarkEnd w:id="35"/>
      <w:r w:rsidDel="00000000" w:rsidR="00000000" w:rsidRPr="00000000">
        <w:rPr>
          <w:rtl w:val="0"/>
        </w:rPr>
        <w:t xml:space="preserve">4.1 Epochal shifts versus Generations: Consequences for Omnivorousness Research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examined the consequences for cultural consumption of a transformation in the artistic classification system. This allows us to link institutional activity around the category of American art to historically enduring dispositions in the likelihood of different generational clusters to broadly engage the arts. In this way, the current research is of relevance to work on the sources of transformation in cultural taste (DiMaggio and Mukhtar 2004; López-Sintas and Katz-Gerro 2005; Garcia-Alvarez, López-Sintas and Katz-Gerro 2007; Johnston and Baumann 2007; Rossman and Peterson 2015). Our analysis advances the literature in demonstrating the analytic payoff of taking temporality seriously for the purpose of elucidating the mechanisms that generate cultural tastes (Reeves 2015). Unlike our peers, we focus on omnivorousness as a group-level phenomenon, demonstrating how the uptake of cultural goods previously marked as vernacular culture by art publics is conditioned by historically specific processes of institutional change, institution building, and cultural expansion. Our argument addresses a key issue raised by a small but growing chorus of voices clamoring to situate the omnivore taste phenomenon in a more encompassing macro-historical context, one attentive to case-specific historical trajectories (Johnston and Baumann 2007; Fishman and Lizardo 2013; Hanquinet, Roose and Savage 2014; Prieur and Savage 2013; Lizardo 2008; Wright 2011).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We have shown that historically rooted institutional processes constituted a generation distinct in its relative openness to engagement across a wide set of artistic offerings. Our results thus point to the possibility that the accumulation of new tastes can be a group level phenomenon, emerging as a response to the dynamic expansion of the arts to include formerly vernacular or “middlebrow” fare, particularly after the mid-century. Importantly, this implies that speaking of omnivorousness in terms that do not take into account the specific historical conditions under which clusters of individuals come of age has its limitations. Simply put, future research needs to consider the possibility that the current focus on individual-level omnivorousness masks variegated, partially overlapping institutional processes of artistic valorization, whose outcomes ripple through distinct generations of art consumers in historically uneven, temporally “lumpy” ways. Some scholars have begun to test the impact of macro- and meso-structural factors to explain the rise of omnivorousness, to mixed results. Such investigations typically fail to reveal variation in highbrow omnivores, and scholars then discard the explanatory role of contextual factors (e.g. Lambert et al 2005).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analysis does suggest that while attention to institutional, organizational, and state-led projects geared towards the expansion of the aesthetic canon is important, ultimately the “historicality” produced by these factors must ultimately be encoded in individuals to be causally effective (Abbott 2016). In addition, because individuals carry these encodings forward over their lifetime, the effects of institutional transformations go beyond their immediate (contemporaneous) influence. Instead, culture consumption behavior may exhibit consistent heterogeneity that is not fully traceable to current opportunities and constraints (“period effects”) but which instead need to be traced to generational legacy effects (Greve and Rao 2014).  Most research in the field focuses on individual level stratification within generations, traceable to class, gender, or race.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1"/>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We argue that explanations of the existence of a generationally specific forms of avid engagement in the arts are enhanced by understanding major institutional and organizational transformations during the Progressive Era. We may make our explanations of heterogeneity in cultural engagement (in the U.S., abroad, or cross-nationally) more robust by linking structured differences to historical conditions of genesis rather than looking at more temporally proximate factors. This should be a focus of further research on the subject. </w:t>
      </w:r>
    </w:p>
    <w:p w:rsidR="00000000" w:rsidDel="00000000" w:rsidP="00000000" w:rsidRDefault="00000000" w:rsidRPr="00000000" w14:paraId="00000079">
      <w:pPr>
        <w:pStyle w:val="Heading2"/>
        <w:pageBreakBefore w:val="0"/>
        <w:spacing w:before="400" w:lineRule="auto"/>
        <w:rPr/>
      </w:pPr>
      <w:bookmarkStart w:colFirst="0" w:colLast="0" w:name="_1hmsyys" w:id="36"/>
      <w:bookmarkEnd w:id="36"/>
      <w:r w:rsidDel="00000000" w:rsidR="00000000" w:rsidRPr="00000000">
        <w:rPr>
          <w:rtl w:val="0"/>
        </w:rPr>
        <w:t xml:space="preserve">4.2 Contributions to Comparative Cultural Policy Studies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policy implications of both our argument and our findings are potentially quite significant, especially when thinking about the (intended and unintended) consequences of state support for the arts (DiMaggio and Useem 1978; Alexander 1996; Alexander and Rueschemeyer 2005). Our analysis suggests that government subventions to the arts, and institutional work around the aesthetic valorization of folk culture, can produce a generation of omnivores--highly engaged and broadly curious consumers--and a generation or more of creative innovators. The health and vitality of arts sectors thus depends on the existence of robust delivery systems which serve to expose incoming cohorts at the right (e.g. “coming of age”) moment in the life course. Young individuals, especially those outside of elite circles, may depend upon these delivery and exposure systems to engage the arts. The degradation of such systems via disinvestment, defunding, or retraction to class-segregated, privatized venues may result in permanent shocks including entire generations withdrawing from certain forms of cultural engagement. This is consistent with the long-standing claim that artistic producers are better off under high public support systems than market-dominated systems (Alexander and Rueschemeyer 2005).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Additionally, our results support the relatively under-explored thesis that broad, public engagement with the arts (the “demand side” of the equation) is highly dependent on how the arts are institutionally “framed” at the national level and that state action may have a lot do with this framing (Alexander 2008). Cohorts coming of age before the late 1950s were exposed to an environment in which the arts were portrayed as more class-differentiated, the supply of accessible works relatively scarcer, and the moral purpose of arts consumption less likely to be framed as serving “national” (as opposed to elite-centered) interests. It is possible that the consolidation and expansion of the avant-garde art world in the major American urban centers, including New York City, Chicago and San Francisco (Crane 1989), coupled with the subsequent retrenchment in public support for the arts in the Reagan-Thatcher era, may have produced a generational reversal in engagement.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In conclusion, our results are consistent with comparative evidence (e.g. Virtanen 2003; Alexander and Rueschemeyer 2005): where public support for the arts is still relatively generous (e.g. Scandinavian social democracies), engagement with the arts is both more intense and less differentiated by such markers of status such as education. Our analysis suggests that the U.S. enjoyed such a “social democratic” historical moment, leaving a lasting impact on the Omnivorous Generation of art consumers, and facilitating a moment of great institutional change in which the artistic canon expanded our access to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real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American character. </w:t>
      </w:r>
    </w:p>
    <w:p w:rsidR="00000000" w:rsidDel="00000000" w:rsidP="00000000" w:rsidRDefault="00000000" w:rsidRPr="00000000" w14:paraId="0000007D">
      <w:pPr>
        <w:pStyle w:val="Heading1"/>
        <w:pageBreakBefore w:val="0"/>
        <w:rPr/>
      </w:pPr>
      <w:bookmarkStart w:colFirst="0" w:colLast="0" w:name="_41mghml" w:id="37"/>
      <w:bookmarkEnd w:id="37"/>
      <w:r w:rsidDel="00000000" w:rsidR="00000000" w:rsidRPr="00000000">
        <w:rPr>
          <w:rtl w:val="0"/>
        </w:rPr>
        <w:t xml:space="preserve">Appendix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noted above, the age-period-cohort problem is ultimately one of perfect co-linearity between three pieces of information, and there are no assumption-free ways of resolving that co-linearity. The HAPC framework provides one way of tackling the issue while making reasonable, sociological assumptions (e.g. treating cohort and period clusters as overlapping “groups”). However, since we want to draw substantively meaningful empirical conclusions from this analysis, the reader may wonder how sensible such conclusions are to the assumptions embedded in the method. In this section we evaluate the robustness of the results presented earlier by ascertaining whether we can replicate the substantively similar differences between the cohort groups using alternative analytic strategies. </w:t>
      </w:r>
    </w:p>
    <w:p w:rsidR="00000000" w:rsidDel="00000000" w:rsidP="00000000" w:rsidRDefault="00000000" w:rsidRPr="00000000" w14:paraId="0000007F">
      <w:pPr>
        <w:pStyle w:val="Heading1"/>
        <w:pageBreakBefore w:val="0"/>
        <w:rPr/>
      </w:pPr>
      <w:bookmarkStart w:colFirst="0" w:colLast="0" w:name="_2grqrue" w:id="38"/>
      <w:bookmarkEnd w:id="38"/>
      <w:r w:rsidDel="00000000" w:rsidR="00000000" w:rsidRPr="00000000">
        <w:rPr>
          <w:rtl w:val="0"/>
        </w:rPr>
        <w:t xml:space="preserve">1.0 Fixed Effects HAPC Estimator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One way to check the robustness of the results is to examine their resilience when we relax a key assumption of the HAPC strategy: that the cohort and period “group” effects can be parsimoniously modeled as “random effects” (parametric deviations from an average effect assumed to follow a normal distribution with constant variance) rather than being specified directly (e.g. by entering vector dummy variables for each period and cohort group into the regression). As Yang and Land (2008) note, this latter “fixed effects” strategy is perfectly feasible, although they ultimately recommend the random-effects approach on the grounds of parsimony and computational efficiency. However, one possible drawback of the random-effects HAPC model is that certain results (e.g. large positive deviations for the 1930 to 1955 generations) may be produced by over-smoothing underlying non-linear cohort trends. Yang and Land (2008) thus recommend checking results from the two estimation strategies for consistency.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4  About Here]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Estimates of cohort-specific levels of engagement (at 5-year intervals) estimated from the random-effects and fixed-effects estimation approaches are shown in Figure 3. As the figure shows, both estimation strategies reveal a reverse “U” shaped cohort trend peaking between 1930 and 1950 for all eight core SPPA activities. Significantly, this analysis demonstrates that the HAPC approach actually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underestimates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differences between the cohorts born between 1930 and 1950 especially when it comes to the key contrast with their older</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counterparts (successors). This is true for all activities except Jazz and Classical music concerts. This is indicated by the more pronounced “peak” in the fixed-effect, cohort-specific estimates in comparison to the random-effects estimates of culture consumption activity and the much lower fixed-effects predictions for those born before 1930. These differences are more pronounced for Musicals, Art Museums, Art Festivals, and Historic Monuments. As such, it is safe to say that the random-effects HAPC models revealed the presence of an omnivorous generation in spite of the fact that, in this particular application, they turned out to be a more conservative estimation strategy especially in “smoothing” the differences between the omnivorous generation and their immediate predecessors.</w:t>
      </w:r>
    </w:p>
    <w:p w:rsidR="00000000" w:rsidDel="00000000" w:rsidP="00000000" w:rsidRDefault="00000000" w:rsidRPr="00000000" w14:paraId="00000085">
      <w:pPr>
        <w:pStyle w:val="Heading1"/>
        <w:pageBreakBefore w:val="0"/>
        <w:rPr/>
      </w:pPr>
      <w:bookmarkStart w:colFirst="0" w:colLast="0" w:name="_vx1227" w:id="39"/>
      <w:bookmarkEnd w:id="39"/>
      <w:r w:rsidDel="00000000" w:rsidR="00000000" w:rsidRPr="00000000">
        <w:rPr>
          <w:rtl w:val="0"/>
        </w:rPr>
        <w:t xml:space="preserve">2.0 Corroborating Omnivorous Generation Boundaries via the Graphical Method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Another relatively simple (and thus undemanding of these data) strategy is the “graphical” approach for disaggregating period and cohort effects advocated by Reeves (2015) in the context of arts participation data. This is an approach Voas and Chaves (2016) follow when identifying cohort changes in religious participation in the U.S. Here, we use it to validate the criterion validity of the cohort boundaries delimiting the omnivorous generation.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graphical approach consists of the visual inspection of plots with survey year on the x-axis and a given outcome on the y-axis, with separate lines (either theoretically or empirically determined) for cohort clusters. In Figure 5, we examine the probability of participation in the eight core activities for three 25-year cohort clusters: 1900 through 1925, 1930 through 1955 (the “Omnivorous Generation” according to the HAPC models), and 1960 through 1985. Note that no “estimation” is required here as these are descriptive plots, although the cohort cutoffs are derived from the HAPC estimates. The plots should be read as follows: any “horizontal” trends (e.g. upwards, downwards, flat, curvilinear) indicate the (cohort-specific) period effect; any “vertical” differences indicate a cohort effect net of period (e.g. a line standing atop another one indicates a positive effect for the first cohort).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5 About Here]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These results provide strong support for the claim that there is a significant break in culture consumption behavior separating people born before 1930 from those born between 1930 and 1955. Across all eight core activities, members of the latter group display substantially higher levels of engagement (thick, dotted line) than the earlier birth cohort (thin, solid line). In terms of the differences between this cohort and their generational successors (thin, dotted line), the results are more equivocal but still suggestive of strong levels of generational differentiation. Members of the Omnivorous Generation display higher levels of engagement with Classical, Musicals, and Opera than their younger counterparts across all six SPPA surveys. Considering Ballet, Art Festivals (and Craft Fairs), Historical Monuments, and Art Museums, we see generational differentiation favoring members of the 1930 to 1955 generation but only in surveys taken during the 1980s and 1990s, with convergence thereafter. Jazz is the only field for which members of the Omnivorous Generation report comparable levels of engagement with other cohorts. This pattern of results may be indicative of the fact that persons born in the earlier years of the Omnivorous Generation (e.g. 1930 - 1945) may have been more distinctive in their relatively avid culture consumption, and more likely to exit the survey via mortality (after the 1990s), in relation to persons born thereafter.</w:t>
      </w:r>
    </w:p>
    <w:p w:rsidR="00000000" w:rsidDel="00000000" w:rsidP="00000000" w:rsidRDefault="00000000" w:rsidRPr="00000000" w14:paraId="0000008C">
      <w:pPr>
        <w:pStyle w:val="Heading1"/>
        <w:pageBreakBefore w:val="0"/>
        <w:rPr/>
      </w:pPr>
      <w:bookmarkStart w:colFirst="0" w:colLast="0" w:name="_3fwokq0" w:id="40"/>
      <w:bookmarkEnd w:id="40"/>
      <w:r w:rsidDel="00000000" w:rsidR="00000000" w:rsidRPr="00000000">
        <w:rPr>
          <w:rtl w:val="0"/>
        </w:rPr>
        <w:t xml:space="preserve">3.0 Was the Omnivorous Generation More Likely to Have Higher Levels of Early Exposure to the Arts?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Our results have led us to hypothesize that members of the Omnivorous Generation were more likely to be exposed to the arts as a result of state support, institutionalization, elite advocacy, and aesthetic valorization work starting during the Progressive Era. The historical evidence provides strong support for the idea that persons who came age during this period of expansion of the artistic canon and incorporation and sponsorship of American vernacular modernism had the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potential</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to have greater exposure to the arts. Is there direct evidence for this exposure?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1973 Americans and the Arts survey (fielded by the National Research Center of the Arts) contained a series of items in which interviewees were asked about their level of exposure to the arts when they were growing up.</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2"/>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Respondents were selected via a multistage, cluster random sampling design; thus, when weighted, the data are representative of the U.S. population at the time.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3"/>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Respondents were asked: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"When you were growing up how often did you go to [activity] with your family or with friends - often, sometimes, hardly ever, or never?"</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The survey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N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3,005) asked this question for seven activities: 1) plays, 2) art museums, 3) concerts, 4) opera, 5) science or natural history museums, 6) historical sites, 7) ballet/modern dance. Six of these activities (excepting science museums) count as arts participation activities and resemble the core SPPA categories. In the survey, respondent’s age comes pre-coded into eight age-group categories. We calculated the respondent’s birth cohort from this variable by subtracting 1973 from the age group bounds. We address the question of whether cohort differences in early arts exposure exist by specifying an ordered logit model predicting exposure frequency (in the four ordered categories specified in the question wording example above, recoding all “not sure” responses to “never”) from the cohort group variable. In the models, we adjust for gender, educational attainment at the time of the survey, race, and region of residence. We allow for (expected) nonlinear trends in the cohort effect estimates by entering the cohort group term as a linear and a square term. The main set of results, in the form of the sum of expected probabilities of response categories indicating some level of exposure to the arts (e.g. “often” and “sometimes”) for each cohort/age group, are shown in Figure 6. If our combined historical-quantitative argument is on the right track, we should find that persons born between 1930 and 1955 should report greater early exposure to the arts than persons born before them.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[Figure 6  About Here]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As Figure 6 shows, our results provide strong support for the contention that members of the Omnivorous Generation experienced higher odds of having at least some exposure to the arts when they were coming of age than members of the immediately preceding cohorts. Respondents born in the late 1930s, 1940s and the first half of the 1950s report having experienced (substantively and statistically) significantly higher levels of early life exposure to theater, ballet and modern dance, music concerts, art museums, and historical monuments than those born before 1930.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For instance, while somebody born in the 1910s or 1920s had less than a 30% chance of having been exposed to art museums while growing up, people born in the later 1930s to the early 1950s have closer to a 40% chance of the same outcome. Differences are starker with respect to attendance at historical monuments and sites, with those born before 1930 being almost half as likely to have enjoyed these activities while growing up. Only opera demonstrated more equivocal results, but cross-cohort differences can be observed for every other art activity, always favoring the omnivorous generation over their pre-1930 predecessors.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Pr>
        <w:footnoteReference w:customMarkFollows="0" w:id="14"/>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In all, these results provide strong corroborating information for the underlying mechanisms suggested by the historical analysis presented above. </w:t>
      </w:r>
    </w:p>
    <w:p w:rsidR="00000000" w:rsidDel="00000000" w:rsidP="00000000" w:rsidRDefault="00000000" w:rsidRPr="00000000" w14:paraId="00000097">
      <w:pPr>
        <w:pStyle w:val="Heading1"/>
        <w:pageBreakBefore w:val="0"/>
        <w:rPr/>
      </w:pPr>
      <w:bookmarkStart w:colFirst="0" w:colLast="0" w:name="_1v1yuxt" w:id="41"/>
      <w:bookmarkEnd w:id="41"/>
      <w:r w:rsidDel="00000000" w:rsidR="00000000" w:rsidRPr="00000000">
        <w:rPr>
          <w:rtl w:val="0"/>
        </w:rPr>
        <w:t xml:space="preserve">References</w:t>
      </w:r>
    </w:p>
    <w:p w:rsidR="00000000" w:rsidDel="00000000" w:rsidP="00000000" w:rsidRDefault="00000000" w:rsidRPr="00000000" w14:paraId="00000098">
      <w:pPr>
        <w:pStyle w:val="Heading6"/>
        <w:keepNext w:val="0"/>
        <w:keepLines w:val="0"/>
        <w:pageBreakBefore w:val="0"/>
        <w:spacing w:after="0" w:lineRule="auto"/>
        <w:ind w:left="720" w:hanging="720"/>
        <w:jc w:val="both"/>
        <w:rPr/>
      </w:pPr>
      <w:bookmarkStart w:colFirst="0" w:colLast="0" w:name="_4f1mdlm" w:id="42"/>
      <w:bookmarkEnd w:id="42"/>
      <w:r w:rsidDel="00000000" w:rsidR="00000000" w:rsidRPr="00000000">
        <w:rPr>
          <w:rFonts w:ascii="Garamond" w:cs="Garamond" w:eastAsia="Garamond" w:hAnsi="Garamond"/>
          <w:color w:val="000000"/>
          <w:sz w:val="26"/>
          <w:szCs w:val="26"/>
          <w:rtl w:val="0"/>
        </w:rPr>
        <w:t xml:space="preserve">Abbott, Andrew. 2016. “The Historicality of Individuals.” Pp. 3-15 in Processual Sociology. University of Chicago Press.</w:t>
      </w:r>
      <w:r w:rsidDel="00000000" w:rsidR="00000000" w:rsidRPr="00000000">
        <w:rPr>
          <w:rtl w:val="0"/>
        </w:rPr>
      </w:r>
    </w:p>
    <w:p w:rsidR="00000000" w:rsidDel="00000000" w:rsidP="00000000" w:rsidRDefault="00000000" w:rsidRPr="00000000" w14:paraId="00000099">
      <w:pPr>
        <w:pStyle w:val="Heading6"/>
        <w:keepNext w:val="0"/>
        <w:keepLines w:val="0"/>
        <w:pageBreakBefore w:val="0"/>
        <w:spacing w:after="0" w:lineRule="auto"/>
        <w:ind w:left="720" w:hanging="720"/>
        <w:jc w:val="both"/>
        <w:rPr/>
      </w:pPr>
      <w:bookmarkStart w:colFirst="0" w:colLast="0" w:name="_2u6wntf" w:id="43"/>
      <w:bookmarkEnd w:id="43"/>
      <w:r w:rsidDel="00000000" w:rsidR="00000000" w:rsidRPr="00000000">
        <w:rPr>
          <w:rFonts w:ascii="Garamond" w:cs="Garamond" w:eastAsia="Garamond" w:hAnsi="Garamond"/>
          <w:color w:val="000000"/>
          <w:sz w:val="26"/>
          <w:szCs w:val="26"/>
          <w:rtl w:val="0"/>
        </w:rPr>
        <w:t xml:space="preserve">Alexander, Victoria D. 1996. “Pictures at an Exhibition: Conflicting Pressures in Museums and the Display of Art.” American Journal of Sociology. Vol. 101 (4): 797-839.</w:t>
      </w:r>
      <w:r w:rsidDel="00000000" w:rsidR="00000000" w:rsidRPr="00000000">
        <w:rPr>
          <w:rtl w:val="0"/>
        </w:rPr>
      </w:r>
    </w:p>
    <w:p w:rsidR="00000000" w:rsidDel="00000000" w:rsidP="00000000" w:rsidRDefault="00000000" w:rsidRPr="00000000" w14:paraId="0000009A">
      <w:pPr>
        <w:pStyle w:val="Heading6"/>
        <w:keepNext w:val="0"/>
        <w:keepLines w:val="0"/>
        <w:pageBreakBefore w:val="0"/>
        <w:spacing w:after="0" w:lineRule="auto"/>
        <w:ind w:left="720" w:hanging="720"/>
        <w:jc w:val="both"/>
        <w:rPr/>
      </w:pPr>
      <w:bookmarkStart w:colFirst="0" w:colLast="0" w:name="_19c6y18" w:id="44"/>
      <w:bookmarkEnd w:id="44"/>
      <w:r w:rsidDel="00000000" w:rsidR="00000000" w:rsidRPr="00000000">
        <w:rPr>
          <w:rFonts w:ascii="Garamond" w:cs="Garamond" w:eastAsia="Garamond" w:hAnsi="Garamond"/>
          <w:color w:val="000000"/>
          <w:sz w:val="26"/>
          <w:szCs w:val="26"/>
          <w:rtl w:val="0"/>
        </w:rPr>
        <w:t xml:space="preserve">Alexander, Victoria D. 2008. “Cultural organizations and the state: art and state support in contemporary Britain.” Sociology Compass 2(5): 1416-1430.</w:t>
      </w:r>
      <w:r w:rsidDel="00000000" w:rsidR="00000000" w:rsidRPr="00000000">
        <w:rPr>
          <w:rtl w:val="0"/>
        </w:rPr>
      </w:r>
    </w:p>
    <w:p w:rsidR="00000000" w:rsidDel="00000000" w:rsidP="00000000" w:rsidRDefault="00000000" w:rsidRPr="00000000" w14:paraId="0000009B">
      <w:pPr>
        <w:pStyle w:val="Heading6"/>
        <w:keepNext w:val="0"/>
        <w:keepLines w:val="0"/>
        <w:pageBreakBefore w:val="0"/>
        <w:spacing w:after="0" w:lineRule="auto"/>
        <w:ind w:left="720" w:hanging="720"/>
        <w:jc w:val="both"/>
        <w:rPr/>
      </w:pPr>
      <w:bookmarkStart w:colFirst="0" w:colLast="0" w:name="_3tbugp1" w:id="45"/>
      <w:bookmarkEnd w:id="45"/>
      <w:r w:rsidDel="00000000" w:rsidR="00000000" w:rsidRPr="00000000">
        <w:rPr>
          <w:rFonts w:ascii="Garamond" w:cs="Garamond" w:eastAsia="Garamond" w:hAnsi="Garamond"/>
          <w:color w:val="000000"/>
          <w:sz w:val="26"/>
          <w:szCs w:val="26"/>
          <w:rtl w:val="0"/>
        </w:rPr>
        <w:t xml:space="preserve">Alexander, Victoria D. and Marilyn Rueschemeyer 2005. Art and the State: The Visual Arts in Comparative Perspective. London: Palgrave Macmillan.</w:t>
      </w:r>
      <w:r w:rsidDel="00000000" w:rsidR="00000000" w:rsidRPr="00000000">
        <w:rPr>
          <w:rtl w:val="0"/>
        </w:rPr>
      </w:r>
    </w:p>
    <w:p w:rsidR="00000000" w:rsidDel="00000000" w:rsidP="00000000" w:rsidRDefault="00000000" w:rsidRPr="00000000" w14:paraId="0000009C">
      <w:pPr>
        <w:pStyle w:val="Heading6"/>
        <w:keepNext w:val="0"/>
        <w:keepLines w:val="0"/>
        <w:pageBreakBefore w:val="0"/>
        <w:spacing w:after="0" w:lineRule="auto"/>
        <w:ind w:left="720" w:hanging="720"/>
        <w:jc w:val="both"/>
        <w:rPr/>
      </w:pPr>
      <w:bookmarkStart w:colFirst="0" w:colLast="0" w:name="_28h4qwu" w:id="46"/>
      <w:bookmarkEnd w:id="46"/>
      <w:r w:rsidDel="00000000" w:rsidR="00000000" w:rsidRPr="00000000">
        <w:rPr>
          <w:rFonts w:ascii="Garamond" w:cs="Garamond" w:eastAsia="Garamond" w:hAnsi="Garamond"/>
          <w:color w:val="000000"/>
          <w:sz w:val="26"/>
          <w:szCs w:val="26"/>
          <w:rtl w:val="0"/>
        </w:rPr>
        <w:t xml:space="preserve">Allen, Michael Patrick, and Anne E Lincoln. 2004. “Critical Discourse and the Cultural Consecration of American Films.” Social Forces 82: 871-894.</w:t>
      </w:r>
      <w:r w:rsidDel="00000000" w:rsidR="00000000" w:rsidRPr="00000000">
        <w:rPr>
          <w:rtl w:val="0"/>
        </w:rPr>
      </w:r>
    </w:p>
    <w:p w:rsidR="00000000" w:rsidDel="00000000" w:rsidP="00000000" w:rsidRDefault="00000000" w:rsidRPr="00000000" w14:paraId="0000009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Appadurai, Arjun. 1996. Modernity at Large: Cultural Dimensions of Globalization. University of Minnesota Press.</w:t>
      </w:r>
      <w:r w:rsidDel="00000000" w:rsidR="00000000" w:rsidRPr="00000000">
        <w:rPr>
          <w:rtl w:val="0"/>
        </w:rPr>
      </w:r>
    </w:p>
    <w:p w:rsidR="00000000" w:rsidDel="00000000" w:rsidP="00000000" w:rsidRDefault="00000000" w:rsidRPr="00000000" w14:paraId="0000009E">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Bacon, Mardges. 2005. “Modernism and the Vernacular at the Museum of Modern Art, New York.” Pp. 25-52 in Vernacular Modernism: Heimat, Globalization, and the Built Environment, Umbach, Maiken and Bernd Hüppauf (eds.). Stanford: Stanford UP. </w:t>
      </w:r>
      <w:r w:rsidDel="00000000" w:rsidR="00000000" w:rsidRPr="00000000">
        <w:rPr>
          <w:rtl w:val="0"/>
        </w:rPr>
      </w:r>
    </w:p>
    <w:p w:rsidR="00000000" w:rsidDel="00000000" w:rsidP="00000000" w:rsidRDefault="00000000" w:rsidRPr="00000000" w14:paraId="0000009F">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Baumann, Shyon. 2001. “Intellectualization and Art World Development: Film in the United States.” American Sociological Review. Vol. 66: 404-426.</w:t>
      </w:r>
      <w:r w:rsidDel="00000000" w:rsidR="00000000" w:rsidRPr="00000000">
        <w:rPr>
          <w:rtl w:val="0"/>
        </w:rPr>
      </w:r>
    </w:p>
    <w:p w:rsidR="00000000" w:rsidDel="00000000" w:rsidP="00000000" w:rsidRDefault="00000000" w:rsidRPr="00000000" w14:paraId="000000A0">
      <w:pPr>
        <w:pStyle w:val="Heading6"/>
        <w:keepNext w:val="0"/>
        <w:keepLines w:val="0"/>
        <w:pageBreakBefore w:val="0"/>
        <w:spacing w:after="0" w:lineRule="auto"/>
        <w:ind w:left="720" w:hanging="720"/>
        <w:jc w:val="both"/>
        <w:rPr/>
      </w:pPr>
      <w:bookmarkStart w:colFirst="0" w:colLast="0" w:name="_nmf14n" w:id="47"/>
      <w:bookmarkEnd w:id="47"/>
      <w:r w:rsidDel="00000000" w:rsidR="00000000" w:rsidRPr="00000000">
        <w:rPr>
          <w:rFonts w:ascii="Garamond" w:cs="Garamond" w:eastAsia="Garamond" w:hAnsi="Garamond"/>
          <w:color w:val="000000"/>
          <w:sz w:val="26"/>
          <w:szCs w:val="26"/>
          <w:rtl w:val="0"/>
        </w:rPr>
        <w:t xml:space="preserve">Biddle, George. 1939. An American Artist’s Story. Boston: Little, Brown &amp; Co. </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Bourdieu, Pierre. 1965.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Un Art Moyen: Essai sur les Usages Sociaux de la Photographie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Paris: Editions de Minuit.</w:t>
      </w:r>
    </w:p>
    <w:p w:rsidR="00000000" w:rsidDel="00000000" w:rsidP="00000000" w:rsidRDefault="00000000" w:rsidRPr="00000000" w14:paraId="000000A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1987. Distinction: A Social Critique of the Judgement of Taste. Cambridge: Harvard UP.</w:t>
      </w:r>
      <w:r w:rsidDel="00000000" w:rsidR="00000000" w:rsidRPr="00000000">
        <w:rPr>
          <w:rtl w:val="0"/>
        </w:rPr>
      </w:r>
    </w:p>
    <w:p w:rsidR="00000000" w:rsidDel="00000000" w:rsidP="00000000" w:rsidRDefault="00000000" w:rsidRPr="00000000" w14:paraId="000000A3">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1993. The Field of Cultural Production. New York: Columbia University Press. </w:t>
      </w:r>
      <w:r w:rsidDel="00000000" w:rsidR="00000000" w:rsidRPr="00000000">
        <w:rPr>
          <w:rtl w:val="0"/>
        </w:rPr>
      </w:r>
    </w:p>
    <w:p w:rsidR="00000000" w:rsidDel="00000000" w:rsidP="00000000" w:rsidRDefault="00000000" w:rsidRPr="00000000" w14:paraId="000000A4">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Bourdieu, Pierre. 1996. The Rules of Art: Genesis and Structure of the Literary Field. Cambridge, UK: Polity Press.</w:t>
      </w:r>
      <w:r w:rsidDel="00000000" w:rsidR="00000000" w:rsidRPr="00000000">
        <w:rPr>
          <w:rtl w:val="0"/>
        </w:rPr>
      </w:r>
    </w:p>
    <w:p w:rsidR="00000000" w:rsidDel="00000000" w:rsidP="00000000" w:rsidRDefault="00000000" w:rsidRPr="00000000" w14:paraId="000000A5">
      <w:pPr>
        <w:pStyle w:val="Heading6"/>
        <w:keepNext w:val="0"/>
        <w:keepLines w:val="0"/>
        <w:pageBreakBefore w:val="0"/>
        <w:spacing w:after="0" w:lineRule="auto"/>
        <w:ind w:left="720" w:hanging="720"/>
        <w:jc w:val="both"/>
        <w:rPr/>
      </w:pPr>
      <w:bookmarkStart w:colFirst="0" w:colLast="0" w:name="_37m2jsg" w:id="48"/>
      <w:bookmarkEnd w:id="48"/>
      <w:r w:rsidDel="00000000" w:rsidR="00000000" w:rsidRPr="00000000">
        <w:rPr>
          <w:rFonts w:ascii="Garamond" w:cs="Garamond" w:eastAsia="Garamond" w:hAnsi="Garamond"/>
          <w:color w:val="000000"/>
          <w:sz w:val="26"/>
          <w:szCs w:val="26"/>
          <w:rtl w:val="0"/>
        </w:rPr>
        <w:t xml:space="preserve">Chartrand, H. and C. McCaughey. 1989. “The Arm’s Length Principle and The Arts: An International Perspective--Past, Present, and Future.” In M. Cummings and M. Schuster Eds., Who’s To Pay for the Arts? An International Search for Models of Support. New York: ACA Books.</w:t>
      </w:r>
      <w:r w:rsidDel="00000000" w:rsidR="00000000" w:rsidRPr="00000000">
        <w:rPr>
          <w:rtl w:val="0"/>
        </w:rPr>
      </w:r>
    </w:p>
    <w:p w:rsidR="00000000" w:rsidDel="00000000" w:rsidP="00000000" w:rsidRDefault="00000000" w:rsidRPr="00000000" w14:paraId="000000A6">
      <w:pPr>
        <w:pStyle w:val="Heading6"/>
        <w:keepNext w:val="0"/>
        <w:keepLines w:val="0"/>
        <w:pageBreakBefore w:val="0"/>
        <w:spacing w:after="0" w:lineRule="auto"/>
        <w:ind w:left="720" w:hanging="720"/>
        <w:jc w:val="both"/>
        <w:rPr/>
      </w:pPr>
      <w:bookmarkStart w:colFirst="0" w:colLast="0" w:name="_1mrcu09" w:id="49"/>
      <w:bookmarkEnd w:id="49"/>
      <w:r w:rsidDel="00000000" w:rsidR="00000000" w:rsidRPr="00000000">
        <w:rPr>
          <w:rFonts w:ascii="Garamond" w:cs="Garamond" w:eastAsia="Garamond" w:hAnsi="Garamond"/>
          <w:color w:val="000000"/>
          <w:sz w:val="26"/>
          <w:szCs w:val="26"/>
          <w:rtl w:val="0"/>
        </w:rPr>
        <w:t xml:space="preserve">Clemens, Elisabeth S, and James M Cook. 1999. “Politics and institutionalism: Explaining durability and change.” Annual Review of Sociology 25: 441-466.</w:t>
      </w:r>
      <w:r w:rsidDel="00000000" w:rsidR="00000000" w:rsidRPr="00000000">
        <w:rPr>
          <w:rtl w:val="0"/>
        </w:rPr>
      </w:r>
    </w:p>
    <w:p w:rsidR="00000000" w:rsidDel="00000000" w:rsidP="00000000" w:rsidRDefault="00000000" w:rsidRPr="00000000" w14:paraId="000000A7">
      <w:pPr>
        <w:pStyle w:val="Heading6"/>
        <w:keepNext w:val="0"/>
        <w:keepLines w:val="0"/>
        <w:pageBreakBefore w:val="0"/>
        <w:spacing w:after="0" w:lineRule="auto"/>
        <w:ind w:left="720" w:hanging="720"/>
        <w:jc w:val="both"/>
        <w:rPr/>
      </w:pPr>
      <w:bookmarkStart w:colFirst="0" w:colLast="0" w:name="_46r0co2" w:id="50"/>
      <w:bookmarkEnd w:id="50"/>
      <w:r w:rsidDel="00000000" w:rsidR="00000000" w:rsidRPr="00000000">
        <w:rPr>
          <w:rFonts w:ascii="Garamond" w:cs="Garamond" w:eastAsia="Garamond" w:hAnsi="Garamond"/>
          <w:color w:val="000000"/>
          <w:sz w:val="26"/>
          <w:szCs w:val="26"/>
          <w:rtl w:val="0"/>
        </w:rPr>
        <w:t xml:space="preserve">Conner, Lynne. 2008 “In and Out of the Dark: A Theory about Audience Behavior from Sophocles to Spoken Word.” Pp. 103-124 in Engaging Art: The Next Great Transformation of America’s Cultural Life, edited by S. J. Tepper and B. Ivey. New York: Routledge.</w:t>
      </w:r>
      <w:r w:rsidDel="00000000" w:rsidR="00000000" w:rsidRPr="00000000">
        <w:rPr>
          <w:rtl w:val="0"/>
        </w:rPr>
      </w:r>
    </w:p>
    <w:p w:rsidR="00000000" w:rsidDel="00000000" w:rsidP="00000000" w:rsidRDefault="00000000" w:rsidRPr="00000000" w14:paraId="000000A8">
      <w:pPr>
        <w:pStyle w:val="Heading6"/>
        <w:keepNext w:val="0"/>
        <w:keepLines w:val="0"/>
        <w:pageBreakBefore w:val="0"/>
        <w:spacing w:after="0" w:lineRule="auto"/>
        <w:ind w:left="720" w:hanging="720"/>
        <w:jc w:val="both"/>
        <w:rPr/>
      </w:pPr>
      <w:bookmarkStart w:colFirst="0" w:colLast="0" w:name="_2lwamvv" w:id="51"/>
      <w:bookmarkEnd w:id="51"/>
      <w:r w:rsidDel="00000000" w:rsidR="00000000" w:rsidRPr="00000000">
        <w:rPr>
          <w:rFonts w:ascii="Garamond" w:cs="Garamond" w:eastAsia="Garamond" w:hAnsi="Garamond"/>
          <w:color w:val="000000"/>
          <w:sz w:val="26"/>
          <w:szCs w:val="26"/>
          <w:rtl w:val="0"/>
        </w:rPr>
        <w:t xml:space="preserve">Cowen, Tyler. 2004. “How the United States Funds the Arts.” Washington D.C.: National Endowment for the Arts, Office of Research and Analysis.</w:t>
      </w:r>
      <w:r w:rsidDel="00000000" w:rsidR="00000000" w:rsidRPr="00000000">
        <w:rPr>
          <w:rtl w:val="0"/>
        </w:rPr>
      </w:r>
    </w:p>
    <w:p w:rsidR="00000000" w:rsidDel="00000000" w:rsidP="00000000" w:rsidRDefault="00000000" w:rsidRPr="00000000" w14:paraId="000000A9">
      <w:pPr>
        <w:pStyle w:val="Heading6"/>
        <w:keepNext w:val="0"/>
        <w:keepLines w:val="0"/>
        <w:pageBreakBefore w:val="0"/>
        <w:spacing w:after="0" w:lineRule="auto"/>
        <w:ind w:left="720" w:hanging="720"/>
        <w:jc w:val="both"/>
        <w:rPr/>
      </w:pPr>
      <w:bookmarkStart w:colFirst="0" w:colLast="0" w:name="_111kx3o" w:id="52"/>
      <w:bookmarkEnd w:id="52"/>
      <w:r w:rsidDel="00000000" w:rsidR="00000000" w:rsidRPr="00000000">
        <w:rPr>
          <w:rFonts w:ascii="Garamond" w:cs="Garamond" w:eastAsia="Garamond" w:hAnsi="Garamond"/>
          <w:color w:val="000000"/>
          <w:sz w:val="26"/>
          <w:szCs w:val="26"/>
          <w:rtl w:val="0"/>
        </w:rPr>
        <w:t xml:space="preserve">Crane, Diana. 1989. The Transformation of the Avant-Garde: The New York Art World, 1940-1985. Chicago: University of Chicago Press.</w:t>
      </w:r>
      <w:r w:rsidDel="00000000" w:rsidR="00000000" w:rsidRPr="00000000">
        <w:rPr>
          <w:rtl w:val="0"/>
        </w:rPr>
      </w:r>
    </w:p>
    <w:p w:rsidR="00000000" w:rsidDel="00000000" w:rsidP="00000000" w:rsidRDefault="00000000" w:rsidRPr="00000000" w14:paraId="000000AA">
      <w:pPr>
        <w:pStyle w:val="Heading6"/>
        <w:keepNext w:val="0"/>
        <w:keepLines w:val="0"/>
        <w:pageBreakBefore w:val="0"/>
        <w:spacing w:after="0" w:lineRule="auto"/>
        <w:ind w:left="720" w:hanging="720"/>
        <w:jc w:val="both"/>
        <w:rPr/>
      </w:pPr>
      <w:bookmarkStart w:colFirst="0" w:colLast="0" w:name="_3l18frh" w:id="53"/>
      <w:bookmarkEnd w:id="53"/>
      <w:r w:rsidDel="00000000" w:rsidR="00000000" w:rsidRPr="00000000">
        <w:rPr>
          <w:rFonts w:ascii="Garamond" w:cs="Garamond" w:eastAsia="Garamond" w:hAnsi="Garamond"/>
          <w:color w:val="000000"/>
          <w:sz w:val="26"/>
          <w:szCs w:val="26"/>
          <w:rtl w:val="0"/>
        </w:rPr>
        <w:t xml:space="preserve">Daenekindt, Stijn and Henk Roose. 2014. “Social Mobility and Cultural Dissonance.” Poetics 42: 82-97.</w:t>
      </w:r>
      <w:r w:rsidDel="00000000" w:rsidR="00000000" w:rsidRPr="00000000">
        <w:rPr>
          <w:rtl w:val="0"/>
        </w:rPr>
      </w:r>
    </w:p>
    <w:p w:rsidR="00000000" w:rsidDel="00000000" w:rsidP="00000000" w:rsidRDefault="00000000" w:rsidRPr="00000000" w14:paraId="000000AB">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DiMaggio, Paul. 1982. “Cultural Entrepreneurship in 19th Century Boston.”  I &amp; II, Media Culture and Society.  4: 33-50, 303-322.</w:t>
      </w:r>
      <w:r w:rsidDel="00000000" w:rsidR="00000000" w:rsidRPr="00000000">
        <w:rPr>
          <w:rtl w:val="0"/>
        </w:rPr>
      </w:r>
    </w:p>
    <w:p w:rsidR="00000000" w:rsidDel="00000000" w:rsidP="00000000" w:rsidRDefault="00000000" w:rsidRPr="00000000" w14:paraId="000000AC">
      <w:pPr>
        <w:pStyle w:val="Heading6"/>
        <w:keepNext w:val="0"/>
        <w:keepLines w:val="0"/>
        <w:pageBreakBefore w:val="0"/>
        <w:spacing w:after="0" w:lineRule="auto"/>
        <w:ind w:left="720" w:hanging="720"/>
        <w:jc w:val="both"/>
        <w:rPr/>
      </w:pPr>
      <w:bookmarkStart w:colFirst="0" w:colLast="0" w:name="_206ipza" w:id="54"/>
      <w:bookmarkEnd w:id="54"/>
      <w:r w:rsidDel="00000000" w:rsidR="00000000" w:rsidRPr="00000000">
        <w:rPr>
          <w:rFonts w:ascii="Garamond" w:cs="Garamond" w:eastAsia="Garamond" w:hAnsi="Garamond"/>
          <w:color w:val="000000"/>
          <w:sz w:val="26"/>
          <w:szCs w:val="26"/>
          <w:rtl w:val="0"/>
        </w:rPr>
        <w:t xml:space="preserve">DiMaggio, Paul. 1987. “Classification in Art.” American Sociological Review. 52: 440-55. </w:t>
      </w:r>
      <w:r w:rsidDel="00000000" w:rsidR="00000000" w:rsidRPr="00000000">
        <w:rPr>
          <w:rtl w:val="0"/>
        </w:rPr>
      </w:r>
    </w:p>
    <w:p w:rsidR="00000000" w:rsidDel="00000000" w:rsidP="00000000" w:rsidRDefault="00000000" w:rsidRPr="00000000" w14:paraId="000000AD">
      <w:pPr>
        <w:pStyle w:val="Heading6"/>
        <w:keepNext w:val="0"/>
        <w:keepLines w:val="0"/>
        <w:pageBreakBefore w:val="0"/>
        <w:spacing w:after="0" w:lineRule="auto"/>
        <w:ind w:left="720" w:hanging="720"/>
        <w:jc w:val="both"/>
        <w:rPr/>
      </w:pPr>
      <w:bookmarkStart w:colFirst="0" w:colLast="0" w:name="_4k668n3" w:id="55"/>
      <w:bookmarkEnd w:id="55"/>
      <w:r w:rsidDel="00000000" w:rsidR="00000000" w:rsidRPr="00000000">
        <w:rPr>
          <w:rFonts w:ascii="Garamond" w:cs="Garamond" w:eastAsia="Garamond" w:hAnsi="Garamond"/>
          <w:color w:val="000000"/>
          <w:sz w:val="26"/>
          <w:szCs w:val="26"/>
          <w:rtl w:val="0"/>
        </w:rPr>
        <w:t xml:space="preserve">DiMaggio, Paul. 1991. Constructing an Organizational Field as a Professional Project: U.s. Art Museums, 1920-1940. Pp. 267-292 in Walter W. Powell and Paul J. DiMaggio (eds.), The New Institutionalism in Organizational Analysis. Chicago, IL: University of Chicago Press.</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2000. “Social Structure, Institutions, and Cultural Goods: The Case of the United States.” Pp. 38-62 in Gigi Bradford, Michael Gary, and Glenn Wallach (eds.),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The Politics of Culture: Policy Perspectives for Individuals, Institutions, and Communities. </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New York, NY: The New Press.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DiMaggio, Paul, and Michael Useem. 1978. “Cultural Democracy in a Period of Cultural Expansion: The Social Composition of Arts Audiences in the United States.”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Social Problems</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26: 179-197.</w:t>
      </w:r>
    </w:p>
    <w:p w:rsidR="00000000" w:rsidDel="00000000" w:rsidP="00000000" w:rsidRDefault="00000000" w:rsidRPr="00000000" w14:paraId="000000B0">
      <w:pPr>
        <w:pStyle w:val="Heading6"/>
        <w:keepNext w:val="0"/>
        <w:keepLines w:val="0"/>
        <w:pageBreakBefore w:val="0"/>
        <w:spacing w:after="0" w:lineRule="auto"/>
        <w:ind w:left="720" w:hanging="720"/>
        <w:jc w:val="both"/>
        <w:rPr/>
      </w:pPr>
      <w:bookmarkStart w:colFirst="0" w:colLast="0" w:name="_2zbgiuw" w:id="56"/>
      <w:bookmarkEnd w:id="56"/>
      <w:r w:rsidDel="00000000" w:rsidR="00000000" w:rsidRPr="00000000">
        <w:rPr>
          <w:rFonts w:ascii="Garamond" w:cs="Garamond" w:eastAsia="Garamond" w:hAnsi="Garamond"/>
          <w:color w:val="000000"/>
          <w:sz w:val="26"/>
          <w:szCs w:val="26"/>
          <w:rtl w:val="0"/>
        </w:rPr>
        <w:t xml:space="preserve">DiMaggio, Paul and Toqir Mukhtar. 2004. “Arts Participation as Cultural Capital in the United States, 1982-2002: Signs of Decline?”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32: 169-194.</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Emmison, Michael.  2003. “Social Class and Social Mobility: Reconfiguring the Cultural Omnivore Thesis.”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Journal of Sociology</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39: 211-230.</w:t>
      </w:r>
    </w:p>
    <w:p w:rsidR="00000000" w:rsidDel="00000000" w:rsidP="00000000" w:rsidRDefault="00000000" w:rsidRPr="00000000" w14:paraId="000000B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Federal Works Agency. 1947. Final report on the WPA program, 1935-43.  U.S. Government Printing Office. Washington, D.C. United States. </w:t>
      </w:r>
      <w:r w:rsidDel="00000000" w:rsidR="00000000" w:rsidRPr="00000000">
        <w:rPr>
          <w:rtl w:val="0"/>
        </w:rPr>
      </w:r>
    </w:p>
    <w:p w:rsidR="00000000" w:rsidDel="00000000" w:rsidP="00000000" w:rsidRDefault="00000000" w:rsidRPr="00000000" w14:paraId="000000B3">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Ferguson, Priscilla. 1998. “A Cultural Field in the Making: Gastronomy in 19</w:t>
      </w:r>
      <w:r w:rsidDel="00000000" w:rsidR="00000000" w:rsidRPr="00000000">
        <w:rPr>
          <w:rFonts w:ascii="Garamond" w:cs="Garamond" w:eastAsia="Garamond" w:hAnsi="Garamond"/>
          <w:color w:val="000000"/>
          <w:sz w:val="26"/>
          <w:szCs w:val="26"/>
          <w:vertAlign w:val="superscript"/>
          <w:rtl w:val="0"/>
        </w:rPr>
        <w:t xml:space="preserve">th</w:t>
      </w:r>
      <w:r w:rsidDel="00000000" w:rsidR="00000000" w:rsidRPr="00000000">
        <w:rPr>
          <w:rFonts w:ascii="Garamond" w:cs="Garamond" w:eastAsia="Garamond" w:hAnsi="Garamond"/>
          <w:color w:val="000000"/>
          <w:sz w:val="26"/>
          <w:szCs w:val="26"/>
          <w:rtl w:val="0"/>
        </w:rPr>
        <w:t xml:space="preserve">-Century France.” American Journal of Sociology. Vol. 104: 597-641.</w:t>
      </w:r>
      <w:r w:rsidDel="00000000" w:rsidR="00000000" w:rsidRPr="00000000">
        <w:rPr>
          <w:rtl w:val="0"/>
        </w:rPr>
      </w:r>
    </w:p>
    <w:p w:rsidR="00000000" w:rsidDel="00000000" w:rsidP="00000000" w:rsidRDefault="00000000" w:rsidRPr="00000000" w14:paraId="000000B4">
      <w:pPr>
        <w:pStyle w:val="Heading6"/>
        <w:keepNext w:val="0"/>
        <w:keepLines w:val="0"/>
        <w:pageBreakBefore w:val="0"/>
        <w:spacing w:after="0" w:lineRule="auto"/>
        <w:ind w:left="720" w:hanging="720"/>
        <w:jc w:val="both"/>
        <w:rPr/>
      </w:pPr>
      <w:bookmarkStart w:colFirst="0" w:colLast="0" w:name="_1egqt2p" w:id="57"/>
      <w:bookmarkEnd w:id="57"/>
      <w:r w:rsidDel="00000000" w:rsidR="00000000" w:rsidRPr="00000000">
        <w:rPr>
          <w:rFonts w:ascii="Garamond" w:cs="Garamond" w:eastAsia="Garamond" w:hAnsi="Garamond"/>
          <w:color w:val="000000"/>
          <w:sz w:val="26"/>
          <w:szCs w:val="26"/>
          <w:rtl w:val="0"/>
        </w:rPr>
        <w:t xml:space="preserve">Fishman, Robert M, and Omar Lizardo. 2013. “How Macro-Historical Change Shapes Cultural Taste Legacies of Democratization in Spain and Portugal.”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78: 213-239.</w:t>
      </w:r>
      <w:r w:rsidDel="00000000" w:rsidR="00000000" w:rsidRPr="00000000">
        <w:rPr>
          <w:rtl w:val="0"/>
        </w:rPr>
      </w:r>
    </w:p>
    <w:p w:rsidR="00000000" w:rsidDel="00000000" w:rsidP="00000000" w:rsidRDefault="00000000" w:rsidRPr="00000000" w14:paraId="000000B5">
      <w:pPr>
        <w:pStyle w:val="Heading6"/>
        <w:keepNext w:val="0"/>
        <w:keepLines w:val="0"/>
        <w:pageBreakBefore w:val="0"/>
        <w:spacing w:after="0" w:lineRule="auto"/>
        <w:ind w:left="720" w:hanging="720"/>
        <w:jc w:val="both"/>
        <w:rPr/>
      </w:pPr>
      <w:bookmarkStart w:colFirst="0" w:colLast="0" w:name="_3ygebqi" w:id="58"/>
      <w:bookmarkEnd w:id="58"/>
      <w:r w:rsidDel="00000000" w:rsidR="00000000" w:rsidRPr="00000000">
        <w:rPr>
          <w:rFonts w:ascii="Garamond" w:cs="Garamond" w:eastAsia="Garamond" w:hAnsi="Garamond"/>
          <w:color w:val="000000"/>
          <w:sz w:val="26"/>
          <w:szCs w:val="26"/>
          <w:rtl w:val="0"/>
        </w:rPr>
        <w:t xml:space="preserve">Foushee, Ola Maie. 1972.  </w:t>
      </w:r>
      <w:r w:rsidDel="00000000" w:rsidR="00000000" w:rsidRPr="00000000">
        <w:rPr>
          <w:rFonts w:ascii="Garamond" w:cs="Garamond" w:eastAsia="Garamond" w:hAnsi="Garamond"/>
          <w:i w:val="1"/>
          <w:iCs w:val="1"/>
          <w:color w:val="000000"/>
          <w:sz w:val="26"/>
          <w:szCs w:val="26"/>
          <w:rtl w:val="0"/>
        </w:rPr>
        <w:t xml:space="preserve">Art in North Carolina: Episodes and Development, 1585-1970</w:t>
      </w:r>
      <w:r w:rsidDel="00000000" w:rsidR="00000000" w:rsidRPr="00000000">
        <w:rPr>
          <w:rFonts w:ascii="Garamond" w:cs="Garamond" w:eastAsia="Garamond" w:hAnsi="Garamond"/>
          <w:color w:val="000000"/>
          <w:sz w:val="26"/>
          <w:szCs w:val="26"/>
          <w:rtl w:val="0"/>
        </w:rPr>
        <w:t xml:space="preserve">. Charlotte, NC.</w:t>
      </w:r>
      <w:r w:rsidDel="00000000" w:rsidR="00000000" w:rsidRPr="00000000">
        <w:rPr>
          <w:rtl w:val="0"/>
        </w:rPr>
      </w:r>
    </w:p>
    <w:p w:rsidR="00000000" w:rsidDel="00000000" w:rsidP="00000000" w:rsidRDefault="00000000" w:rsidRPr="00000000" w14:paraId="000000B6">
      <w:pPr>
        <w:pStyle w:val="Heading6"/>
        <w:keepNext w:val="0"/>
        <w:keepLines w:val="0"/>
        <w:pageBreakBefore w:val="0"/>
        <w:spacing w:after="0" w:lineRule="auto"/>
        <w:ind w:left="720" w:hanging="720"/>
        <w:jc w:val="both"/>
        <w:rPr/>
      </w:pPr>
      <w:bookmarkStart w:colFirst="0" w:colLast="0" w:name="_2dlolyb" w:id="59"/>
      <w:bookmarkEnd w:id="59"/>
      <w:r w:rsidDel="00000000" w:rsidR="00000000" w:rsidRPr="00000000">
        <w:rPr>
          <w:rFonts w:ascii="Garamond" w:cs="Garamond" w:eastAsia="Garamond" w:hAnsi="Garamond"/>
          <w:color w:val="000000"/>
          <w:sz w:val="26"/>
          <w:szCs w:val="26"/>
          <w:rtl w:val="0"/>
        </w:rPr>
        <w:t xml:space="preserve">Gans, Herbert J. 1999. Popular Culture and High Culture: An Analysis and Evaluation of Taste. New York: Basic Books.</w:t>
      </w:r>
      <w:r w:rsidDel="00000000" w:rsidR="00000000" w:rsidRPr="00000000">
        <w:rPr>
          <w:rtl w:val="0"/>
        </w:rPr>
      </w:r>
    </w:p>
    <w:p w:rsidR="00000000" w:rsidDel="00000000" w:rsidP="00000000" w:rsidRDefault="00000000" w:rsidRPr="00000000" w14:paraId="000000B7">
      <w:pPr>
        <w:pStyle w:val="Heading6"/>
        <w:keepNext w:val="0"/>
        <w:keepLines w:val="0"/>
        <w:pageBreakBefore w:val="0"/>
        <w:spacing w:after="0" w:lineRule="auto"/>
        <w:ind w:left="720" w:hanging="720"/>
        <w:jc w:val="both"/>
        <w:rPr/>
      </w:pPr>
      <w:bookmarkStart w:colFirst="0" w:colLast="0" w:name="_sqyw64" w:id="60"/>
      <w:bookmarkEnd w:id="60"/>
      <w:r w:rsidDel="00000000" w:rsidR="00000000" w:rsidRPr="00000000">
        <w:rPr>
          <w:rFonts w:ascii="Garamond" w:cs="Garamond" w:eastAsia="Garamond" w:hAnsi="Garamond"/>
          <w:color w:val="000000"/>
          <w:sz w:val="26"/>
          <w:szCs w:val="26"/>
          <w:rtl w:val="0"/>
        </w:rPr>
        <w:t xml:space="preserve">García-Álvarez, Ercilia, Tally Katz-Gerro, and Jordi López-Sintas. 2007. “Deconstructing Cultural Omnivorousness 1982–2002: Heterology in Americans’ Musical Preferences.” </w:t>
      </w:r>
      <w:r w:rsidDel="00000000" w:rsidR="00000000" w:rsidRPr="00000000">
        <w:rPr>
          <w:rFonts w:ascii="Garamond" w:cs="Garamond" w:eastAsia="Garamond" w:hAnsi="Garamond"/>
          <w:i w:val="1"/>
          <w:iCs w:val="1"/>
          <w:color w:val="000000"/>
          <w:sz w:val="26"/>
          <w:szCs w:val="26"/>
          <w:rtl w:val="0"/>
        </w:rPr>
        <w:t xml:space="preserve">Social Forces </w:t>
      </w:r>
      <w:r w:rsidDel="00000000" w:rsidR="00000000" w:rsidRPr="00000000">
        <w:rPr>
          <w:rFonts w:ascii="Garamond" w:cs="Garamond" w:eastAsia="Garamond" w:hAnsi="Garamond"/>
          <w:color w:val="000000"/>
          <w:sz w:val="26"/>
          <w:szCs w:val="26"/>
          <w:rtl w:val="0"/>
        </w:rPr>
        <w:t xml:space="preserve">86: 417-443.</w:t>
      </w:r>
      <w:r w:rsidDel="00000000" w:rsidR="00000000" w:rsidRPr="00000000">
        <w:rPr>
          <w:rtl w:val="0"/>
        </w:rPr>
      </w:r>
    </w:p>
    <w:p w:rsidR="00000000" w:rsidDel="00000000" w:rsidP="00000000" w:rsidRDefault="00000000" w:rsidRPr="00000000" w14:paraId="000000B8">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Greengard, Stephen N., Ellen Sragow, Gustave von Groschwitz, Jerry Roth, Riva Helfond, Harold Lehman, Minna Citron, and Harry Gottlieb. 1986. “Ten Crucial Years: The Development of United States Government Sponsored Artists Programs 1933-1943: A Panel Discussion by Six WPA Artists. </w:t>
      </w:r>
      <w:r w:rsidDel="00000000" w:rsidR="00000000" w:rsidRPr="00000000">
        <w:rPr>
          <w:rFonts w:ascii="Garamond" w:cs="Garamond" w:eastAsia="Garamond" w:hAnsi="Garamond"/>
          <w:i w:val="1"/>
          <w:iCs w:val="1"/>
          <w:color w:val="000000"/>
          <w:sz w:val="26"/>
          <w:szCs w:val="26"/>
          <w:rtl w:val="0"/>
        </w:rPr>
        <w:t xml:space="preserve">The Journal of Decorative and Propaganda Arts</w:t>
      </w:r>
      <w:r w:rsidDel="00000000" w:rsidR="00000000" w:rsidRPr="00000000">
        <w:rPr>
          <w:rFonts w:ascii="Garamond" w:cs="Garamond" w:eastAsia="Garamond" w:hAnsi="Garamond"/>
          <w:color w:val="000000"/>
          <w:sz w:val="26"/>
          <w:szCs w:val="26"/>
          <w:rtl w:val="0"/>
        </w:rPr>
        <w:t xml:space="preserve">. Vol. 1: 40-61.</w:t>
      </w:r>
      <w:r w:rsidDel="00000000" w:rsidR="00000000" w:rsidRPr="00000000">
        <w:rPr>
          <w:rtl w:val="0"/>
        </w:rPr>
      </w:r>
    </w:p>
    <w:p w:rsidR="00000000" w:rsidDel="00000000" w:rsidP="00000000" w:rsidRDefault="00000000" w:rsidRPr="00000000" w14:paraId="000000B9">
      <w:pPr>
        <w:pStyle w:val="Heading6"/>
        <w:keepNext w:val="0"/>
        <w:keepLines w:val="0"/>
        <w:pageBreakBefore w:val="0"/>
        <w:spacing w:after="0" w:lineRule="auto"/>
        <w:ind w:left="720" w:hanging="720"/>
        <w:jc w:val="both"/>
        <w:rPr/>
      </w:pPr>
      <w:bookmarkStart w:colFirst="0" w:colLast="0" w:name="_3cqmetx" w:id="61"/>
      <w:bookmarkEnd w:id="61"/>
      <w:r w:rsidDel="00000000" w:rsidR="00000000" w:rsidRPr="00000000">
        <w:rPr>
          <w:rFonts w:ascii="Garamond" w:cs="Garamond" w:eastAsia="Garamond" w:hAnsi="Garamond"/>
          <w:color w:val="000000"/>
          <w:sz w:val="26"/>
          <w:szCs w:val="26"/>
          <w:rtl w:val="0"/>
        </w:rPr>
        <w:t xml:space="preserve">Greve, Henrich R and Hayagreeva Rao. 2014. “History and the present: Institutional legacies in communities of organizations.” </w:t>
      </w:r>
      <w:r w:rsidDel="00000000" w:rsidR="00000000" w:rsidRPr="00000000">
        <w:rPr>
          <w:rFonts w:ascii="Garamond" w:cs="Garamond" w:eastAsia="Garamond" w:hAnsi="Garamond"/>
          <w:i w:val="1"/>
          <w:iCs w:val="1"/>
          <w:color w:val="000000"/>
          <w:sz w:val="26"/>
          <w:szCs w:val="26"/>
          <w:rtl w:val="0"/>
        </w:rPr>
        <w:t xml:space="preserve">Research in Organizational Behavior</w:t>
      </w:r>
      <w:r w:rsidDel="00000000" w:rsidR="00000000" w:rsidRPr="00000000">
        <w:rPr>
          <w:rFonts w:ascii="Garamond" w:cs="Garamond" w:eastAsia="Garamond" w:hAnsi="Garamond"/>
          <w:color w:val="000000"/>
          <w:sz w:val="26"/>
          <w:szCs w:val="26"/>
          <w:rtl w:val="0"/>
        </w:rPr>
        <w:t xml:space="preserve"> 34: 27-41.</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Griswold, Wendy. 2016. </w:t>
      </w:r>
      <w:r w:rsidDel="00000000" w:rsidR="00000000" w:rsidRPr="00000000">
        <w:rPr>
          <w:rFonts w:ascii="Garamond" w:cs="Garamond" w:eastAsia="Garamond" w:hAnsi="Garamond"/>
          <w:b w:val="0"/>
          <w:bCs w:val="0"/>
          <w:i w:val="1"/>
          <w:iCs w:val="1"/>
          <w:smallCaps w:val="0"/>
          <w:strike w:val="0"/>
          <w:color w:val="000000"/>
          <w:sz w:val="26"/>
          <w:szCs w:val="26"/>
          <w:u w:val="none"/>
          <w:shd w:fill="auto" w:val="clear"/>
          <w:vertAlign w:val="baseline"/>
          <w:rtl w:val="0"/>
        </w:rPr>
        <w:t xml:space="preserve">American Guides: The Federal Writers’ Project and the Casting of American Culture.</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Chicago: University of Chicago Press. </w:t>
      </w:r>
    </w:p>
    <w:p w:rsidR="00000000" w:rsidDel="00000000" w:rsidP="00000000" w:rsidRDefault="00000000" w:rsidRPr="00000000" w14:paraId="000000BB">
      <w:pPr>
        <w:pStyle w:val="Heading6"/>
        <w:keepNext w:val="0"/>
        <w:keepLines w:val="0"/>
        <w:pageBreakBefore w:val="0"/>
        <w:spacing w:after="0" w:lineRule="auto"/>
        <w:ind w:left="720" w:hanging="720"/>
        <w:jc w:val="both"/>
        <w:rPr/>
      </w:pPr>
      <w:bookmarkStart w:colFirst="0" w:colLast="0" w:name="_1rvwp1q" w:id="62"/>
      <w:bookmarkEnd w:id="62"/>
      <w:r w:rsidDel="00000000" w:rsidR="00000000" w:rsidRPr="00000000">
        <w:rPr>
          <w:rFonts w:ascii="Garamond" w:cs="Garamond" w:eastAsia="Garamond" w:hAnsi="Garamond"/>
          <w:color w:val="000000"/>
          <w:sz w:val="26"/>
          <w:szCs w:val="26"/>
          <w:rtl w:val="0"/>
        </w:rPr>
        <w:t xml:space="preserve">Hall, Peter D. 1984. The Organization of American Culture. New York: New York University Press.</w:t>
      </w:r>
      <w:r w:rsidDel="00000000" w:rsidR="00000000" w:rsidRPr="00000000">
        <w:rPr>
          <w:rtl w:val="0"/>
        </w:rPr>
      </w:r>
    </w:p>
    <w:p w:rsidR="00000000" w:rsidDel="00000000" w:rsidP="00000000" w:rsidRDefault="00000000" w:rsidRPr="00000000" w14:paraId="000000BC">
      <w:pPr>
        <w:pStyle w:val="Heading6"/>
        <w:keepNext w:val="0"/>
        <w:keepLines w:val="0"/>
        <w:pageBreakBefore w:val="0"/>
        <w:spacing w:after="0" w:lineRule="auto"/>
        <w:ind w:left="720" w:hanging="720"/>
        <w:jc w:val="both"/>
        <w:rPr/>
      </w:pPr>
      <w:bookmarkStart w:colFirst="0" w:colLast="0" w:name="_4bvk7pj" w:id="63"/>
      <w:bookmarkEnd w:id="63"/>
      <w:r w:rsidDel="00000000" w:rsidR="00000000" w:rsidRPr="00000000">
        <w:rPr>
          <w:rFonts w:ascii="Garamond" w:cs="Garamond" w:eastAsia="Garamond" w:hAnsi="Garamond"/>
          <w:color w:val="000000"/>
          <w:sz w:val="26"/>
          <w:szCs w:val="26"/>
          <w:rtl w:val="0"/>
        </w:rPr>
        <w:t xml:space="preserve">Hanquinet, Laurie, Henk Roose, and Mike Savage. 2014. “The eyes of the beholder: Aesthetic preferences and the remaking of cultural capital.” </w:t>
      </w:r>
      <w:r w:rsidDel="00000000" w:rsidR="00000000" w:rsidRPr="00000000">
        <w:rPr>
          <w:rFonts w:ascii="Garamond" w:cs="Garamond" w:eastAsia="Garamond" w:hAnsi="Garamond"/>
          <w:i w:val="1"/>
          <w:iCs w:val="1"/>
          <w:color w:val="000000"/>
          <w:sz w:val="26"/>
          <w:szCs w:val="26"/>
          <w:rtl w:val="0"/>
        </w:rPr>
        <w:t xml:space="preserve">Sociology</w:t>
      </w:r>
      <w:r w:rsidDel="00000000" w:rsidR="00000000" w:rsidRPr="00000000">
        <w:rPr>
          <w:rFonts w:ascii="Garamond" w:cs="Garamond" w:eastAsia="Garamond" w:hAnsi="Garamond"/>
          <w:color w:val="000000"/>
          <w:sz w:val="26"/>
          <w:szCs w:val="26"/>
          <w:rtl w:val="0"/>
        </w:rPr>
        <w:t xml:space="preserve"> 48: 111-132.</w:t>
      </w:r>
      <w:r w:rsidDel="00000000" w:rsidR="00000000" w:rsidRPr="00000000">
        <w:rPr>
          <w:rtl w:val="0"/>
        </w:rPr>
      </w:r>
    </w:p>
    <w:p w:rsidR="00000000" w:rsidDel="00000000" w:rsidP="00000000" w:rsidRDefault="00000000" w:rsidRPr="00000000" w14:paraId="000000B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Johnston, Josee and Shyon Baumann. 2007. “Democracy versus Distinction: A Study of Omnivorousness in Gourmet Food Writing.” </w:t>
      </w:r>
      <w:r w:rsidDel="00000000" w:rsidR="00000000" w:rsidRPr="00000000">
        <w:rPr>
          <w:rFonts w:ascii="Garamond" w:cs="Garamond" w:eastAsia="Garamond" w:hAnsi="Garamond"/>
          <w:i w:val="1"/>
          <w:iCs w:val="1"/>
          <w:color w:val="000000"/>
          <w:sz w:val="26"/>
          <w:szCs w:val="26"/>
          <w:rtl w:val="0"/>
        </w:rPr>
        <w:t xml:space="preserve">American Journal of Sociology</w:t>
      </w:r>
      <w:r w:rsidDel="00000000" w:rsidR="00000000" w:rsidRPr="00000000">
        <w:rPr>
          <w:rFonts w:ascii="Garamond" w:cs="Garamond" w:eastAsia="Garamond" w:hAnsi="Garamond"/>
          <w:color w:val="000000"/>
          <w:sz w:val="26"/>
          <w:szCs w:val="26"/>
          <w:rtl w:val="0"/>
        </w:rPr>
        <w:t xml:space="preserve">. 113(1): 165-204.</w:t>
      </w:r>
      <w:r w:rsidDel="00000000" w:rsidR="00000000" w:rsidRPr="00000000">
        <w:rPr>
          <w:rtl w:val="0"/>
        </w:rPr>
      </w:r>
    </w:p>
    <w:p w:rsidR="00000000" w:rsidDel="00000000" w:rsidP="00000000" w:rsidRDefault="00000000" w:rsidRPr="00000000" w14:paraId="000000BE">
      <w:pPr>
        <w:pStyle w:val="Heading6"/>
        <w:keepNext w:val="0"/>
        <w:keepLines w:val="0"/>
        <w:pageBreakBefore w:val="0"/>
        <w:spacing w:after="0" w:lineRule="auto"/>
        <w:ind w:left="720" w:hanging="720"/>
        <w:jc w:val="both"/>
        <w:rPr/>
      </w:pPr>
      <w:bookmarkStart w:colFirst="0" w:colLast="0" w:name="_2r0uhxc" w:id="64"/>
      <w:bookmarkEnd w:id="64"/>
      <w:r w:rsidDel="00000000" w:rsidR="00000000" w:rsidRPr="00000000">
        <w:rPr>
          <w:rFonts w:ascii="Garamond" w:cs="Garamond" w:eastAsia="Garamond" w:hAnsi="Garamond"/>
          <w:color w:val="000000"/>
          <w:sz w:val="26"/>
          <w:szCs w:val="26"/>
          <w:rtl w:val="0"/>
        </w:rPr>
        <w:t xml:space="preserve">Katz-Gerro, Tally. 2002. “Highbrow Cultural Consumption and Class Distinction in Italy, West Germany, Sweden, and the United States.” </w:t>
      </w:r>
      <w:r w:rsidDel="00000000" w:rsidR="00000000" w:rsidRPr="00000000">
        <w:rPr>
          <w:rFonts w:ascii="Garamond" w:cs="Garamond" w:eastAsia="Garamond" w:hAnsi="Garamond"/>
          <w:i w:val="1"/>
          <w:iCs w:val="1"/>
          <w:color w:val="000000"/>
          <w:sz w:val="26"/>
          <w:szCs w:val="26"/>
          <w:rtl w:val="0"/>
        </w:rPr>
        <w:t xml:space="preserve">Social Forces</w:t>
      </w:r>
      <w:r w:rsidDel="00000000" w:rsidR="00000000" w:rsidRPr="00000000">
        <w:rPr>
          <w:rFonts w:ascii="Garamond" w:cs="Garamond" w:eastAsia="Garamond" w:hAnsi="Garamond"/>
          <w:color w:val="000000"/>
          <w:sz w:val="26"/>
          <w:szCs w:val="26"/>
          <w:rtl w:val="0"/>
        </w:rPr>
        <w:t xml:space="preserve">. 81: 207-229. </w:t>
      </w:r>
      <w:r w:rsidDel="00000000" w:rsidR="00000000" w:rsidRPr="00000000">
        <w:rPr>
          <w:rtl w:val="0"/>
        </w:rPr>
      </w:r>
    </w:p>
    <w:p w:rsidR="00000000" w:rsidDel="00000000" w:rsidP="00000000" w:rsidRDefault="00000000" w:rsidRPr="00000000" w14:paraId="000000BF">
      <w:pPr>
        <w:pStyle w:val="Heading6"/>
        <w:keepNext w:val="0"/>
        <w:keepLines w:val="0"/>
        <w:pageBreakBefore w:val="0"/>
        <w:spacing w:after="0" w:lineRule="auto"/>
        <w:ind w:left="720" w:hanging="720"/>
        <w:jc w:val="both"/>
        <w:rPr/>
      </w:pPr>
      <w:bookmarkStart w:colFirst="0" w:colLast="0" w:name="_1664s55" w:id="65"/>
      <w:bookmarkEnd w:id="65"/>
      <w:r w:rsidDel="00000000" w:rsidR="00000000" w:rsidRPr="00000000">
        <w:rPr>
          <w:rFonts w:ascii="Garamond" w:cs="Garamond" w:eastAsia="Garamond" w:hAnsi="Garamond"/>
          <w:color w:val="000000"/>
          <w:sz w:val="26"/>
          <w:szCs w:val="26"/>
          <w:rtl w:val="0"/>
        </w:rPr>
        <w:t xml:space="preserve">Katz-Gerro, Tally, Oriel Sullivan, 2005. “The Omnivore Thesis Revisited: Voracious Cultural Consumers.” Annual Meetings of the American Sociological Association, Philadelphia, PA</w:t>
      </w:r>
      <w:r w:rsidDel="00000000" w:rsidR="00000000" w:rsidRPr="00000000">
        <w:rPr>
          <w:rtl w:val="0"/>
        </w:rPr>
      </w:r>
    </w:p>
    <w:p w:rsidR="00000000" w:rsidDel="00000000" w:rsidP="00000000" w:rsidRDefault="00000000" w:rsidRPr="00000000" w14:paraId="000000C0">
      <w:pPr>
        <w:pStyle w:val="Heading6"/>
        <w:keepNext w:val="0"/>
        <w:keepLines w:val="0"/>
        <w:pageBreakBefore w:val="0"/>
        <w:spacing w:after="0" w:lineRule="auto"/>
        <w:ind w:left="720" w:hanging="720"/>
        <w:jc w:val="both"/>
        <w:rPr/>
      </w:pPr>
      <w:bookmarkStart w:colFirst="0" w:colLast="0" w:name="_3q5sasy" w:id="66"/>
      <w:bookmarkEnd w:id="66"/>
      <w:r w:rsidDel="00000000" w:rsidR="00000000" w:rsidRPr="00000000">
        <w:rPr>
          <w:rFonts w:ascii="Garamond" w:cs="Garamond" w:eastAsia="Garamond" w:hAnsi="Garamond"/>
          <w:color w:val="000000"/>
          <w:sz w:val="26"/>
          <w:szCs w:val="26"/>
          <w:rtl w:val="0"/>
        </w:rPr>
        <w:t xml:space="preserve">Kraaykamp, Gerbert, and Paul Nieuwbeerta. 2000. “Parental Background and Lifestyle Differentiation in Eastern Europe: Social, Political, and Cultural Intergenerational Transmission in Five Former Socialist Societies.” </w:t>
      </w:r>
      <w:r w:rsidDel="00000000" w:rsidR="00000000" w:rsidRPr="00000000">
        <w:rPr>
          <w:rFonts w:ascii="Garamond" w:cs="Garamond" w:eastAsia="Garamond" w:hAnsi="Garamond"/>
          <w:i w:val="1"/>
          <w:iCs w:val="1"/>
          <w:color w:val="000000"/>
          <w:sz w:val="26"/>
          <w:szCs w:val="26"/>
          <w:rtl w:val="0"/>
        </w:rPr>
        <w:t xml:space="preserve">Social Science Research</w:t>
      </w:r>
      <w:r w:rsidDel="00000000" w:rsidR="00000000" w:rsidRPr="00000000">
        <w:rPr>
          <w:rFonts w:ascii="Garamond" w:cs="Garamond" w:eastAsia="Garamond" w:hAnsi="Garamond"/>
          <w:color w:val="000000"/>
          <w:sz w:val="26"/>
          <w:szCs w:val="26"/>
          <w:rtl w:val="0"/>
        </w:rPr>
        <w:t xml:space="preserve">. 29: 92-122. </w:t>
      </w:r>
      <w:r w:rsidDel="00000000" w:rsidR="00000000" w:rsidRPr="00000000">
        <w:rPr>
          <w:rtl w:val="0"/>
        </w:rPr>
      </w:r>
    </w:p>
    <w:p w:rsidR="00000000" w:rsidDel="00000000" w:rsidP="00000000" w:rsidRDefault="00000000" w:rsidRPr="00000000" w14:paraId="000000C1">
      <w:pPr>
        <w:pStyle w:val="Heading6"/>
        <w:keepNext w:val="0"/>
        <w:keepLines w:val="0"/>
        <w:pageBreakBefore w:val="0"/>
        <w:spacing w:after="0" w:lineRule="auto"/>
        <w:ind w:left="720" w:hanging="720"/>
        <w:jc w:val="both"/>
        <w:rPr/>
      </w:pPr>
      <w:bookmarkStart w:colFirst="0" w:colLast="0" w:name="_25b2l0r" w:id="67"/>
      <w:bookmarkEnd w:id="67"/>
      <w:r w:rsidDel="00000000" w:rsidR="00000000" w:rsidRPr="00000000">
        <w:rPr>
          <w:rFonts w:ascii="Garamond" w:cs="Garamond" w:eastAsia="Garamond" w:hAnsi="Garamond"/>
          <w:color w:val="000000"/>
          <w:sz w:val="26"/>
          <w:szCs w:val="26"/>
          <w:rtl w:val="0"/>
        </w:rPr>
        <w:t xml:space="preserve">Kuipers, Giselinde, and Jeroen de Kloet. 2009. “Banal Cosmopolitanism and The Lord of the Rings: The Limited Role of National Differences in Global Media Consumption.”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37(2): 99–118.</w:t>
      </w:r>
      <w:r w:rsidDel="00000000" w:rsidR="00000000" w:rsidRPr="00000000">
        <w:rPr>
          <w:rtl w:val="0"/>
        </w:rPr>
      </w:r>
    </w:p>
    <w:p w:rsidR="00000000" w:rsidDel="00000000" w:rsidP="00000000" w:rsidRDefault="00000000" w:rsidRPr="00000000" w14:paraId="000000C2">
      <w:pPr>
        <w:pStyle w:val="Heading6"/>
        <w:keepNext w:val="0"/>
        <w:keepLines w:val="0"/>
        <w:pageBreakBefore w:val="0"/>
        <w:spacing w:after="0" w:lineRule="auto"/>
        <w:ind w:left="720" w:hanging="720"/>
        <w:jc w:val="both"/>
        <w:rPr>
          <w:rFonts w:ascii="Garamond" w:cs="Garamond" w:eastAsia="Garamond" w:hAnsi="Garamond"/>
        </w:rPr>
      </w:pPr>
      <w:bookmarkStart w:colFirst="0" w:colLast="0" w:name="_kgcv8k" w:id="68"/>
      <w:bookmarkEnd w:id="68"/>
      <w:r w:rsidDel="00000000" w:rsidR="00000000" w:rsidRPr="00000000">
        <w:rPr>
          <w:rFonts w:ascii="Cardo" w:cs="Cardo" w:eastAsia="Cardo" w:hAnsi="Cardo"/>
          <w:color w:val="000000"/>
          <w:sz w:val="26"/>
          <w:szCs w:val="26"/>
          <w:rtl w:val="0"/>
        </w:rPr>
        <w:t xml:space="preserve">Lambert, Paul, Bergman, Manfred Max, Prandy, Ken. 2005. “Leisurely Moments or Lifetimes? Contexts and the Study of Leisure, Consumption, and Stratiﬁcation.” Presented at the British Household Panel Survey-2005 Research Conference, Colchester, UK.</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Lamont, Michele, 1992. Money, Morals, and Manners: The Culture of the French and the American Upper-Middle Class. Chicago: University of Chicago Press.</w:t>
      </w:r>
      <w:r w:rsidDel="00000000" w:rsidR="00000000" w:rsidRPr="00000000">
        <w:rPr>
          <w:rtl w:val="0"/>
        </w:rPr>
      </w:r>
    </w:p>
    <w:p w:rsidR="00000000" w:rsidDel="00000000" w:rsidP="00000000" w:rsidRDefault="00000000" w:rsidRPr="00000000" w14:paraId="000000C4">
      <w:pPr>
        <w:pStyle w:val="Heading6"/>
        <w:keepNext w:val="0"/>
        <w:keepLines w:val="0"/>
        <w:pageBreakBefore w:val="0"/>
        <w:spacing w:after="0" w:lineRule="auto"/>
        <w:ind w:left="720" w:hanging="720"/>
        <w:jc w:val="both"/>
        <w:rPr/>
      </w:pPr>
      <w:bookmarkStart w:colFirst="0" w:colLast="0" w:name="_34g0dwd" w:id="69"/>
      <w:bookmarkEnd w:id="69"/>
      <w:r w:rsidDel="00000000" w:rsidR="00000000" w:rsidRPr="00000000">
        <w:rPr>
          <w:rFonts w:ascii="Garamond" w:cs="Garamond" w:eastAsia="Garamond" w:hAnsi="Garamond"/>
          <w:color w:val="000000"/>
          <w:sz w:val="26"/>
          <w:szCs w:val="26"/>
          <w:rtl w:val="0"/>
        </w:rPr>
        <w:t xml:space="preserve">LaGamma, Alisa, Joanne Pillsbury, Eric Kjellgren, and Yaelle Biro. 2014. “The Nelson A. Rockefeller Vision: Arts of Africa, Oceania, and the Americas.” The Metropolitan Museum of Art Bulletin, LXXII(1). New York: The Metropolitan Museum of Art.</w:t>
      </w:r>
      <w:r w:rsidDel="00000000" w:rsidR="00000000" w:rsidRPr="00000000">
        <w:rPr>
          <w:rtl w:val="0"/>
        </w:rPr>
      </w:r>
    </w:p>
    <w:p w:rsidR="00000000" w:rsidDel="00000000" w:rsidP="00000000" w:rsidRDefault="00000000" w:rsidRPr="00000000" w14:paraId="000000C5">
      <w:pPr>
        <w:pStyle w:val="Heading6"/>
        <w:keepNext w:val="0"/>
        <w:keepLines w:val="0"/>
        <w:pageBreakBefore w:val="0"/>
        <w:spacing w:after="0" w:lineRule="auto"/>
        <w:ind w:left="720" w:hanging="720"/>
        <w:jc w:val="both"/>
        <w:rPr/>
      </w:pPr>
      <w:bookmarkStart w:colFirst="0" w:colLast="0" w:name="_1jlao46" w:id="70"/>
      <w:bookmarkEnd w:id="70"/>
      <w:r w:rsidDel="00000000" w:rsidR="00000000" w:rsidRPr="00000000">
        <w:rPr>
          <w:rFonts w:ascii="Garamond" w:cs="Garamond" w:eastAsia="Garamond" w:hAnsi="Garamond"/>
          <w:color w:val="000000"/>
          <w:sz w:val="26"/>
          <w:szCs w:val="26"/>
          <w:rtl w:val="0"/>
        </w:rPr>
        <w:t xml:space="preserve">Lena, Jennifer C. 2012. Banding Together: How Communities Create Genres in Popular Culture. Princeton, NJ: Princeton University Press.</w:t>
      </w:r>
      <w:r w:rsidDel="00000000" w:rsidR="00000000" w:rsidRPr="00000000">
        <w:rPr>
          <w:rtl w:val="0"/>
        </w:rPr>
      </w:r>
    </w:p>
    <w:p w:rsidR="00000000" w:rsidDel="00000000" w:rsidP="00000000" w:rsidRDefault="00000000" w:rsidRPr="00000000" w14:paraId="000000C6">
      <w:pPr>
        <w:pStyle w:val="Heading6"/>
        <w:keepNext w:val="0"/>
        <w:keepLines w:val="0"/>
        <w:pageBreakBefore w:val="0"/>
        <w:spacing w:after="0" w:lineRule="auto"/>
        <w:ind w:left="720" w:hanging="720"/>
        <w:jc w:val="both"/>
        <w:rPr/>
      </w:pPr>
      <w:bookmarkStart w:colFirst="0" w:colLast="0" w:name="_43ky6rz" w:id="71"/>
      <w:bookmarkEnd w:id="71"/>
      <w:r w:rsidDel="00000000" w:rsidR="00000000" w:rsidRPr="00000000">
        <w:rPr>
          <w:rFonts w:ascii="Garamond" w:cs="Garamond" w:eastAsia="Garamond" w:hAnsi="Garamond"/>
          <w:color w:val="000000"/>
          <w:sz w:val="26"/>
          <w:szCs w:val="26"/>
          <w:rtl w:val="0"/>
        </w:rPr>
        <w:t xml:space="preserve">Levine, Lawrence W. 1988. Highbrow/Lowbrow. Cambridge, MA: Harvard University Press.</w:t>
      </w:r>
      <w:r w:rsidDel="00000000" w:rsidR="00000000" w:rsidRPr="00000000">
        <w:rPr>
          <w:rtl w:val="0"/>
        </w:rPr>
      </w:r>
    </w:p>
    <w:p w:rsidR="00000000" w:rsidDel="00000000" w:rsidP="00000000" w:rsidRDefault="00000000" w:rsidRPr="00000000" w14:paraId="000000C7">
      <w:pPr>
        <w:pStyle w:val="Heading6"/>
        <w:keepNext w:val="0"/>
        <w:keepLines w:val="0"/>
        <w:pageBreakBefore w:val="0"/>
        <w:spacing w:after="0" w:lineRule="auto"/>
        <w:ind w:left="720" w:hanging="720"/>
        <w:jc w:val="both"/>
        <w:rPr/>
      </w:pPr>
      <w:bookmarkStart w:colFirst="0" w:colLast="0" w:name="_2iq8gzs" w:id="72"/>
      <w:bookmarkEnd w:id="72"/>
      <w:r w:rsidDel="00000000" w:rsidR="00000000" w:rsidRPr="00000000">
        <w:rPr>
          <w:rFonts w:ascii="Garamond" w:cs="Garamond" w:eastAsia="Garamond" w:hAnsi="Garamond"/>
          <w:color w:val="000000"/>
          <w:sz w:val="26"/>
          <w:szCs w:val="26"/>
          <w:rtl w:val="0"/>
        </w:rPr>
        <w:t xml:space="preserve">Lizardo, Omar. 2008. “The Question of Culture Consumption and Stratification Revisited.” </w:t>
      </w:r>
      <w:r w:rsidDel="00000000" w:rsidR="00000000" w:rsidRPr="00000000">
        <w:rPr>
          <w:rFonts w:ascii="Garamond" w:cs="Garamond" w:eastAsia="Garamond" w:hAnsi="Garamond"/>
          <w:i w:val="1"/>
          <w:iCs w:val="1"/>
          <w:color w:val="000000"/>
          <w:sz w:val="26"/>
          <w:szCs w:val="26"/>
          <w:rtl w:val="0"/>
        </w:rPr>
        <w:t xml:space="preserve">Sociologica</w:t>
      </w:r>
      <w:r w:rsidDel="00000000" w:rsidR="00000000" w:rsidRPr="00000000">
        <w:rPr>
          <w:rFonts w:ascii="Garamond" w:cs="Garamond" w:eastAsia="Garamond" w:hAnsi="Garamond"/>
          <w:color w:val="000000"/>
          <w:sz w:val="26"/>
          <w:szCs w:val="26"/>
          <w:rtl w:val="0"/>
        </w:rPr>
        <w:t xml:space="preserve"> 2(2): 0-0.</w:t>
      </w:r>
      <w:r w:rsidDel="00000000" w:rsidR="00000000" w:rsidRPr="00000000">
        <w:rPr>
          <w:rtl w:val="0"/>
        </w:rPr>
      </w:r>
    </w:p>
    <w:p w:rsidR="00000000" w:rsidDel="00000000" w:rsidP="00000000" w:rsidRDefault="00000000" w:rsidRPr="00000000" w14:paraId="000000C8">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Lizardo, Omar and Sara Skiles. 2009. “Highbrow omnivorousness on the Small Screen? Cultural Industry Systems and Patterns of Cultural Choice in Europe.”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37: 1-23.</w:t>
      </w:r>
      <w:r w:rsidDel="00000000" w:rsidR="00000000" w:rsidRPr="00000000">
        <w:rPr>
          <w:rtl w:val="0"/>
        </w:rPr>
      </w:r>
    </w:p>
    <w:p w:rsidR="00000000" w:rsidDel="00000000" w:rsidP="00000000" w:rsidRDefault="00000000" w:rsidRPr="00000000" w14:paraId="000000C9">
      <w:pPr>
        <w:pStyle w:val="Heading6"/>
        <w:keepNext w:val="0"/>
        <w:keepLines w:val="0"/>
        <w:pageBreakBefore w:val="0"/>
        <w:spacing w:after="0" w:lineRule="auto"/>
        <w:ind w:left="720" w:hanging="720"/>
        <w:jc w:val="both"/>
        <w:rPr/>
      </w:pPr>
      <w:bookmarkStart w:colFirst="0" w:colLast="0" w:name="_xvir7l" w:id="73"/>
      <w:bookmarkEnd w:id="73"/>
      <w:r w:rsidDel="00000000" w:rsidR="00000000" w:rsidRPr="00000000">
        <w:rPr>
          <w:rFonts w:ascii="Garamond" w:cs="Garamond" w:eastAsia="Garamond" w:hAnsi="Garamond"/>
          <w:color w:val="000000"/>
          <w:sz w:val="26"/>
          <w:szCs w:val="26"/>
          <w:rtl w:val="0"/>
        </w:rPr>
        <w:t xml:space="preserve">Lizardo, Omar and Sara Skiles. 2012. “Reconceptualizing and Theorizing ‘Omnivorousness:’ Genetic and Relational Mechanisms.”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Vol. 30: 263-282.</w:t>
      </w:r>
      <w:r w:rsidDel="00000000" w:rsidR="00000000" w:rsidRPr="00000000">
        <w:rPr>
          <w:rtl w:val="0"/>
        </w:rPr>
      </w:r>
    </w:p>
    <w:p w:rsidR="00000000" w:rsidDel="00000000" w:rsidP="00000000" w:rsidRDefault="00000000" w:rsidRPr="00000000" w14:paraId="000000CA">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Lopes, Paul. 2002. The Rise of a Jazz Art World. New York: Cambridge University Press.</w:t>
      </w:r>
      <w:r w:rsidDel="00000000" w:rsidR="00000000" w:rsidRPr="00000000">
        <w:rPr>
          <w:rtl w:val="0"/>
        </w:rPr>
      </w:r>
    </w:p>
    <w:p w:rsidR="00000000" w:rsidDel="00000000" w:rsidP="00000000" w:rsidRDefault="00000000" w:rsidRPr="00000000" w14:paraId="000000CB">
      <w:pPr>
        <w:pStyle w:val="Heading6"/>
        <w:keepNext w:val="0"/>
        <w:keepLines w:val="0"/>
        <w:pageBreakBefore w:val="0"/>
        <w:spacing w:after="0" w:lineRule="auto"/>
        <w:ind w:left="720" w:hanging="720"/>
        <w:jc w:val="both"/>
        <w:rPr/>
      </w:pPr>
      <w:bookmarkStart w:colFirst="0" w:colLast="0" w:name="_3hv69ve" w:id="74"/>
      <w:bookmarkEnd w:id="74"/>
      <w:r w:rsidDel="00000000" w:rsidR="00000000" w:rsidRPr="00000000">
        <w:rPr>
          <w:rFonts w:ascii="Garamond" w:cs="Garamond" w:eastAsia="Garamond" w:hAnsi="Garamond"/>
          <w:color w:val="000000"/>
          <w:sz w:val="26"/>
          <w:szCs w:val="26"/>
          <w:rtl w:val="0"/>
        </w:rPr>
        <w:t xml:space="preserve">López-Sintas, Jordi and Tally Katz-Gerro. 2005. “From Exclusive to Inclusive Elitists and Further: Twenty Years of Omnivorousness and Cultural Diversity in Arts Participation in the USA.”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 299-319. </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720" w:right="0" w:hanging="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Lynes, Russell, 1954. </w:t>
      </w:r>
      <w:r w:rsidDel="00000000" w:rsidR="00000000" w:rsidRPr="00000000">
        <w:rPr>
          <w:rFonts w:ascii="Garamond" w:cs="Garamond" w:eastAsia="Garamond" w:hAnsi="Garamond"/>
          <w:b w:val="0"/>
          <w:bCs w:val="0"/>
          <w:i w:val="1"/>
          <w:iCs w:val="1"/>
          <w:smallCaps w:val="0"/>
          <w:strike w:val="0"/>
          <w:color w:val="333333"/>
          <w:sz w:val="26"/>
          <w:szCs w:val="26"/>
          <w:highlight w:val="white"/>
          <w:u w:val="none"/>
          <w:vertAlign w:val="baseline"/>
          <w:rtl w:val="0"/>
        </w:rPr>
        <w:t xml:space="preserve">The Tastemakers</w:t>
      </w:r>
      <w:r w:rsidDel="00000000" w:rsidR="00000000" w:rsidRPr="00000000">
        <w:rPr>
          <w:rFonts w:ascii="Garamond" w:cs="Garamond" w:eastAsia="Garamond" w:hAnsi="Garamond"/>
          <w:b w:val="0"/>
          <w:bCs w:val="0"/>
          <w:i w:val="0"/>
          <w:iCs w:val="0"/>
          <w:smallCaps w:val="0"/>
          <w:strike w:val="0"/>
          <w:color w:val="333333"/>
          <w:sz w:val="26"/>
          <w:szCs w:val="26"/>
          <w:highlight w:val="white"/>
          <w:u w:val="none"/>
          <w:vertAlign w:val="baseline"/>
          <w:rtl w:val="0"/>
        </w:rPr>
        <w:t xml:space="preserve">. New York: Harper.</w:t>
      </w:r>
      <w:r w:rsidDel="00000000" w:rsidR="00000000" w:rsidRPr="00000000">
        <w:rPr>
          <w:rtl w:val="0"/>
        </w:rPr>
      </w:r>
    </w:p>
    <w:p w:rsidR="00000000" w:rsidDel="00000000" w:rsidP="00000000" w:rsidRDefault="00000000" w:rsidRPr="00000000" w14:paraId="000000CD">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Umbach, Maiken and Bernd Hüppauf, (eds). 2005. Vernacular Modernism: Heimat, Globalization, and the Built Environment. Stanford, CA: Stanford University Press.</w:t>
      </w:r>
      <w:r w:rsidDel="00000000" w:rsidR="00000000" w:rsidRPr="00000000">
        <w:rPr>
          <w:rtl w:val="0"/>
        </w:rPr>
      </w:r>
    </w:p>
    <w:p w:rsidR="00000000" w:rsidDel="00000000" w:rsidP="00000000" w:rsidRDefault="00000000" w:rsidRPr="00000000" w14:paraId="000000CE">
      <w:pPr>
        <w:pStyle w:val="Heading6"/>
        <w:keepNext w:val="0"/>
        <w:keepLines w:val="0"/>
        <w:pageBreakBefore w:val="0"/>
        <w:spacing w:after="0" w:lineRule="auto"/>
        <w:ind w:left="720" w:hanging="720"/>
        <w:jc w:val="both"/>
        <w:rPr/>
      </w:pPr>
      <w:bookmarkStart w:colFirst="0" w:colLast="0" w:name="_1x0gk37" w:id="75"/>
      <w:bookmarkEnd w:id="75"/>
      <w:r w:rsidDel="00000000" w:rsidR="00000000" w:rsidRPr="00000000">
        <w:rPr>
          <w:rFonts w:ascii="Garamond" w:cs="Garamond" w:eastAsia="Garamond" w:hAnsi="Garamond"/>
          <w:color w:val="000000"/>
          <w:sz w:val="26"/>
          <w:szCs w:val="26"/>
          <w:rtl w:val="0"/>
        </w:rPr>
        <w:t xml:space="preserve">Mannheim, Karl. 1952. “The Problems of Generations.” In Karl Mannheim, Essays in the Sociology of Knowledge, Pp. 276-322. London, England: Routledge and Kegan Paul.</w:t>
      </w:r>
      <w:r w:rsidDel="00000000" w:rsidR="00000000" w:rsidRPr="00000000">
        <w:rPr>
          <w:rtl w:val="0"/>
        </w:rPr>
      </w:r>
    </w:p>
    <w:p w:rsidR="00000000" w:rsidDel="00000000" w:rsidP="00000000" w:rsidRDefault="00000000" w:rsidRPr="00000000" w14:paraId="000000CF">
      <w:pPr>
        <w:pStyle w:val="Heading6"/>
        <w:keepNext w:val="0"/>
        <w:keepLines w:val="0"/>
        <w:pageBreakBefore w:val="0"/>
        <w:spacing w:after="0" w:lineRule="auto"/>
        <w:ind w:left="720" w:hanging="720"/>
        <w:jc w:val="both"/>
        <w:rPr/>
      </w:pPr>
      <w:bookmarkStart w:colFirst="0" w:colLast="0" w:name="_4h042r0" w:id="76"/>
      <w:bookmarkEnd w:id="76"/>
      <w:r w:rsidDel="00000000" w:rsidR="00000000" w:rsidRPr="00000000">
        <w:rPr>
          <w:rFonts w:ascii="Garamond" w:cs="Garamond" w:eastAsia="Garamond" w:hAnsi="Garamond"/>
          <w:color w:val="000000"/>
          <w:sz w:val="26"/>
          <w:szCs w:val="26"/>
          <w:rtl w:val="0"/>
        </w:rPr>
        <w:t xml:space="preserve">Matthews, Jane De Hart. 1975. “Arts and the People: The New Deal Quest for a Cultural Democracy.” </w:t>
      </w:r>
      <w:r w:rsidDel="00000000" w:rsidR="00000000" w:rsidRPr="00000000">
        <w:rPr>
          <w:rFonts w:ascii="Garamond" w:cs="Garamond" w:eastAsia="Garamond" w:hAnsi="Garamond"/>
          <w:i w:val="1"/>
          <w:iCs w:val="1"/>
          <w:color w:val="000000"/>
          <w:sz w:val="26"/>
          <w:szCs w:val="26"/>
          <w:rtl w:val="0"/>
        </w:rPr>
        <w:t xml:space="preserve">The Journal of American History</w:t>
      </w:r>
      <w:r w:rsidDel="00000000" w:rsidR="00000000" w:rsidRPr="00000000">
        <w:rPr>
          <w:rFonts w:ascii="Garamond" w:cs="Garamond" w:eastAsia="Garamond" w:hAnsi="Garamond"/>
          <w:color w:val="000000"/>
          <w:sz w:val="26"/>
          <w:szCs w:val="26"/>
          <w:rtl w:val="0"/>
        </w:rPr>
        <w:t xml:space="preserve">. Vol. 62 (2): 316-339. </w:t>
      </w:r>
      <w:r w:rsidDel="00000000" w:rsidR="00000000" w:rsidRPr="00000000">
        <w:rPr>
          <w:rtl w:val="0"/>
        </w:rPr>
      </w:r>
    </w:p>
    <w:p w:rsidR="00000000" w:rsidDel="00000000" w:rsidP="00000000" w:rsidRDefault="00000000" w:rsidRPr="00000000" w14:paraId="000000D0">
      <w:pPr>
        <w:pStyle w:val="Heading6"/>
        <w:keepNext w:val="0"/>
        <w:keepLines w:val="0"/>
        <w:pageBreakBefore w:val="0"/>
        <w:spacing w:after="0" w:lineRule="auto"/>
        <w:ind w:left="720" w:hanging="720"/>
        <w:jc w:val="both"/>
        <w:rPr/>
      </w:pPr>
      <w:bookmarkStart w:colFirst="0" w:colLast="0" w:name="_2w5ecyt" w:id="77"/>
      <w:bookmarkEnd w:id="77"/>
      <w:r w:rsidDel="00000000" w:rsidR="00000000" w:rsidRPr="00000000">
        <w:rPr>
          <w:rFonts w:ascii="Garamond" w:cs="Garamond" w:eastAsia="Garamond" w:hAnsi="Garamond"/>
          <w:color w:val="000000"/>
          <w:sz w:val="26"/>
          <w:szCs w:val="26"/>
          <w:rtl w:val="0"/>
        </w:rPr>
        <w:t xml:space="preserve">McDonald, William F. 1969. Federal Relief Administration and the Arts. Ohio State University Press.</w:t>
      </w:r>
      <w:r w:rsidDel="00000000" w:rsidR="00000000" w:rsidRPr="00000000">
        <w:rPr>
          <w:rtl w:val="0"/>
        </w:rPr>
      </w:r>
    </w:p>
    <w:p w:rsidR="00000000" w:rsidDel="00000000" w:rsidP="00000000" w:rsidRDefault="00000000" w:rsidRPr="00000000" w14:paraId="000000D1">
      <w:pPr>
        <w:pStyle w:val="Heading6"/>
        <w:keepNext w:val="0"/>
        <w:keepLines w:val="0"/>
        <w:pageBreakBefore w:val="0"/>
        <w:spacing w:after="0" w:lineRule="auto"/>
        <w:ind w:left="720" w:hanging="720"/>
        <w:jc w:val="both"/>
        <w:rPr/>
      </w:pPr>
      <w:bookmarkStart w:colFirst="0" w:colLast="0" w:name="_1baon6m" w:id="78"/>
      <w:bookmarkEnd w:id="78"/>
      <w:r w:rsidDel="00000000" w:rsidR="00000000" w:rsidRPr="00000000">
        <w:rPr>
          <w:rFonts w:ascii="Garamond" w:cs="Garamond" w:eastAsia="Garamond" w:hAnsi="Garamond"/>
          <w:color w:val="000000"/>
          <w:sz w:val="26"/>
          <w:szCs w:val="26"/>
          <w:rtl w:val="0"/>
        </w:rPr>
        <w:t xml:space="preserve">Mears, Ashley. 2011. </w:t>
      </w:r>
      <w:r w:rsidDel="00000000" w:rsidR="00000000" w:rsidRPr="00000000">
        <w:rPr>
          <w:rFonts w:ascii="Garamond" w:cs="Garamond" w:eastAsia="Garamond" w:hAnsi="Garamond"/>
          <w:i w:val="1"/>
          <w:iCs w:val="1"/>
          <w:color w:val="000000"/>
          <w:sz w:val="26"/>
          <w:szCs w:val="26"/>
          <w:rtl w:val="0"/>
        </w:rPr>
        <w:t xml:space="preserve">Pricing Beauty: The Making of a Fashion Model</w:t>
      </w:r>
      <w:r w:rsidDel="00000000" w:rsidR="00000000" w:rsidRPr="00000000">
        <w:rPr>
          <w:rFonts w:ascii="Garamond" w:cs="Garamond" w:eastAsia="Garamond" w:hAnsi="Garamond"/>
          <w:color w:val="000000"/>
          <w:sz w:val="26"/>
          <w:szCs w:val="26"/>
          <w:rtl w:val="0"/>
        </w:rPr>
        <w:t xml:space="preserve">. Berkeley: University of California Press.</w:t>
      </w:r>
      <w:r w:rsidDel="00000000" w:rsidR="00000000" w:rsidRPr="00000000">
        <w:rPr>
          <w:rtl w:val="0"/>
        </w:rPr>
      </w:r>
    </w:p>
    <w:p w:rsidR="00000000" w:rsidDel="00000000" w:rsidP="00000000" w:rsidRDefault="00000000" w:rsidRPr="00000000" w14:paraId="000000D2">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Meyer, Karl E. 1979. </w:t>
      </w:r>
      <w:r w:rsidDel="00000000" w:rsidR="00000000" w:rsidRPr="00000000">
        <w:rPr>
          <w:rFonts w:ascii="Garamond" w:cs="Garamond" w:eastAsia="Garamond" w:hAnsi="Garamond"/>
          <w:i w:val="1"/>
          <w:iCs w:val="1"/>
          <w:color w:val="000000"/>
          <w:sz w:val="26"/>
          <w:szCs w:val="26"/>
          <w:rtl w:val="0"/>
        </w:rPr>
        <w:t xml:space="preserve">The Art Museum: Power, Money, Ethics</w:t>
      </w:r>
      <w:r w:rsidDel="00000000" w:rsidR="00000000" w:rsidRPr="00000000">
        <w:rPr>
          <w:rFonts w:ascii="Garamond" w:cs="Garamond" w:eastAsia="Garamond" w:hAnsi="Garamond"/>
          <w:color w:val="000000"/>
          <w:sz w:val="26"/>
          <w:szCs w:val="26"/>
          <w:rtl w:val="0"/>
        </w:rPr>
        <w:t xml:space="preserve">. New York: William Morrow.</w:t>
      </w:r>
      <w:r w:rsidDel="00000000" w:rsidR="00000000" w:rsidRPr="00000000">
        <w:rPr>
          <w:rtl w:val="0"/>
        </w:rPr>
      </w:r>
    </w:p>
    <w:p w:rsidR="00000000" w:rsidDel="00000000" w:rsidP="00000000" w:rsidRDefault="00000000" w:rsidRPr="00000000" w14:paraId="000000D3">
      <w:pPr>
        <w:pStyle w:val="Heading6"/>
        <w:keepNext w:val="0"/>
        <w:keepLines w:val="0"/>
        <w:pageBreakBefore w:val="0"/>
        <w:spacing w:after="0" w:lineRule="auto"/>
        <w:ind w:left="720" w:hanging="720"/>
        <w:jc w:val="both"/>
        <w:rPr/>
      </w:pPr>
      <w:bookmarkStart w:colFirst="0" w:colLast="0" w:name="_3vac5uf" w:id="79"/>
      <w:bookmarkEnd w:id="79"/>
      <w:r w:rsidDel="00000000" w:rsidR="00000000" w:rsidRPr="00000000">
        <w:rPr>
          <w:rFonts w:ascii="Garamond" w:cs="Garamond" w:eastAsia="Garamond" w:hAnsi="Garamond"/>
          <w:color w:val="000000"/>
          <w:sz w:val="26"/>
          <w:szCs w:val="26"/>
          <w:rtl w:val="0"/>
        </w:rPr>
        <w:t xml:space="preserve">N.A. 1936. “Art: Government Inspiration.”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March 2. </w:t>
      </w:r>
      <w:r w:rsidDel="00000000" w:rsidR="00000000" w:rsidRPr="00000000">
        <w:rPr>
          <w:rtl w:val="0"/>
        </w:rPr>
      </w:r>
    </w:p>
    <w:p w:rsidR="00000000" w:rsidDel="00000000" w:rsidP="00000000" w:rsidRDefault="00000000" w:rsidRPr="00000000" w14:paraId="000000D4">
      <w:pPr>
        <w:pStyle w:val="Heading6"/>
        <w:keepNext w:val="0"/>
        <w:keepLines w:val="0"/>
        <w:pageBreakBefore w:val="0"/>
        <w:spacing w:after="0" w:lineRule="auto"/>
        <w:ind w:left="720" w:hanging="720"/>
        <w:jc w:val="both"/>
        <w:rPr/>
      </w:pPr>
      <w:bookmarkStart w:colFirst="0" w:colLast="0" w:name="_2afmg28" w:id="80"/>
      <w:bookmarkEnd w:id="80"/>
      <w:r w:rsidDel="00000000" w:rsidR="00000000" w:rsidRPr="00000000">
        <w:rPr>
          <w:rFonts w:ascii="Garamond" w:cs="Garamond" w:eastAsia="Garamond" w:hAnsi="Garamond"/>
          <w:color w:val="000000"/>
          <w:sz w:val="26"/>
          <w:szCs w:val="26"/>
          <w:rtl w:val="0"/>
        </w:rPr>
        <w:t xml:space="preserve">N.A. 1936. “Music: Relief Melodies.” </w:t>
      </w:r>
      <w:r w:rsidDel="00000000" w:rsidR="00000000" w:rsidRPr="00000000">
        <w:rPr>
          <w:rFonts w:ascii="Garamond" w:cs="Garamond" w:eastAsia="Garamond" w:hAnsi="Garamond"/>
          <w:i w:val="1"/>
          <w:iCs w:val="1"/>
          <w:color w:val="000000"/>
          <w:sz w:val="26"/>
          <w:szCs w:val="26"/>
          <w:rtl w:val="0"/>
        </w:rPr>
        <w:t xml:space="preserve">Time Magazine</w:t>
      </w:r>
      <w:r w:rsidDel="00000000" w:rsidR="00000000" w:rsidRPr="00000000">
        <w:rPr>
          <w:rFonts w:ascii="Garamond" w:cs="Garamond" w:eastAsia="Garamond" w:hAnsi="Garamond"/>
          <w:color w:val="000000"/>
          <w:sz w:val="26"/>
          <w:szCs w:val="26"/>
          <w:rtl w:val="0"/>
        </w:rPr>
        <w:t xml:space="preserve">. April 13. </w:t>
      </w:r>
      <w:r w:rsidDel="00000000" w:rsidR="00000000" w:rsidRPr="00000000">
        <w:rPr>
          <w:rtl w:val="0"/>
        </w:rPr>
      </w:r>
    </w:p>
    <w:p w:rsidR="00000000" w:rsidDel="00000000" w:rsidP="00000000" w:rsidRDefault="00000000" w:rsidRPr="00000000" w14:paraId="000000D5">
      <w:pPr>
        <w:pStyle w:val="Heading6"/>
        <w:keepNext w:val="0"/>
        <w:keepLines w:val="0"/>
        <w:pageBreakBefore w:val="0"/>
        <w:spacing w:after="0" w:lineRule="auto"/>
        <w:ind w:left="720" w:hanging="720"/>
        <w:jc w:val="both"/>
        <w:rPr/>
      </w:pPr>
      <w:bookmarkStart w:colFirst="0" w:colLast="0" w:name="_pkwqa1" w:id="81"/>
      <w:bookmarkEnd w:id="81"/>
      <w:r w:rsidDel="00000000" w:rsidR="00000000" w:rsidRPr="00000000">
        <w:rPr>
          <w:rFonts w:ascii="Garamond" w:cs="Garamond" w:eastAsia="Garamond" w:hAnsi="Garamond"/>
          <w:color w:val="000000"/>
          <w:sz w:val="26"/>
          <w:szCs w:val="26"/>
          <w:rtl w:val="0"/>
        </w:rPr>
        <w:t xml:space="preserve">N.A. 1963. </w:t>
      </w:r>
      <w:r w:rsidDel="00000000" w:rsidR="00000000" w:rsidRPr="00000000">
        <w:rPr>
          <w:rFonts w:ascii="Garamond" w:cs="Garamond" w:eastAsia="Garamond" w:hAnsi="Garamond"/>
          <w:color w:val="000000"/>
          <w:sz w:val="24"/>
          <w:szCs w:val="24"/>
          <w:rtl w:val="0"/>
        </w:rPr>
        <w:t xml:space="preserve">“Background Information on Museum of Primitive Art,”</w:t>
      </w:r>
      <w:r w:rsidDel="00000000" w:rsidR="00000000" w:rsidRPr="00000000">
        <w:rPr>
          <w:rFonts w:ascii="Garamond" w:cs="Garamond" w:eastAsia="Garamond" w:hAnsi="Garamond"/>
          <w:color w:val="000000"/>
          <w:sz w:val="26"/>
          <w:szCs w:val="26"/>
          <w:rtl w:val="0"/>
        </w:rPr>
        <w:t xml:space="preserve"> Spring 1963, </w:t>
      </w:r>
      <w:r w:rsidDel="00000000" w:rsidR="00000000" w:rsidRPr="00000000">
        <w:rPr>
          <w:rFonts w:ascii="Garamond" w:cs="Garamond" w:eastAsia="Garamond" w:hAnsi="Garamond"/>
          <w:color w:val="000000"/>
          <w:sz w:val="24"/>
          <w:szCs w:val="24"/>
          <w:rtl w:val="0"/>
        </w:rPr>
        <w:t xml:space="preserve">Official Business</w:t>
      </w:r>
      <w:r w:rsidDel="00000000" w:rsidR="00000000" w:rsidRPr="00000000">
        <w:rPr>
          <w:rFonts w:ascii="Garamond" w:cs="Garamond" w:eastAsia="Garamond" w:hAnsi="Garamond"/>
          <w:color w:val="000000"/>
          <w:sz w:val="26"/>
          <w:szCs w:val="26"/>
          <w:rtl w:val="0"/>
        </w:rPr>
        <w:t xml:space="preserve">, Visual Resource Archive, Department of the Arts of Africa, Oceania, and the Americas. The Metropolitan Museum of Art, New York.</w:t>
      </w:r>
      <w:r w:rsidDel="00000000" w:rsidR="00000000" w:rsidRPr="00000000">
        <w:rPr>
          <w:rtl w:val="0"/>
        </w:rPr>
      </w:r>
    </w:p>
    <w:p w:rsidR="00000000" w:rsidDel="00000000" w:rsidP="00000000" w:rsidRDefault="00000000" w:rsidRPr="00000000" w14:paraId="000000D6">
      <w:pPr>
        <w:pStyle w:val="Heading6"/>
        <w:keepNext w:val="0"/>
        <w:keepLines w:val="0"/>
        <w:pageBreakBefore w:val="0"/>
        <w:spacing w:after="0" w:lineRule="auto"/>
        <w:ind w:left="720" w:hanging="720"/>
        <w:jc w:val="both"/>
        <w:rPr/>
      </w:pPr>
      <w:bookmarkStart w:colFirst="0" w:colLast="0" w:name="_39kk8xu" w:id="82"/>
      <w:bookmarkEnd w:id="82"/>
      <w:r w:rsidDel="00000000" w:rsidR="00000000" w:rsidRPr="00000000">
        <w:rPr>
          <w:rFonts w:ascii="Garamond" w:cs="Garamond" w:eastAsia="Garamond" w:hAnsi="Garamond"/>
          <w:color w:val="000000"/>
          <w:sz w:val="26"/>
          <w:szCs w:val="26"/>
          <w:rtl w:val="0"/>
        </w:rPr>
        <w:t xml:space="preserve">N.A. 2013. “Smithsonian Folklife Festival: Mission and History.” </w:t>
      </w:r>
      <w:hyperlink r:id="rId12">
        <w:r w:rsidDel="00000000" w:rsidR="00000000" w:rsidRPr="00000000">
          <w:rPr>
            <w:rFonts w:ascii="Garamond" w:cs="Garamond" w:eastAsia="Garamond" w:hAnsi="Garamond"/>
            <w:color w:val="1155cc"/>
            <w:sz w:val="26"/>
            <w:szCs w:val="26"/>
            <w:u w:val="single"/>
            <w:rtl w:val="0"/>
          </w:rPr>
          <w:t xml:space="preserve">http://www.festival.si.edu/about-us/mission-and-history/smithsonian</w:t>
        </w:r>
      </w:hyperlink>
      <w:r w:rsidDel="00000000" w:rsidR="00000000" w:rsidRPr="00000000">
        <w:rPr>
          <w:rFonts w:ascii="Garamond" w:cs="Garamond" w:eastAsia="Garamond" w:hAnsi="Garamond"/>
          <w:color w:val="000000"/>
          <w:sz w:val="26"/>
          <w:szCs w:val="26"/>
          <w:rtl w:val="0"/>
        </w:rPr>
        <w:t xml:space="preserve">. Accessed March 30, 2016.</w:t>
      </w:r>
      <w:r w:rsidDel="00000000" w:rsidR="00000000" w:rsidRPr="00000000">
        <w:rPr>
          <w:rtl w:val="0"/>
        </w:rPr>
      </w:r>
    </w:p>
    <w:p w:rsidR="00000000" w:rsidDel="00000000" w:rsidP="00000000" w:rsidRDefault="00000000" w:rsidRPr="00000000" w14:paraId="000000D7">
      <w:pPr>
        <w:pStyle w:val="Heading6"/>
        <w:keepNext w:val="0"/>
        <w:keepLines w:val="0"/>
        <w:pageBreakBefore w:val="0"/>
        <w:spacing w:after="0" w:lineRule="auto"/>
        <w:ind w:left="720" w:hanging="720"/>
        <w:jc w:val="both"/>
        <w:rPr/>
      </w:pPr>
      <w:bookmarkStart w:colFirst="0" w:colLast="0" w:name="_1opuj5n" w:id="83"/>
      <w:bookmarkEnd w:id="83"/>
      <w:r w:rsidDel="00000000" w:rsidR="00000000" w:rsidRPr="00000000">
        <w:rPr>
          <w:rFonts w:ascii="Garamond" w:cs="Garamond" w:eastAsia="Garamond" w:hAnsi="Garamond"/>
          <w:color w:val="000000"/>
          <w:sz w:val="26"/>
          <w:szCs w:val="26"/>
          <w:rtl w:val="0"/>
        </w:rPr>
        <w:t xml:space="preserve">The National Research Center of the Arts. Americans and the Arts. 1973. ICPSR35575-v1. Ann Arbor, MI: Inter-university Consortium for Political and Social Research [distributor], 2015-03-19. </w:t>
      </w:r>
      <w:hyperlink r:id="rId13">
        <w:r w:rsidDel="00000000" w:rsidR="00000000" w:rsidRPr="00000000">
          <w:rPr>
            <w:rFonts w:ascii="Garamond" w:cs="Garamond" w:eastAsia="Garamond" w:hAnsi="Garamond"/>
            <w:color w:val="1155cc"/>
            <w:sz w:val="26"/>
            <w:szCs w:val="26"/>
            <w:u w:val="single"/>
            <w:rtl w:val="0"/>
          </w:rPr>
          <w:t xml:space="preserve">http://doi.org/10.3886/ICPSR35575.v1</w:t>
        </w:r>
      </w:hyperlink>
      <w:r w:rsidDel="00000000" w:rsidR="00000000" w:rsidRPr="00000000">
        <w:rPr>
          <w:rtl w:val="0"/>
        </w:rPr>
      </w:r>
    </w:p>
    <w:p w:rsidR="00000000" w:rsidDel="00000000" w:rsidP="00000000" w:rsidRDefault="00000000" w:rsidRPr="00000000" w14:paraId="000000D8">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O’Connor, Francis. 1969. Federal Support for the Visual Arts: The New Deal and the Now. Greenwich, CT: New York Graphic Society.</w:t>
      </w:r>
      <w:r w:rsidDel="00000000" w:rsidR="00000000" w:rsidRPr="00000000">
        <w:rPr>
          <w:rtl w:val="0"/>
        </w:rPr>
      </w:r>
    </w:p>
    <w:p w:rsidR="00000000" w:rsidDel="00000000" w:rsidP="00000000" w:rsidRDefault="00000000" w:rsidRPr="00000000" w14:paraId="000000D9">
      <w:pPr>
        <w:pStyle w:val="Heading6"/>
        <w:keepNext w:val="0"/>
        <w:keepLines w:val="0"/>
        <w:pageBreakBefore w:val="0"/>
        <w:spacing w:after="0" w:lineRule="auto"/>
        <w:ind w:left="720" w:hanging="720"/>
        <w:jc w:val="both"/>
        <w:rPr/>
      </w:pPr>
      <w:bookmarkStart w:colFirst="0" w:colLast="0" w:name="_48pi1tg" w:id="84"/>
      <w:bookmarkEnd w:id="84"/>
      <w:r w:rsidDel="00000000" w:rsidR="00000000" w:rsidRPr="00000000">
        <w:rPr>
          <w:rFonts w:ascii="Garamond" w:cs="Garamond" w:eastAsia="Garamond" w:hAnsi="Garamond"/>
          <w:color w:val="000000"/>
          <w:sz w:val="26"/>
          <w:szCs w:val="26"/>
          <w:rtl w:val="0"/>
        </w:rPr>
        <w:t xml:space="preserve">Ocejo, Richard E. 2014. “Show the Animal: Constructing and Communicating New Elite Food Tastes at Upscale Butcher Shops.” Poetics. 47: 106-121.</w:t>
      </w:r>
      <w:r w:rsidDel="00000000" w:rsidR="00000000" w:rsidRPr="00000000">
        <w:rPr>
          <w:rtl w:val="0"/>
        </w:rPr>
      </w:r>
    </w:p>
    <w:p w:rsidR="00000000" w:rsidDel="00000000" w:rsidP="00000000" w:rsidRDefault="00000000" w:rsidRPr="00000000" w14:paraId="000000DA">
      <w:pPr>
        <w:pStyle w:val="Heading6"/>
        <w:keepNext w:val="0"/>
        <w:keepLines w:val="0"/>
        <w:pageBreakBefore w:val="0"/>
        <w:spacing w:after="0" w:lineRule="auto"/>
        <w:ind w:left="720" w:hanging="720"/>
        <w:jc w:val="both"/>
        <w:rPr/>
      </w:pPr>
      <w:bookmarkStart w:colFirst="0" w:colLast="0" w:name="_2nusc19" w:id="85"/>
      <w:bookmarkEnd w:id="85"/>
      <w:r w:rsidDel="00000000" w:rsidR="00000000" w:rsidRPr="00000000">
        <w:rPr>
          <w:rFonts w:ascii="Garamond" w:cs="Garamond" w:eastAsia="Garamond" w:hAnsi="Garamond"/>
          <w:color w:val="000000"/>
          <w:sz w:val="26"/>
          <w:szCs w:val="26"/>
          <w:rtl w:val="0"/>
        </w:rPr>
        <w:t xml:space="preserve">Park, Marlene and Gerald E. Markowitz. 1984. Democratic Vistas: Post Offices and Public Art in the New Deal. Philadelphia: Temple University Press.</w:t>
      </w:r>
      <w:r w:rsidDel="00000000" w:rsidR="00000000" w:rsidRPr="00000000">
        <w:rPr>
          <w:rtl w:val="0"/>
        </w:rPr>
      </w:r>
    </w:p>
    <w:p w:rsidR="00000000" w:rsidDel="00000000" w:rsidP="00000000" w:rsidRDefault="00000000" w:rsidRPr="00000000" w14:paraId="000000DB">
      <w:pPr>
        <w:pStyle w:val="Heading6"/>
        <w:keepNext w:val="0"/>
        <w:keepLines w:val="0"/>
        <w:pageBreakBefore w:val="0"/>
        <w:spacing w:after="0" w:lineRule="auto"/>
        <w:ind w:left="720" w:hanging="720"/>
        <w:jc w:val="both"/>
        <w:rPr/>
      </w:pPr>
      <w:bookmarkStart w:colFirst="0" w:colLast="0" w:name="_1302m92" w:id="86"/>
      <w:bookmarkEnd w:id="86"/>
      <w:r w:rsidDel="00000000" w:rsidR="00000000" w:rsidRPr="00000000">
        <w:rPr>
          <w:rFonts w:ascii="Garamond" w:cs="Garamond" w:eastAsia="Garamond" w:hAnsi="Garamond"/>
          <w:color w:val="000000"/>
          <w:sz w:val="26"/>
          <w:szCs w:val="26"/>
          <w:rtl w:val="0"/>
        </w:rPr>
        <w:t xml:space="preserve">Peterson, Richard A. 2005. “Problems in Comparative Research: The Example of Omnnivorousness.”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33:257-282.</w:t>
      </w:r>
      <w:r w:rsidDel="00000000" w:rsidR="00000000" w:rsidRPr="00000000">
        <w:rPr>
          <w:rtl w:val="0"/>
        </w:rPr>
      </w:r>
    </w:p>
    <w:p w:rsidR="00000000" w:rsidDel="00000000" w:rsidP="00000000" w:rsidRDefault="00000000" w:rsidRPr="00000000" w14:paraId="000000DC">
      <w:pPr>
        <w:pStyle w:val="Heading6"/>
        <w:keepNext w:val="0"/>
        <w:keepLines w:val="0"/>
        <w:pageBreakBefore w:val="0"/>
        <w:spacing w:after="0" w:lineRule="auto"/>
        <w:ind w:left="720" w:hanging="720"/>
        <w:jc w:val="both"/>
        <w:rPr/>
      </w:pPr>
      <w:bookmarkStart w:colFirst="0" w:colLast="0" w:name="_3mzq4wv" w:id="87"/>
      <w:bookmarkEnd w:id="87"/>
      <w:r w:rsidDel="00000000" w:rsidR="00000000" w:rsidRPr="00000000">
        <w:rPr>
          <w:rFonts w:ascii="Garamond" w:cs="Garamond" w:eastAsia="Garamond" w:hAnsi="Garamond"/>
          <w:color w:val="000000"/>
          <w:sz w:val="26"/>
          <w:szCs w:val="26"/>
          <w:rtl w:val="0"/>
        </w:rPr>
        <w:t xml:space="preserve">Peterson, Richard A. and Albert Simkus. 1992. "How Musical Taste Groups Mark Occupational Status Groups." Pp. 152-68 in Cultivating Differences: Symbolic Boundaries and the Making of Inequality, edited by M. Lamont and M. Fournier. Chicago, IL: University of Chicago Press.</w:t>
      </w:r>
      <w:r w:rsidDel="00000000" w:rsidR="00000000" w:rsidRPr="00000000">
        <w:rPr>
          <w:rtl w:val="0"/>
        </w:rPr>
      </w:r>
    </w:p>
    <w:p w:rsidR="00000000" w:rsidDel="00000000" w:rsidP="00000000" w:rsidRDefault="00000000" w:rsidRPr="00000000" w14:paraId="000000DD">
      <w:pPr>
        <w:pStyle w:val="Heading6"/>
        <w:keepNext w:val="0"/>
        <w:keepLines w:val="0"/>
        <w:pageBreakBefore w:val="0"/>
        <w:spacing w:after="0" w:lineRule="auto"/>
        <w:ind w:left="720" w:hanging="720"/>
        <w:jc w:val="both"/>
        <w:rPr/>
      </w:pPr>
      <w:bookmarkStart w:colFirst="0" w:colLast="0" w:name="_2250f4o" w:id="88"/>
      <w:bookmarkEnd w:id="88"/>
      <w:r w:rsidDel="00000000" w:rsidR="00000000" w:rsidRPr="00000000">
        <w:rPr>
          <w:rFonts w:ascii="Garamond" w:cs="Garamond" w:eastAsia="Garamond" w:hAnsi="Garamond"/>
          <w:color w:val="000000"/>
          <w:sz w:val="26"/>
          <w:szCs w:val="26"/>
          <w:rtl w:val="0"/>
        </w:rPr>
        <w:t xml:space="preserve">Peterson, Richard A. and Roger M. Kern. 1996. “Changing Highbrow Taste: From Snob to Omnivore.”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Vol. 61: 900-907.</w:t>
      </w:r>
      <w:r w:rsidDel="00000000" w:rsidR="00000000" w:rsidRPr="00000000">
        <w:rPr>
          <w:rtl w:val="0"/>
        </w:rPr>
      </w:r>
    </w:p>
    <w:p w:rsidR="00000000" w:rsidDel="00000000" w:rsidP="00000000" w:rsidRDefault="00000000" w:rsidRPr="00000000" w14:paraId="000000DE">
      <w:pPr>
        <w:pStyle w:val="Heading6"/>
        <w:keepNext w:val="0"/>
        <w:keepLines w:val="0"/>
        <w:pageBreakBefore w:val="0"/>
        <w:spacing w:after="0" w:lineRule="auto"/>
        <w:ind w:left="720" w:hanging="720"/>
        <w:jc w:val="both"/>
        <w:rPr/>
      </w:pPr>
      <w:r w:rsidDel="00000000" w:rsidR="00000000" w:rsidRPr="00000000">
        <w:rPr>
          <w:rFonts w:ascii="Garamond" w:cs="Garamond" w:eastAsia="Garamond" w:hAnsi="Garamond"/>
          <w:color w:val="000000"/>
          <w:sz w:val="26"/>
          <w:szCs w:val="26"/>
          <w:rtl w:val="0"/>
        </w:rPr>
        <w:t xml:space="preserve">Peterson, Richard A. and Gabriel Rossman. 2008. “Changing Arts Audiences: Capitalizing on Omnivorousness.” Pp. 307-342 in Steven Tepper and Bill Ivey (eds). Engaging Art: The Next Great Transformation of Americans’ Cultural Life. New York: Routledge. </w:t>
      </w:r>
      <w:r w:rsidDel="00000000" w:rsidR="00000000" w:rsidRPr="00000000">
        <w:rPr>
          <w:rtl w:val="0"/>
        </w:rPr>
      </w:r>
    </w:p>
    <w:p w:rsidR="00000000" w:rsidDel="00000000" w:rsidP="00000000" w:rsidRDefault="00000000" w:rsidRPr="00000000" w14:paraId="000000DF">
      <w:pPr>
        <w:pStyle w:val="Heading6"/>
        <w:keepNext w:val="0"/>
        <w:keepLines w:val="0"/>
        <w:pageBreakBefore w:val="0"/>
        <w:spacing w:after="0" w:lineRule="auto"/>
        <w:ind w:left="720" w:hanging="720"/>
        <w:jc w:val="both"/>
        <w:rPr/>
      </w:pPr>
      <w:bookmarkStart w:colFirst="0" w:colLast="0" w:name="_haapch" w:id="89"/>
      <w:bookmarkEnd w:id="89"/>
      <w:r w:rsidDel="00000000" w:rsidR="00000000" w:rsidRPr="00000000">
        <w:rPr>
          <w:rFonts w:ascii="Garamond" w:cs="Garamond" w:eastAsia="Garamond" w:hAnsi="Garamond"/>
          <w:color w:val="000000"/>
          <w:sz w:val="26"/>
          <w:szCs w:val="26"/>
          <w:rtl w:val="0"/>
        </w:rPr>
        <w:t xml:space="preserve">Prieur, Annick, and Mike Savage. 2013. “Emerging forms of cultural capital.” </w:t>
      </w:r>
      <w:r w:rsidDel="00000000" w:rsidR="00000000" w:rsidRPr="00000000">
        <w:rPr>
          <w:rFonts w:ascii="Garamond" w:cs="Garamond" w:eastAsia="Garamond" w:hAnsi="Garamond"/>
          <w:i w:val="1"/>
          <w:iCs w:val="1"/>
          <w:color w:val="000000"/>
          <w:sz w:val="26"/>
          <w:szCs w:val="26"/>
          <w:rtl w:val="0"/>
        </w:rPr>
        <w:t xml:space="preserve">European Societies</w:t>
      </w:r>
      <w:r w:rsidDel="00000000" w:rsidR="00000000" w:rsidRPr="00000000">
        <w:rPr>
          <w:rFonts w:ascii="Garamond" w:cs="Garamond" w:eastAsia="Garamond" w:hAnsi="Garamond"/>
          <w:color w:val="000000"/>
          <w:sz w:val="26"/>
          <w:szCs w:val="26"/>
          <w:rtl w:val="0"/>
        </w:rPr>
        <w:t xml:space="preserve"> 15: 246-267.</w:t>
      </w:r>
      <w:r w:rsidDel="00000000" w:rsidR="00000000" w:rsidRPr="00000000">
        <w:rPr>
          <w:rtl w:val="0"/>
        </w:rPr>
      </w:r>
    </w:p>
    <w:p w:rsidR="00000000" w:rsidDel="00000000" w:rsidP="00000000" w:rsidRDefault="00000000" w:rsidRPr="00000000" w14:paraId="000000E0">
      <w:pPr>
        <w:pStyle w:val="Heading6"/>
        <w:keepNext w:val="0"/>
        <w:keepLines w:val="0"/>
        <w:pageBreakBefore w:val="0"/>
        <w:spacing w:after="0" w:lineRule="auto"/>
        <w:ind w:left="720" w:hanging="720"/>
        <w:jc w:val="both"/>
        <w:rPr/>
      </w:pPr>
      <w:bookmarkStart w:colFirst="0" w:colLast="0" w:name="_319y80a" w:id="90"/>
      <w:bookmarkEnd w:id="90"/>
      <w:r w:rsidDel="00000000" w:rsidR="00000000" w:rsidRPr="00000000">
        <w:rPr>
          <w:rFonts w:ascii="Garamond" w:cs="Garamond" w:eastAsia="Garamond" w:hAnsi="Garamond"/>
          <w:color w:val="000000"/>
          <w:sz w:val="26"/>
          <w:szCs w:val="26"/>
          <w:rtl w:val="0"/>
        </w:rPr>
        <w:t xml:space="preserve">Rabe-Hesketh, Sophia and Anders Skrondal. 2008. Multilevel and longitudinal modeling using Stata. Stata Press.</w:t>
      </w:r>
      <w:r w:rsidDel="00000000" w:rsidR="00000000" w:rsidRPr="00000000">
        <w:rPr>
          <w:rtl w:val="0"/>
        </w:rPr>
      </w:r>
    </w:p>
    <w:p w:rsidR="00000000" w:rsidDel="00000000" w:rsidP="00000000" w:rsidRDefault="00000000" w:rsidRPr="00000000" w14:paraId="000000E1">
      <w:pPr>
        <w:pStyle w:val="Heading6"/>
        <w:keepNext w:val="0"/>
        <w:keepLines w:val="0"/>
        <w:pageBreakBefore w:val="0"/>
        <w:spacing w:after="0" w:lineRule="auto"/>
        <w:ind w:left="720" w:hanging="720"/>
        <w:jc w:val="both"/>
        <w:rPr/>
      </w:pPr>
      <w:bookmarkStart w:colFirst="0" w:colLast="0" w:name="_1gf8i83" w:id="91"/>
      <w:bookmarkEnd w:id="91"/>
      <w:r w:rsidDel="00000000" w:rsidR="00000000" w:rsidRPr="00000000">
        <w:rPr>
          <w:rFonts w:ascii="Garamond" w:cs="Garamond" w:eastAsia="Garamond" w:hAnsi="Garamond"/>
          <w:color w:val="000000"/>
          <w:sz w:val="26"/>
          <w:szCs w:val="26"/>
          <w:rtl w:val="0"/>
        </w:rPr>
        <w:t xml:space="preserve">Reeves, Aaron. 2015. “Age-period-cohort and cultural engagement.” Pp. 116-131 in L. Hanquinet and M. Savage (Eds). Routledge International Handbook of the Sociology of Art and Culture. London: Routledge. </w:t>
      </w:r>
      <w:r w:rsidDel="00000000" w:rsidR="00000000" w:rsidRPr="00000000">
        <w:rPr>
          <w:rtl w:val="0"/>
        </w:rPr>
      </w:r>
    </w:p>
    <w:p w:rsidR="00000000" w:rsidDel="00000000" w:rsidP="00000000" w:rsidRDefault="00000000" w:rsidRPr="00000000" w14:paraId="000000E2">
      <w:pPr>
        <w:pStyle w:val="Heading6"/>
        <w:keepNext w:val="0"/>
        <w:keepLines w:val="0"/>
        <w:pageBreakBefore w:val="0"/>
        <w:spacing w:after="0" w:lineRule="auto"/>
        <w:ind w:left="720" w:hanging="720"/>
        <w:jc w:val="both"/>
        <w:rPr/>
      </w:pPr>
      <w:bookmarkStart w:colFirst="0" w:colLast="0" w:name="_40ew0vw" w:id="92"/>
      <w:bookmarkEnd w:id="92"/>
      <w:r w:rsidDel="00000000" w:rsidR="00000000" w:rsidRPr="00000000">
        <w:rPr>
          <w:rFonts w:ascii="Garamond" w:cs="Garamond" w:eastAsia="Garamond" w:hAnsi="Garamond"/>
          <w:color w:val="000000"/>
          <w:sz w:val="26"/>
          <w:szCs w:val="26"/>
          <w:rtl w:val="0"/>
        </w:rPr>
        <w:t xml:space="preserve">Rossman, Gabriel. 2012 Climbing The Charts: What Radio Airplay Tells Us About The Diffusion of Innovation. Princeton, NJ: Princeton University Press.</w:t>
      </w:r>
      <w:r w:rsidDel="00000000" w:rsidR="00000000" w:rsidRPr="00000000">
        <w:rPr>
          <w:rtl w:val="0"/>
        </w:rPr>
      </w:r>
    </w:p>
    <w:p w:rsidR="00000000" w:rsidDel="00000000" w:rsidP="00000000" w:rsidRDefault="00000000" w:rsidRPr="00000000" w14:paraId="000000E3">
      <w:pPr>
        <w:pStyle w:val="Heading6"/>
        <w:keepNext w:val="0"/>
        <w:keepLines w:val="0"/>
        <w:pageBreakBefore w:val="0"/>
        <w:spacing w:after="0" w:lineRule="auto"/>
        <w:ind w:left="720" w:hanging="720"/>
        <w:jc w:val="both"/>
        <w:rPr/>
      </w:pPr>
      <w:bookmarkStart w:colFirst="0" w:colLast="0" w:name="_2fk6b3p" w:id="93"/>
      <w:bookmarkEnd w:id="93"/>
      <w:r w:rsidDel="00000000" w:rsidR="00000000" w:rsidRPr="00000000">
        <w:rPr>
          <w:rFonts w:ascii="Garamond" w:cs="Garamond" w:eastAsia="Garamond" w:hAnsi="Garamond"/>
          <w:color w:val="000000"/>
          <w:sz w:val="26"/>
          <w:szCs w:val="26"/>
          <w:rtl w:val="0"/>
        </w:rPr>
        <w:t xml:space="preserve">Rossman, Gabriel and Richard A. Peterson. 2015. “The Instability of Omnivorous Cultural Taste Over Time.” </w:t>
      </w:r>
      <w:r w:rsidDel="00000000" w:rsidR="00000000" w:rsidRPr="00000000">
        <w:rPr>
          <w:rFonts w:ascii="Garamond" w:cs="Garamond" w:eastAsia="Garamond" w:hAnsi="Garamond"/>
          <w:i w:val="1"/>
          <w:iCs w:val="1"/>
          <w:color w:val="000000"/>
          <w:sz w:val="26"/>
          <w:szCs w:val="26"/>
          <w:rtl w:val="0"/>
        </w:rPr>
        <w:t xml:space="preserve">Poetics</w:t>
      </w:r>
      <w:r w:rsidDel="00000000" w:rsidR="00000000" w:rsidRPr="00000000">
        <w:rPr>
          <w:rFonts w:ascii="Garamond" w:cs="Garamond" w:eastAsia="Garamond" w:hAnsi="Garamond"/>
          <w:color w:val="000000"/>
          <w:sz w:val="26"/>
          <w:szCs w:val="26"/>
          <w:rtl w:val="0"/>
        </w:rPr>
        <w:t xml:space="preserve"> 52: 139-153.</w:t>
      </w:r>
      <w:r w:rsidDel="00000000" w:rsidR="00000000" w:rsidRPr="00000000">
        <w:rPr>
          <w:rtl w:val="0"/>
        </w:rPr>
      </w:r>
    </w:p>
    <w:p w:rsidR="00000000" w:rsidDel="00000000" w:rsidP="00000000" w:rsidRDefault="00000000" w:rsidRPr="00000000" w14:paraId="000000E4">
      <w:pPr>
        <w:pStyle w:val="Heading6"/>
        <w:keepNext w:val="0"/>
        <w:keepLines w:val="0"/>
        <w:pageBreakBefore w:val="0"/>
        <w:spacing w:after="0" w:lineRule="auto"/>
        <w:ind w:left="720" w:hanging="720"/>
        <w:jc w:val="both"/>
        <w:rPr/>
      </w:pPr>
      <w:bookmarkStart w:colFirst="0" w:colLast="0" w:name="_upglbi" w:id="94"/>
      <w:bookmarkEnd w:id="94"/>
      <w:r w:rsidDel="00000000" w:rsidR="00000000" w:rsidRPr="00000000">
        <w:rPr>
          <w:rFonts w:ascii="Garamond" w:cs="Garamond" w:eastAsia="Garamond" w:hAnsi="Garamond"/>
          <w:color w:val="000000"/>
          <w:sz w:val="26"/>
          <w:szCs w:val="26"/>
          <w:rtl w:val="0"/>
        </w:rPr>
        <w:t xml:space="preserve">Ryder, Norman B. 1965. “The cohort as a Concept in the Study of Social Change.”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30 (6): 843-861.</w:t>
      </w:r>
      <w:r w:rsidDel="00000000" w:rsidR="00000000" w:rsidRPr="00000000">
        <w:rPr>
          <w:rtl w:val="0"/>
        </w:rPr>
      </w:r>
    </w:p>
    <w:p w:rsidR="00000000" w:rsidDel="00000000" w:rsidP="00000000" w:rsidRDefault="00000000" w:rsidRPr="00000000" w14:paraId="000000E5">
      <w:pPr>
        <w:pStyle w:val="Heading6"/>
        <w:keepNext w:val="0"/>
        <w:keepLines w:val="0"/>
        <w:pageBreakBefore w:val="0"/>
        <w:spacing w:after="0" w:lineRule="auto"/>
        <w:ind w:left="720" w:hanging="720"/>
        <w:jc w:val="both"/>
        <w:rPr/>
      </w:pPr>
      <w:bookmarkStart w:colFirst="0" w:colLast="0" w:name="_3ep43zb" w:id="95"/>
      <w:bookmarkEnd w:id="95"/>
      <w:r w:rsidDel="00000000" w:rsidR="00000000" w:rsidRPr="00000000">
        <w:rPr>
          <w:rFonts w:ascii="Garamond" w:cs="Garamond" w:eastAsia="Garamond" w:hAnsi="Garamond"/>
          <w:color w:val="000000"/>
          <w:sz w:val="26"/>
          <w:szCs w:val="26"/>
          <w:rtl w:val="0"/>
        </w:rPr>
        <w:t xml:space="preserve">Saito, Hiro. 2011. “An Actor-Network Theory of Cosmopolitanism.” </w:t>
      </w:r>
      <w:r w:rsidDel="00000000" w:rsidR="00000000" w:rsidRPr="00000000">
        <w:rPr>
          <w:rFonts w:ascii="Garamond" w:cs="Garamond" w:eastAsia="Garamond" w:hAnsi="Garamond"/>
          <w:i w:val="1"/>
          <w:iCs w:val="1"/>
          <w:color w:val="000000"/>
          <w:sz w:val="26"/>
          <w:szCs w:val="26"/>
          <w:rtl w:val="0"/>
        </w:rPr>
        <w:t xml:space="preserve">Sociological Theory</w:t>
      </w:r>
      <w:r w:rsidDel="00000000" w:rsidR="00000000" w:rsidRPr="00000000">
        <w:rPr>
          <w:rFonts w:ascii="Garamond" w:cs="Garamond" w:eastAsia="Garamond" w:hAnsi="Garamond"/>
          <w:color w:val="000000"/>
          <w:sz w:val="26"/>
          <w:szCs w:val="26"/>
          <w:rtl w:val="0"/>
        </w:rPr>
        <w:t xml:space="preserve"> 29(2): 124-149.</w:t>
      </w:r>
      <w:r w:rsidDel="00000000" w:rsidR="00000000" w:rsidRPr="00000000">
        <w:rPr>
          <w:rtl w:val="0"/>
        </w:rPr>
      </w:r>
    </w:p>
    <w:p w:rsidR="00000000" w:rsidDel="00000000" w:rsidP="00000000" w:rsidRDefault="00000000" w:rsidRPr="00000000" w14:paraId="000000E6">
      <w:pPr>
        <w:pStyle w:val="Heading6"/>
        <w:keepNext w:val="0"/>
        <w:keepLines w:val="0"/>
        <w:pageBreakBefore w:val="0"/>
        <w:spacing w:after="0" w:lineRule="auto"/>
        <w:ind w:left="720" w:hanging="720"/>
        <w:jc w:val="both"/>
        <w:rPr/>
      </w:pPr>
      <w:bookmarkStart w:colFirst="0" w:colLast="0" w:name="_1tuee74" w:id="96"/>
      <w:bookmarkEnd w:id="96"/>
      <w:r w:rsidDel="00000000" w:rsidR="00000000" w:rsidRPr="00000000">
        <w:rPr>
          <w:rFonts w:ascii="Garamond" w:cs="Garamond" w:eastAsia="Garamond" w:hAnsi="Garamond"/>
          <w:color w:val="000000"/>
          <w:sz w:val="26"/>
          <w:szCs w:val="26"/>
          <w:rtl w:val="0"/>
        </w:rPr>
        <w:t xml:space="preserve">Schuman, Howard, and Cheryl Rieger. 1992. “Historical analogies, generational effects, and attitudes toward war.” </w:t>
      </w:r>
      <w:r w:rsidDel="00000000" w:rsidR="00000000" w:rsidRPr="00000000">
        <w:rPr>
          <w:rFonts w:ascii="Garamond" w:cs="Garamond" w:eastAsia="Garamond" w:hAnsi="Garamond"/>
          <w:i w:val="1"/>
          <w:iCs w:val="1"/>
          <w:color w:val="000000"/>
          <w:sz w:val="26"/>
          <w:szCs w:val="26"/>
          <w:rtl w:val="0"/>
        </w:rPr>
        <w:t xml:space="preserve">American Sociological Review</w:t>
      </w:r>
      <w:r w:rsidDel="00000000" w:rsidR="00000000" w:rsidRPr="00000000">
        <w:rPr>
          <w:rFonts w:ascii="Garamond" w:cs="Garamond" w:eastAsia="Garamond" w:hAnsi="Garamond"/>
          <w:color w:val="000000"/>
          <w:sz w:val="26"/>
          <w:szCs w:val="26"/>
          <w:rtl w:val="0"/>
        </w:rPr>
        <w:t xml:space="preserve"> 57: 315-326.</w:t>
      </w:r>
      <w:r w:rsidDel="00000000" w:rsidR="00000000" w:rsidRPr="00000000">
        <w:rPr>
          <w:rtl w:val="0"/>
        </w:rPr>
      </w:r>
    </w:p>
    <w:p w:rsidR="00000000" w:rsidDel="00000000" w:rsidP="00000000" w:rsidRDefault="00000000" w:rsidRPr="00000000" w14:paraId="000000E7">
      <w:pPr>
        <w:pStyle w:val="Heading6"/>
        <w:keepNext w:val="0"/>
        <w:keepLines w:val="0"/>
        <w:pageBreakBefore w:val="0"/>
        <w:spacing w:after="0" w:lineRule="auto"/>
        <w:ind w:left="720" w:hanging="720"/>
        <w:jc w:val="both"/>
        <w:rPr/>
      </w:pPr>
      <w:bookmarkStart w:colFirst="0" w:colLast="0" w:name="_4du1wux" w:id="97"/>
      <w:bookmarkEnd w:id="97"/>
      <w:r w:rsidDel="00000000" w:rsidR="00000000" w:rsidRPr="00000000">
        <w:rPr>
          <w:rFonts w:ascii="Garamond" w:cs="Garamond" w:eastAsia="Garamond" w:hAnsi="Garamond"/>
          <w:color w:val="000000"/>
          <w:sz w:val="26"/>
          <w:szCs w:val="26"/>
          <w:rtl w:val="0"/>
        </w:rPr>
        <w:t xml:space="preserve">Schuman, Howard, and Amy D Corning. 2000. “Collective Knowledge of Public Events: The Soviet Era From The Great Purge to Glasnost.” American Journal of Sociology 105: 913-956.</w:t>
      </w:r>
      <w:r w:rsidDel="00000000" w:rsidR="00000000" w:rsidRPr="00000000">
        <w:rPr>
          <w:rtl w:val="0"/>
        </w:rPr>
      </w:r>
    </w:p>
    <w:p w:rsidR="00000000" w:rsidDel="00000000" w:rsidP="00000000" w:rsidRDefault="00000000" w:rsidRPr="00000000" w14:paraId="000000E8">
      <w:pPr>
        <w:pStyle w:val="Heading6"/>
        <w:keepNext w:val="0"/>
        <w:keepLines w:val="0"/>
        <w:pageBreakBefore w:val="0"/>
        <w:spacing w:after="0" w:lineRule="auto"/>
        <w:ind w:left="720" w:hanging="720"/>
        <w:jc w:val="both"/>
        <w:rPr/>
      </w:pPr>
      <w:bookmarkStart w:colFirst="0" w:colLast="0" w:name="_2szc72q" w:id="98"/>
      <w:bookmarkEnd w:id="98"/>
      <w:r w:rsidDel="00000000" w:rsidR="00000000" w:rsidRPr="00000000">
        <w:rPr>
          <w:rFonts w:ascii="Garamond" w:cs="Garamond" w:eastAsia="Garamond" w:hAnsi="Garamond"/>
          <w:color w:val="000000"/>
          <w:sz w:val="26"/>
          <w:szCs w:val="26"/>
          <w:rtl w:val="0"/>
        </w:rPr>
        <w:t xml:space="preserve">Schneiberg, Marc, and Elisabeth S. Clemens. 2006. “The Typical Tools for the Job: Research Strategies in Institutional Analysis.” Sociological Theory 24: 195-227.</w:t>
      </w:r>
      <w:r w:rsidDel="00000000" w:rsidR="00000000" w:rsidRPr="00000000">
        <w:rPr>
          <w:rtl w:val="0"/>
        </w:rPr>
      </w:r>
    </w:p>
    <w:p w:rsidR="00000000" w:rsidDel="00000000" w:rsidP="00000000" w:rsidRDefault="00000000" w:rsidRPr="00000000" w14:paraId="000000E9">
      <w:pPr>
        <w:pStyle w:val="Heading6"/>
        <w:keepNext w:val="0"/>
        <w:keepLines w:val="0"/>
        <w:pageBreakBefore w:val="0"/>
        <w:spacing w:after="0" w:lineRule="auto"/>
        <w:ind w:left="720" w:hanging="720"/>
        <w:jc w:val="both"/>
        <w:rPr/>
      </w:pPr>
      <w:bookmarkStart w:colFirst="0" w:colLast="0" w:name="_184mhaj" w:id="99"/>
      <w:bookmarkEnd w:id="99"/>
      <w:r w:rsidDel="00000000" w:rsidR="00000000" w:rsidRPr="00000000">
        <w:rPr>
          <w:rFonts w:ascii="Garamond" w:cs="Garamond" w:eastAsia="Garamond" w:hAnsi="Garamond"/>
          <w:color w:val="000000"/>
          <w:sz w:val="26"/>
          <w:szCs w:val="26"/>
          <w:rtl w:val="0"/>
        </w:rPr>
        <w:t xml:space="preserve">Shils, Edward, 1958. “Mass society and its culture.” Daedalus: Journal of the American Academy of Arts and Sciences 89, 2.</w:t>
      </w:r>
      <w:r w:rsidDel="00000000" w:rsidR="00000000" w:rsidRPr="00000000">
        <w:rPr>
          <w:rtl w:val="0"/>
        </w:rPr>
      </w:r>
    </w:p>
    <w:p w:rsidR="00000000" w:rsidDel="00000000" w:rsidP="00000000" w:rsidRDefault="00000000" w:rsidRPr="00000000" w14:paraId="000000EA">
      <w:pPr>
        <w:pStyle w:val="Heading6"/>
        <w:keepNext w:val="0"/>
        <w:keepLines w:val="0"/>
        <w:pageBreakBefore w:val="0"/>
        <w:spacing w:after="0" w:lineRule="auto"/>
        <w:ind w:left="720" w:hanging="720"/>
        <w:jc w:val="both"/>
        <w:rPr/>
      </w:pPr>
      <w:bookmarkStart w:colFirst="0" w:colLast="0" w:name="_3s49zyc" w:id="100"/>
      <w:bookmarkEnd w:id="100"/>
      <w:r w:rsidDel="00000000" w:rsidR="00000000" w:rsidRPr="00000000">
        <w:rPr>
          <w:rFonts w:ascii="Garamond" w:cs="Garamond" w:eastAsia="Garamond" w:hAnsi="Garamond"/>
          <w:color w:val="000000"/>
          <w:sz w:val="26"/>
          <w:szCs w:val="26"/>
          <w:rtl w:val="0"/>
        </w:rPr>
        <w:t xml:space="preserve">Spillman, Lyn. 2014. “Mixed Methods and the Logic of Qualitative Inference.” Qualitative Sociology 37(2): 189-205.</w:t>
      </w:r>
      <w:r w:rsidDel="00000000" w:rsidR="00000000" w:rsidRPr="00000000">
        <w:rPr>
          <w:rtl w:val="0"/>
        </w:rPr>
      </w:r>
    </w:p>
    <w:p w:rsidR="00000000" w:rsidDel="00000000" w:rsidP="00000000" w:rsidRDefault="00000000" w:rsidRPr="00000000" w14:paraId="000000EB">
      <w:pPr>
        <w:pStyle w:val="Heading6"/>
        <w:keepNext w:val="0"/>
        <w:keepLines w:val="0"/>
        <w:pageBreakBefore w:val="0"/>
        <w:spacing w:after="0" w:lineRule="auto"/>
        <w:ind w:left="720" w:hanging="720"/>
        <w:jc w:val="both"/>
        <w:rPr/>
      </w:pPr>
      <w:bookmarkStart w:colFirst="0" w:colLast="0" w:name="_279ka65" w:id="101"/>
      <w:bookmarkEnd w:id="101"/>
      <w:r w:rsidDel="00000000" w:rsidR="00000000" w:rsidRPr="00000000">
        <w:rPr>
          <w:rFonts w:ascii="Garamond" w:cs="Garamond" w:eastAsia="Garamond" w:hAnsi="Garamond"/>
          <w:color w:val="000000"/>
          <w:sz w:val="26"/>
          <w:szCs w:val="26"/>
          <w:rtl w:val="0"/>
        </w:rPr>
        <w:t xml:space="preserve">van Eijck, Koen. 2001. “Social Differentiation in Musical Taste Patterns.” Social Forces 79(3): 1163-1185.</w:t>
      </w:r>
      <w:r w:rsidDel="00000000" w:rsidR="00000000" w:rsidRPr="00000000">
        <w:rPr>
          <w:rtl w:val="0"/>
        </w:rPr>
      </w:r>
    </w:p>
    <w:p w:rsidR="00000000" w:rsidDel="00000000" w:rsidP="00000000" w:rsidRDefault="00000000" w:rsidRPr="00000000" w14:paraId="000000EC">
      <w:pPr>
        <w:pStyle w:val="Heading6"/>
        <w:keepNext w:val="0"/>
        <w:keepLines w:val="0"/>
        <w:pageBreakBefore w:val="0"/>
        <w:spacing w:after="0" w:lineRule="auto"/>
        <w:ind w:left="720" w:hanging="720"/>
        <w:jc w:val="both"/>
        <w:rPr/>
      </w:pPr>
      <w:bookmarkStart w:colFirst="0" w:colLast="0" w:name="_meukdy" w:id="102"/>
      <w:bookmarkEnd w:id="102"/>
      <w:r w:rsidDel="00000000" w:rsidR="00000000" w:rsidRPr="00000000">
        <w:rPr>
          <w:rFonts w:ascii="Garamond" w:cs="Garamond" w:eastAsia="Garamond" w:hAnsi="Garamond"/>
          <w:color w:val="000000"/>
          <w:sz w:val="26"/>
          <w:szCs w:val="26"/>
          <w:rtl w:val="0"/>
        </w:rPr>
        <w:t xml:space="preserve">Weber, William. 1977. “Mass culture and the reshaping of European musical taste, 1770-1870.” International Review of The Aesthetics and Sociology of Music 8: 5-22.</w:t>
      </w:r>
      <w:r w:rsidDel="00000000" w:rsidR="00000000" w:rsidRPr="00000000">
        <w:rPr>
          <w:rtl w:val="0"/>
        </w:rPr>
      </w:r>
    </w:p>
    <w:p w:rsidR="00000000" w:rsidDel="00000000" w:rsidP="00000000" w:rsidRDefault="00000000" w:rsidRPr="00000000" w14:paraId="000000ED">
      <w:pPr>
        <w:pStyle w:val="Heading6"/>
        <w:keepNext w:val="0"/>
        <w:keepLines w:val="0"/>
        <w:pageBreakBefore w:val="0"/>
        <w:spacing w:after="0" w:lineRule="auto"/>
        <w:ind w:left="720" w:hanging="720"/>
        <w:jc w:val="both"/>
        <w:rPr/>
      </w:pPr>
      <w:bookmarkStart w:colFirst="0" w:colLast="0" w:name="_36ei31r" w:id="103"/>
      <w:bookmarkEnd w:id="103"/>
      <w:r w:rsidDel="00000000" w:rsidR="00000000" w:rsidRPr="00000000">
        <w:rPr>
          <w:rFonts w:ascii="Garamond" w:cs="Garamond" w:eastAsia="Garamond" w:hAnsi="Garamond"/>
          <w:color w:val="000000"/>
          <w:sz w:val="26"/>
          <w:szCs w:val="26"/>
          <w:rtl w:val="0"/>
        </w:rPr>
        <w:t xml:space="preserve">Wright, David, Semi Purhonen, and Riie Heikkilä. 2013. “Comparing ‘Cosmopolitanism’: Taste, Nation and Global Culture in Finland and the UK.” Comparative Sociology 12(3): 330–60.</w:t>
      </w:r>
      <w:r w:rsidDel="00000000" w:rsidR="00000000" w:rsidRPr="00000000">
        <w:rPr>
          <w:rtl w:val="0"/>
        </w:rPr>
      </w:r>
    </w:p>
    <w:p w:rsidR="00000000" w:rsidDel="00000000" w:rsidP="00000000" w:rsidRDefault="00000000" w:rsidRPr="00000000" w14:paraId="000000EE">
      <w:pPr>
        <w:pStyle w:val="Heading6"/>
        <w:keepNext w:val="0"/>
        <w:keepLines w:val="0"/>
        <w:pageBreakBefore w:val="0"/>
        <w:spacing w:after="0" w:lineRule="auto"/>
        <w:ind w:left="720" w:hanging="720"/>
        <w:jc w:val="both"/>
        <w:rPr/>
      </w:pPr>
      <w:bookmarkStart w:colFirst="0" w:colLast="0" w:name="_1ljsd9k" w:id="104"/>
      <w:bookmarkEnd w:id="104"/>
      <w:r w:rsidDel="00000000" w:rsidR="00000000" w:rsidRPr="00000000">
        <w:rPr>
          <w:rFonts w:ascii="Garamond" w:cs="Garamond" w:eastAsia="Garamond" w:hAnsi="Garamond"/>
          <w:color w:val="000000"/>
          <w:sz w:val="26"/>
          <w:szCs w:val="26"/>
          <w:rtl w:val="0"/>
        </w:rPr>
        <w:t xml:space="preserve">Wright, David. 2011. “Making Tastes for Everything: Omnivorousness and Cultural Abundance.” Journal for Cultural Research 15: 355-371.</w:t>
      </w:r>
      <w:r w:rsidDel="00000000" w:rsidR="00000000" w:rsidRPr="00000000">
        <w:rPr>
          <w:rtl w:val="0"/>
        </w:rPr>
      </w:r>
    </w:p>
    <w:p w:rsidR="00000000" w:rsidDel="00000000" w:rsidP="00000000" w:rsidRDefault="00000000" w:rsidRPr="00000000" w14:paraId="000000EF">
      <w:pPr>
        <w:pStyle w:val="Heading6"/>
        <w:keepNext w:val="0"/>
        <w:keepLines w:val="0"/>
        <w:pageBreakBefore w:val="0"/>
        <w:spacing w:after="0" w:lineRule="auto"/>
        <w:ind w:left="720" w:hanging="720"/>
        <w:jc w:val="both"/>
        <w:rPr/>
      </w:pPr>
      <w:bookmarkStart w:colFirst="0" w:colLast="0" w:name="_45jfvxd" w:id="105"/>
      <w:bookmarkEnd w:id="105"/>
      <w:r w:rsidDel="00000000" w:rsidR="00000000" w:rsidRPr="00000000">
        <w:rPr>
          <w:rFonts w:ascii="Garamond" w:cs="Garamond" w:eastAsia="Garamond" w:hAnsi="Garamond"/>
          <w:color w:val="000000"/>
          <w:sz w:val="26"/>
          <w:szCs w:val="26"/>
          <w:rtl w:val="0"/>
        </w:rPr>
        <w:t xml:space="preserve">Yang, Yang and Kenneth C Land. 2006. “A Mixed Models Approach to the Age‐period‐cohort Analysis of Repeated Cross‐section Surveys, With an Application to Data on Trends in Verbal Test Scores.” Sociological Methodology 36: 75-97.</w:t>
      </w:r>
      <w:r w:rsidDel="00000000" w:rsidR="00000000" w:rsidRPr="00000000">
        <w:rPr>
          <w:rtl w:val="0"/>
        </w:rPr>
      </w:r>
    </w:p>
    <w:p w:rsidR="00000000" w:rsidDel="00000000" w:rsidP="00000000" w:rsidRDefault="00000000" w:rsidRPr="00000000" w14:paraId="000000F0">
      <w:pPr>
        <w:pStyle w:val="Heading6"/>
        <w:keepNext w:val="0"/>
        <w:keepLines w:val="0"/>
        <w:pageBreakBefore w:val="0"/>
        <w:spacing w:after="0" w:lineRule="auto"/>
        <w:ind w:left="720" w:hanging="720"/>
        <w:jc w:val="both"/>
        <w:rPr/>
      </w:pPr>
      <w:bookmarkStart w:colFirst="0" w:colLast="0" w:name="_2koq656" w:id="106"/>
      <w:bookmarkEnd w:id="106"/>
      <w:r w:rsidDel="00000000" w:rsidR="00000000" w:rsidRPr="00000000">
        <w:rPr>
          <w:rFonts w:ascii="Garamond" w:cs="Garamond" w:eastAsia="Garamond" w:hAnsi="Garamond"/>
          <w:color w:val="000000"/>
          <w:sz w:val="26"/>
          <w:szCs w:val="26"/>
          <w:rtl w:val="0"/>
        </w:rPr>
        <w:t xml:space="preserve">Yang, Yang, and Kenneth C Land. 2008. “Age–Period–Cohort Analysis of Repeated Cross-Section Surveys: Fixed or Random Effects?.” Sociological methods &amp; research 36:  297-326.</w:t>
      </w:r>
      <w:r w:rsidDel="00000000" w:rsidR="00000000" w:rsidRPr="00000000">
        <w:rPr>
          <w:rtl w:val="0"/>
        </w:rPr>
      </w:r>
    </w:p>
    <w:p w:rsidR="00000000" w:rsidDel="00000000" w:rsidP="00000000" w:rsidRDefault="00000000" w:rsidRPr="00000000" w14:paraId="000000F1">
      <w:pPr>
        <w:pStyle w:val="Heading6"/>
        <w:keepNext w:val="0"/>
        <w:keepLines w:val="0"/>
        <w:pageBreakBefore w:val="0"/>
        <w:spacing w:after="0" w:lineRule="auto"/>
        <w:ind w:left="720" w:hanging="720"/>
        <w:jc w:val="both"/>
        <w:rPr/>
      </w:pPr>
      <w:bookmarkStart w:colFirst="0" w:colLast="0" w:name="_zu0gcz" w:id="107"/>
      <w:bookmarkEnd w:id="107"/>
      <w:r w:rsidDel="00000000" w:rsidR="00000000" w:rsidRPr="00000000">
        <w:rPr>
          <w:rFonts w:ascii="Garamond" w:cs="Garamond" w:eastAsia="Garamond" w:hAnsi="Garamond"/>
          <w:color w:val="000000"/>
          <w:sz w:val="26"/>
          <w:szCs w:val="26"/>
          <w:rtl w:val="0"/>
        </w:rPr>
        <w:t xml:space="preserve">Zolberg, Vera. 1981. “Conflicting Visions in American Art Museums.” Theory and Society. Vol. 10 (1): 103-125.</w:t>
      </w:r>
      <w:r w:rsidDel="00000000" w:rsidR="00000000" w:rsidRPr="00000000">
        <w:rPr>
          <w:rtl w:val="0"/>
        </w:rPr>
      </w:r>
    </w:p>
    <w:p w:rsidR="00000000" w:rsidDel="00000000" w:rsidP="00000000" w:rsidRDefault="00000000" w:rsidRPr="00000000" w14:paraId="000000F2">
      <w:pPr>
        <w:pStyle w:val="Heading6"/>
        <w:keepNext w:val="0"/>
        <w:keepLines w:val="0"/>
        <w:pageBreakBefore w:val="0"/>
        <w:spacing w:after="0" w:lineRule="auto"/>
        <w:ind w:left="720" w:hanging="720"/>
        <w:jc w:val="both"/>
        <w:rPr/>
      </w:pPr>
      <w:bookmarkStart w:colFirst="0" w:colLast="0" w:name="_3jtnz0s" w:id="108"/>
      <w:bookmarkEnd w:id="108"/>
      <w:r w:rsidDel="00000000" w:rsidR="00000000" w:rsidRPr="00000000">
        <w:rPr>
          <w:rFonts w:ascii="Garamond" w:cs="Garamond" w:eastAsia="Garamond" w:hAnsi="Garamond"/>
          <w:color w:val="000000"/>
          <w:sz w:val="26"/>
          <w:szCs w:val="26"/>
          <w:rtl w:val="0"/>
        </w:rPr>
        <w:t xml:space="preserve">Zolberg, Vera L. 1984. “American Art Museums: Sanctuary or Free-For-All?” Social Forces 63 (2): 377-392.</w:t>
      </w:r>
      <w:r w:rsidDel="00000000" w:rsidR="00000000" w:rsidRPr="00000000">
        <w:rPr>
          <w:rtl w:val="0"/>
        </w:rPr>
      </w:r>
    </w:p>
    <w:p w:rsidR="00000000" w:rsidDel="00000000" w:rsidP="00000000" w:rsidRDefault="00000000" w:rsidRPr="00000000" w14:paraId="000000F3">
      <w:pPr>
        <w:pStyle w:val="Heading6"/>
        <w:keepNext w:val="0"/>
        <w:keepLines w:val="0"/>
        <w:pageBreakBefore w:val="0"/>
        <w:spacing w:after="0" w:lineRule="auto"/>
        <w:ind w:left="720" w:hanging="720"/>
        <w:jc w:val="both"/>
        <w:rPr/>
      </w:pPr>
      <w:bookmarkStart w:colFirst="0" w:colLast="0" w:name="_1yyy98l" w:id="109"/>
      <w:bookmarkEnd w:id="109"/>
      <w:r w:rsidDel="00000000" w:rsidR="00000000" w:rsidRPr="00000000">
        <w:rPr>
          <w:rFonts w:ascii="Garamond" w:cs="Garamond" w:eastAsia="Garamond" w:hAnsi="Garamond"/>
          <w:color w:val="000000"/>
          <w:sz w:val="26"/>
          <w:szCs w:val="26"/>
          <w:rtl w:val="0"/>
        </w:rPr>
        <w:t xml:space="preserve">Zolberg, Vera. 1986. “Tensions of Mission in American Art Museums.” Pp. 184-198 in Paul DiMaggio (ed.), Nonprofit Enterprise in the Arts: Studies in Mission and Constraint. New York: Oxford University Press.</w:t>
      </w:r>
      <w:r w:rsidDel="00000000" w:rsidR="00000000" w:rsidRPr="00000000">
        <w:rPr>
          <w:rtl w:val="0"/>
        </w:rPr>
      </w:r>
    </w:p>
    <w:p w:rsidR="00000000" w:rsidDel="00000000" w:rsidP="00000000" w:rsidRDefault="00000000" w:rsidRPr="00000000" w14:paraId="000000F4">
      <w:pPr>
        <w:pStyle w:val="Heading6"/>
        <w:keepNext w:val="0"/>
        <w:keepLines w:val="0"/>
        <w:pageBreakBefore w:val="0"/>
        <w:spacing w:after="0" w:lineRule="auto"/>
        <w:jc w:val="both"/>
        <w:rPr/>
      </w:pPr>
      <w:bookmarkStart w:colFirst="0" w:colLast="0" w:name="_4iylrwe" w:id="110"/>
      <w:bookmarkEnd w:id="110"/>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6"/>
        <w:keepNext w:val="0"/>
        <w:keepLines w:val="0"/>
        <w:pageBreakBefore w:val="0"/>
        <w:spacing w:after="0" w:lineRule="auto"/>
        <w:jc w:val="both"/>
        <w:rPr/>
      </w:pPr>
      <w:bookmarkStart w:colFirst="0" w:colLast="0" w:name="_2y3w247" w:id="111"/>
      <w:bookmarkEnd w:id="111"/>
      <w:r w:rsidDel="00000000" w:rsidR="00000000" w:rsidRPr="00000000">
        <w:rPr>
          <w:rtl w:val="0"/>
        </w:rPr>
      </w:r>
    </w:p>
    <w:p w:rsidR="00000000" w:rsidDel="00000000" w:rsidP="00000000" w:rsidRDefault="00000000" w:rsidRPr="00000000" w14:paraId="000000F7">
      <w:pPr>
        <w:pStyle w:val="Heading6"/>
        <w:keepNext w:val="0"/>
        <w:keepLines w:val="0"/>
        <w:pageBreakBefore w:val="0"/>
        <w:spacing w:after="0" w:lineRule="auto"/>
        <w:jc w:val="both"/>
        <w:rPr/>
      </w:pPr>
      <w:bookmarkStart w:colFirst="0" w:colLast="0" w:name="_1d96cc0" w:id="112"/>
      <w:bookmarkEnd w:id="112"/>
      <w:r w:rsidDel="00000000" w:rsidR="00000000" w:rsidRPr="00000000">
        <w:rPr>
          <w:rFonts w:ascii="Garamond" w:cs="Garamond" w:eastAsia="Garamond" w:hAnsi="Garamond"/>
          <w:b w:val="1"/>
          <w:bCs w:val="1"/>
          <w:color w:val="000000"/>
          <w:sz w:val="26"/>
          <w:szCs w:val="26"/>
          <w:rtl w:val="0"/>
        </w:rPr>
        <w:t xml:space="preserve">Table 1. Percentage of respondents who report engaging in each SPPA core activity by year. Number of respondents in each below the corresponding cell. Last column of the table shows the overall percentage and sample size for the cumulative data file for that activity.  </w:t>
      </w:r>
      <w:r w:rsidDel="00000000" w:rsidR="00000000" w:rsidRPr="00000000">
        <w:rPr>
          <w:rtl w:val="0"/>
        </w:rPr>
      </w:r>
    </w:p>
    <w:tbl>
      <w:tblPr>
        <w:tblStyle w:val="Table1"/>
        <w:tblW w:w="9400.0" w:type="dxa"/>
        <w:jc w:val="left"/>
        <w:tblInd w:w="-108.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2400"/>
        <w:gridCol w:w="1000"/>
        <w:gridCol w:w="1000"/>
        <w:gridCol w:w="1000"/>
        <w:gridCol w:w="1000"/>
        <w:gridCol w:w="1000"/>
        <w:gridCol w:w="1000"/>
        <w:gridCol w:w="1000"/>
        <w:tblGridChange w:id="0">
          <w:tblGrid>
            <w:gridCol w:w="2400"/>
            <w:gridCol w:w="1000"/>
            <w:gridCol w:w="1000"/>
            <w:gridCol w:w="1000"/>
            <w:gridCol w:w="1000"/>
            <w:gridCol w:w="1000"/>
            <w:gridCol w:w="1000"/>
            <w:gridCol w:w="1000"/>
          </w:tblGrid>
        </w:tblGridChange>
      </w:tblGrid>
      <w:tr>
        <w:trPr>
          <w:cantSplit w:val="0"/>
          <w:tblHeader w:val="0"/>
        </w:trPr>
        <w:tc>
          <w:tcPr>
            <w:shd w:fill="666666" w:val="clear"/>
            <w:tcMar>
              <w:left w:w="108.0" w:type="dxa"/>
              <w:right w:w="108.0" w:type="dxa"/>
            </w:tcM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1985</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1992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2008</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2012</w:t>
            </w:r>
            <w:r w:rsidDel="00000000" w:rsidR="00000000" w:rsidRPr="00000000">
              <w:rPr>
                <w:rtl w:val="0"/>
              </w:rPr>
            </w:r>
          </w:p>
        </w:tc>
        <w:tc>
          <w:tcPr>
            <w:shd w:fill="666666" w:val="clear"/>
            <w:tcMar>
              <w:left w:w="108.0" w:type="dxa"/>
              <w:right w:w="108.0" w:type="dxa"/>
            </w:tcM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Total</w:t>
            </w:r>
            <w:r w:rsidDel="00000000" w:rsidR="00000000" w:rsidRPr="00000000">
              <w:rPr>
                <w:rtl w:val="0"/>
              </w:rPr>
            </w:r>
          </w:p>
        </w:tc>
      </w:tr>
      <w:tr>
        <w:trPr>
          <w:cantSplit w:val="0"/>
          <w:tblHeader w:val="0"/>
        </w:trPr>
        <w:tc>
          <w:tcPr>
            <w:tcMar>
              <w:left w:w="108.0" w:type="dxa"/>
              <w:right w:w="108.0" w:type="dxa"/>
            </w:tcMar>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c>
          <w:tcPr>
            <w:tcMar>
              <w:left w:w="108.0" w:type="dxa"/>
              <w:right w:w="108.0" w:type="dxa"/>
            </w:tcM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 / N</w:t>
            </w:r>
          </w:p>
        </w:tc>
      </w:tr>
      <w:tr>
        <w:trPr>
          <w:cantSplit w:val="0"/>
          <w:tblHeader w:val="0"/>
        </w:trPr>
        <w:tc>
          <w:tcPr>
            <w:tcMar>
              <w:left w:w="108.0" w:type="dxa"/>
              <w:right w:w="108.0" w:type="dxa"/>
            </w:tcM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c>
          <w:tcPr>
            <w:tcMar>
              <w:left w:w="108.0" w:type="dxa"/>
              <w:right w:w="108.0" w:type="dxa"/>
            </w:tcM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c>
          <w:tcPr>
            <w:tcMar>
              <w:left w:w="108.0" w:type="dxa"/>
              <w:right w:w="108.0" w:type="dxa"/>
            </w:tcM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9.5</w:t>
            </w:r>
          </w:p>
        </w:tc>
        <w:tc>
          <w:tcPr>
            <w:tcMar>
              <w:left w:w="108.0" w:type="dxa"/>
              <w:right w:w="108.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10.3</w:t>
            </w:r>
          </w:p>
        </w:tc>
        <w:tc>
          <w:tcPr>
            <w:tcMar>
              <w:left w:w="108.0" w:type="dxa"/>
              <w:right w:w="108.0" w:type="dxa"/>
            </w:tcM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10.4</w:t>
            </w:r>
          </w:p>
        </w:tc>
        <w:tc>
          <w:tcPr>
            <w:tcMar>
              <w:left w:w="108.0" w:type="dxa"/>
              <w:right w:w="108.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8.4</w:t>
            </w:r>
          </w:p>
        </w:tc>
        <w:tc>
          <w:tcPr>
            <w:tcMar>
              <w:left w:w="108.0" w:type="dxa"/>
              <w:right w:w="108.0" w:type="dxa"/>
            </w:tcM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w:t>
            </w:r>
          </w:p>
        </w:tc>
        <w:tc>
          <w:tcPr>
            <w:tcMar>
              <w:left w:w="108.0" w:type="dxa"/>
              <w:right w:w="108.0" w:type="dxa"/>
            </w:tcM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9.4</w:t>
            </w:r>
          </w:p>
        </w:tc>
      </w:tr>
      <w:tr>
        <w:trPr>
          <w:cantSplit w:val="0"/>
          <w:tblHeader w:val="0"/>
        </w:trPr>
        <w:tc>
          <w:tcPr>
            <w:tcMar>
              <w:left w:w="108.0" w:type="dxa"/>
              <w:right w:w="108.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17223</w:t>
            </w:r>
          </w:p>
        </w:tc>
        <w:tc>
          <w:tcPr>
            <w:tcMar>
              <w:left w:w="108.0" w:type="dxa"/>
              <w:right w:w="108.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12728</w:t>
            </w:r>
          </w:p>
        </w:tc>
        <w:tc>
          <w:tcPr>
            <w:tcMar>
              <w:left w:w="108.0" w:type="dxa"/>
              <w:right w:w="108.0" w:type="dxa"/>
            </w:tcM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18390</w:t>
            </w:r>
          </w:p>
        </w:tc>
        <w:tc>
          <w:tcPr>
            <w:tcMar>
              <w:left w:w="108.0" w:type="dxa"/>
              <w:right w:w="108.0" w:type="dxa"/>
            </w:tcM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17987</w:t>
            </w:r>
          </w:p>
        </w:tc>
        <w:tc>
          <w:tcPr>
            <w:tcMar>
              <w:left w:w="108.0" w:type="dxa"/>
              <w:right w:w="108.0" w:type="dxa"/>
            </w:tcM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97057</w:t>
            </w:r>
          </w:p>
        </w:tc>
      </w:tr>
      <w:tr>
        <w:trPr>
          <w:cantSplit w:val="0"/>
          <w:tblHeader w:val="0"/>
        </w:trPr>
        <w:tc>
          <w:tcPr>
            <w:tcMar>
              <w:left w:w="108.0" w:type="dxa"/>
              <w:right w:w="108.0" w:type="dxa"/>
            </w:tcM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c>
          <w:tcPr>
            <w:tcMar>
              <w:left w:w="108.0" w:type="dxa"/>
              <w:right w:w="108.0" w:type="dxa"/>
            </w:tcM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13.2</w:t>
            </w:r>
          </w:p>
        </w:tc>
        <w:tc>
          <w:tcPr>
            <w:tcMar>
              <w:left w:w="108.0" w:type="dxa"/>
              <w:right w:w="108.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13.3</w:t>
            </w:r>
          </w:p>
        </w:tc>
        <w:tc>
          <w:tcPr>
            <w:tcMar>
              <w:left w:w="108.0" w:type="dxa"/>
              <w:right w:w="108.0" w:type="dxa"/>
            </w:tcMa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12.6</w:t>
            </w:r>
          </w:p>
        </w:tc>
        <w:tc>
          <w:tcPr>
            <w:tcMar>
              <w:left w:w="108.0" w:type="dxa"/>
              <w:right w:w="108.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11.8</w:t>
            </w:r>
          </w:p>
        </w:tc>
        <w:tc>
          <w:tcPr>
            <w:tcMar>
              <w:left w:w="108.0" w:type="dxa"/>
              <w:right w:w="108.0" w:type="dxa"/>
            </w:tcM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10.1</w:t>
            </w:r>
          </w:p>
        </w:tc>
        <w:tc>
          <w:tcPr>
            <w:tcMar>
              <w:left w:w="108.0" w:type="dxa"/>
              <w:right w:w="108.0" w:type="dxa"/>
            </w:tcMa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10.0</w:t>
            </w:r>
          </w:p>
        </w:tc>
        <w:tc>
          <w:tcPr>
            <w:tcMar>
              <w:left w:w="108.0" w:type="dxa"/>
              <w:right w:w="108.0" w:type="dxa"/>
            </w:tcM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11.7</w:t>
            </w:r>
          </w:p>
        </w:tc>
      </w:tr>
      <w:tr>
        <w:trPr>
          <w:cantSplit w:val="0"/>
          <w:tblHeader w:val="0"/>
        </w:trPr>
        <w:tc>
          <w:tcPr>
            <w:tcMar>
              <w:left w:w="108.0" w:type="dxa"/>
              <w:right w:w="108.0" w:type="dxa"/>
            </w:tcM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17245</w:t>
            </w:r>
          </w:p>
        </w:tc>
        <w:tc>
          <w:tcPr>
            <w:tcMar>
              <w:left w:w="108.0" w:type="dxa"/>
              <w:right w:w="108.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13669</w:t>
            </w:r>
          </w:p>
        </w:tc>
        <w:tc>
          <w:tcPr>
            <w:tcMar>
              <w:left w:w="108.0" w:type="dxa"/>
              <w:right w:w="108.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17074</w:t>
            </w:r>
          </w:p>
        </w:tc>
        <w:tc>
          <w:tcPr>
            <w:tcMar>
              <w:left w:w="108.0" w:type="dxa"/>
              <w:right w:w="108.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18343</w:t>
            </w:r>
          </w:p>
        </w:tc>
        <w:tc>
          <w:tcPr>
            <w:tcMar>
              <w:left w:w="108.0" w:type="dxa"/>
              <w:right w:w="108.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17917</w:t>
            </w:r>
          </w:p>
        </w:tc>
        <w:tc>
          <w:tcPr>
            <w:tcMar>
              <w:left w:w="108.0" w:type="dxa"/>
              <w:right w:w="108.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r>
      <w:tr>
        <w:trPr>
          <w:cantSplit w:val="0"/>
          <w:tblHeader w:val="0"/>
        </w:trPr>
        <w:tc>
          <w:tcPr>
            <w:tcMar>
              <w:left w:w="108.0" w:type="dxa"/>
              <w:right w:w="108.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c>
          <w:tcPr>
            <w:tcMar>
              <w:left w:w="108.0" w:type="dxa"/>
              <w:right w:w="108.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c>
          <w:tcPr>
            <w:tcMar>
              <w:left w:w="108.0" w:type="dxa"/>
              <w:right w:w="108.0" w:type="dxa"/>
            </w:tcMa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108.0" w:type="dxa"/>
              <w:right w:w="108.0" w:type="dxa"/>
            </w:tcM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w:t>
            </w:r>
          </w:p>
        </w:tc>
        <w:tc>
          <w:tcPr>
            <w:tcMar>
              <w:left w:w="108.0" w:type="dxa"/>
              <w:right w:w="108.0" w:type="dxa"/>
            </w:tcM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w:t>
            </w:r>
          </w:p>
        </w:tc>
        <w:tc>
          <w:tcPr>
            <w:tcMar>
              <w:left w:w="108.0" w:type="dxa"/>
              <w:right w:w="108.0" w:type="dxa"/>
            </w:tcM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2.8</w:t>
            </w:r>
          </w:p>
        </w:tc>
      </w:tr>
      <w:tr>
        <w:trPr>
          <w:cantSplit w:val="0"/>
          <w:tblHeader w:val="0"/>
        </w:trPr>
        <w:tc>
          <w:tcPr>
            <w:tcMar>
              <w:left w:w="108.0" w:type="dxa"/>
              <w:right w:w="108.0" w:type="dxa"/>
            </w:tcM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17234</w:t>
            </w:r>
          </w:p>
        </w:tc>
        <w:tc>
          <w:tcPr>
            <w:tcMar>
              <w:left w:w="108.0" w:type="dxa"/>
              <w:right w:w="108.0" w:type="dxa"/>
            </w:tcM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13654</w:t>
            </w:r>
          </w:p>
        </w:tc>
        <w:tc>
          <w:tcPr>
            <w:tcMar>
              <w:left w:w="108.0" w:type="dxa"/>
              <w:right w:w="108.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12724</w:t>
            </w:r>
          </w:p>
        </w:tc>
        <w:tc>
          <w:tcPr>
            <w:tcMar>
              <w:left w:w="108.0" w:type="dxa"/>
              <w:right w:w="108.0" w:type="dxa"/>
            </w:tcM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17082</w:t>
            </w:r>
          </w:p>
        </w:tc>
        <w:tc>
          <w:tcPr>
            <w:tcMar>
              <w:left w:w="108.0" w:type="dxa"/>
              <w:right w:w="108.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18341</w:t>
            </w:r>
          </w:p>
        </w:tc>
        <w:tc>
          <w:tcPr>
            <w:tcMar>
              <w:left w:w="108.0" w:type="dxa"/>
              <w:right w:w="108.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17907</w:t>
            </w:r>
          </w:p>
        </w:tc>
        <w:tc>
          <w:tcPr>
            <w:tcMar>
              <w:left w:w="108.0" w:type="dxa"/>
              <w:right w:w="108.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96942</w:t>
            </w:r>
          </w:p>
        </w:tc>
      </w:tr>
      <w:tr>
        <w:trPr>
          <w:cantSplit w:val="0"/>
          <w:tblHeader w:val="0"/>
        </w:trPr>
        <w:tc>
          <w:tcPr>
            <w:tcMar>
              <w:left w:w="108.0" w:type="dxa"/>
              <w:right w:w="108.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Musicals</w:t>
            </w:r>
          </w:p>
        </w:tc>
        <w:tc>
          <w:tcPr>
            <w:tcMar>
              <w:left w:w="108.0" w:type="dxa"/>
              <w:right w:w="108.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18.8</w:t>
            </w:r>
          </w:p>
        </w:tc>
        <w:tc>
          <w:tcPr>
            <w:tcMar>
              <w:left w:w="108.0" w:type="dxa"/>
              <w:right w:w="108.0" w:type="dxa"/>
            </w:tcM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17.5</w:t>
            </w:r>
          </w:p>
        </w:tc>
        <w:tc>
          <w:tcPr>
            <w:tcMar>
              <w:left w:w="108.0" w:type="dxa"/>
              <w:right w:w="108.0" w:type="dxa"/>
            </w:tcM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w:t>
            </w:r>
          </w:p>
        </w:tc>
        <w:tc>
          <w:tcPr>
            <w:tcMar>
              <w:left w:w="108.0" w:type="dxa"/>
              <w:right w:w="108.0" w:type="dxa"/>
            </w:tcM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w:t>
            </w:r>
          </w:p>
        </w:tc>
        <w:tc>
          <w:tcPr>
            <w:tcMar>
              <w:left w:w="108.0" w:type="dxa"/>
              <w:right w:w="108.0" w:type="dxa"/>
            </w:tcM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17.9</w:t>
            </w:r>
          </w:p>
        </w:tc>
        <w:tc>
          <w:tcPr>
            <w:tcMar>
              <w:left w:w="108.0" w:type="dxa"/>
              <w:right w:w="108.0" w:type="dxa"/>
            </w:tcM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16.6</w:t>
            </w:r>
          </w:p>
        </w:tc>
        <w:tc>
          <w:tcPr>
            <w:tcMar>
              <w:left w:w="108.0" w:type="dxa"/>
              <w:right w:w="108.0" w:type="dxa"/>
            </w:tcM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17.6</w:t>
            </w:r>
          </w:p>
        </w:tc>
      </w:tr>
      <w:tr>
        <w:trPr>
          <w:cantSplit w:val="0"/>
          <w:tblHeader w:val="0"/>
        </w:trPr>
        <w:tc>
          <w:tcPr>
            <w:tcMar>
              <w:left w:w="108.0" w:type="dxa"/>
              <w:right w:w="108.0" w:type="dxa"/>
            </w:tcMa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17243</w:t>
            </w:r>
          </w:p>
        </w:tc>
        <w:tc>
          <w:tcPr>
            <w:tcMar>
              <w:left w:w="108.0" w:type="dxa"/>
              <w:right w:w="108.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13666</w:t>
            </w:r>
          </w:p>
        </w:tc>
        <w:tc>
          <w:tcPr>
            <w:tcMar>
              <w:left w:w="108.0" w:type="dxa"/>
              <w:right w:w="108.0" w:type="dxa"/>
            </w:tcM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12720</w:t>
            </w:r>
          </w:p>
        </w:tc>
        <w:tc>
          <w:tcPr>
            <w:tcMar>
              <w:left w:w="108.0" w:type="dxa"/>
              <w:right w:w="108.0" w:type="dxa"/>
            </w:tcM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17075</w:t>
            </w:r>
          </w:p>
        </w:tc>
        <w:tc>
          <w:tcPr>
            <w:tcMar>
              <w:left w:w="108.0" w:type="dxa"/>
              <w:right w:w="108.0" w:type="dxa"/>
            </w:tcM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18315</w:t>
            </w:r>
          </w:p>
        </w:tc>
        <w:tc>
          <w:tcPr>
            <w:tcMar>
              <w:left w:w="108.0" w:type="dxa"/>
              <w:right w:w="108.0" w:type="dxa"/>
            </w:tcM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17880</w:t>
            </w:r>
          </w:p>
        </w:tc>
        <w:tc>
          <w:tcPr>
            <w:tcMar>
              <w:left w:w="108.0" w:type="dxa"/>
              <w:right w:w="108.0" w:type="dxa"/>
            </w:tcM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96899</w:t>
            </w:r>
          </w:p>
        </w:tc>
      </w:tr>
      <w:tr>
        <w:trPr>
          <w:cantSplit w:val="0"/>
          <w:tblHeader w:val="0"/>
        </w:trPr>
        <w:tc>
          <w:tcPr>
            <w:tcMar>
              <w:left w:w="108.0" w:type="dxa"/>
              <w:right w:w="108.0" w:type="dxa"/>
            </w:tcMa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c>
          <w:tcPr>
            <w:tcMar>
              <w:left w:w="108.0" w:type="dxa"/>
              <w:right w:w="108.0" w:type="dxa"/>
            </w:tcM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w:t>
            </w:r>
          </w:p>
        </w:tc>
        <w:tc>
          <w:tcPr>
            <w:tcMar>
              <w:left w:w="108.0" w:type="dxa"/>
              <w:right w:w="108.0" w:type="dxa"/>
            </w:tcM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w:t>
            </w:r>
          </w:p>
        </w:tc>
        <w:tc>
          <w:tcPr>
            <w:tcMar>
              <w:left w:w="108.0" w:type="dxa"/>
              <w:right w:w="108.0" w:type="dxa"/>
            </w:tcM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4.7</w:t>
            </w:r>
          </w:p>
        </w:tc>
        <w:tc>
          <w:tcPr>
            <w:tcMar>
              <w:left w:w="108.0" w:type="dxa"/>
              <w:right w:w="108.0" w:type="dxa"/>
            </w:tcM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3.8</w:t>
            </w:r>
          </w:p>
        </w:tc>
        <w:tc>
          <w:tcPr>
            <w:tcMar>
              <w:left w:w="108.0" w:type="dxa"/>
              <w:right w:w="108.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w:t>
            </w:r>
          </w:p>
        </w:tc>
        <w:tc>
          <w:tcPr>
            <w:tcMar>
              <w:left w:w="108.0" w:type="dxa"/>
              <w:right w:w="108.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r>
      <w:tr>
        <w:trPr>
          <w:cantSplit w:val="0"/>
          <w:tblHeader w:val="0"/>
        </w:trPr>
        <w:tc>
          <w:tcPr>
            <w:tcMar>
              <w:left w:w="108.0" w:type="dxa"/>
              <w:right w:w="108.0" w:type="dxa"/>
            </w:tcM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17244</w:t>
            </w:r>
          </w:p>
        </w:tc>
        <w:tc>
          <w:tcPr>
            <w:tcMar>
              <w:left w:w="108.0" w:type="dxa"/>
              <w:right w:w="108.0" w:type="dxa"/>
            </w:tcM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13672</w:t>
            </w:r>
          </w:p>
        </w:tc>
        <w:tc>
          <w:tcPr>
            <w:tcMar>
              <w:left w:w="108.0" w:type="dxa"/>
              <w:right w:w="108.0" w:type="dxa"/>
            </w:tcM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12712</w:t>
            </w:r>
          </w:p>
        </w:tc>
        <w:tc>
          <w:tcPr>
            <w:tcMar>
              <w:left w:w="108.0" w:type="dxa"/>
              <w:right w:w="108.0" w:type="dxa"/>
            </w:tcM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17081</w:t>
            </w:r>
          </w:p>
        </w:tc>
        <w:tc>
          <w:tcPr>
            <w:tcMar>
              <w:left w:w="108.0" w:type="dxa"/>
              <w:right w:w="108.0" w:type="dxa"/>
            </w:tcM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18300</w:t>
            </w:r>
          </w:p>
        </w:tc>
        <w:tc>
          <w:tcPr>
            <w:tcMar>
              <w:left w:w="108.0" w:type="dxa"/>
              <w:right w:w="108.0" w:type="dxa"/>
            </w:tcM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17866</w:t>
            </w:r>
          </w:p>
        </w:tc>
        <w:tc>
          <w:tcPr>
            <w:tcMar>
              <w:left w:w="108.0" w:type="dxa"/>
              <w:right w:w="108.0" w:type="dxa"/>
            </w:tcM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96875</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Museum</w:t>
            </w:r>
          </w:p>
        </w:tc>
        <w:tc>
          <w:tcPr>
            <w:tcMar>
              <w:left w:w="108.0" w:type="dxa"/>
              <w:right w:w="108.0" w:type="dxa"/>
            </w:tcM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22.1</w:t>
            </w:r>
          </w:p>
        </w:tc>
        <w:tc>
          <w:tcPr>
            <w:tcMar>
              <w:left w:w="108.0" w:type="dxa"/>
              <w:right w:w="108.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22.7</w:t>
            </w:r>
          </w:p>
        </w:tc>
        <w:tc>
          <w:tcPr>
            <w:tcMar>
              <w:left w:w="108.0" w:type="dxa"/>
              <w:right w:w="108.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27.0</w:t>
            </w:r>
          </w:p>
        </w:tc>
        <w:tc>
          <w:tcPr>
            <w:tcMar>
              <w:left w:w="108.0" w:type="dxa"/>
              <w:right w:w="108.0" w:type="dxa"/>
            </w:tcMa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23.9</w:t>
            </w:r>
          </w:p>
        </w:tc>
        <w:tc>
          <w:tcPr>
            <w:tcMar>
              <w:left w:w="108.0" w:type="dxa"/>
              <w:right w:w="108.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22.9</w:t>
            </w:r>
          </w:p>
        </w:tc>
        <w:tc>
          <w:tcPr>
            <w:tcMar>
              <w:left w:w="108.0" w:type="dxa"/>
              <w:right w:w="108.0" w:type="dxa"/>
            </w:tcM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24.1</w:t>
            </w:r>
          </w:p>
        </w:tc>
      </w:tr>
      <w:tr>
        <w:trPr>
          <w:cantSplit w:val="0"/>
          <w:tblHeader w:val="0"/>
        </w:trPr>
        <w:tc>
          <w:tcPr>
            <w:tcMar>
              <w:left w:w="108.0" w:type="dxa"/>
              <w:right w:w="108.0" w:type="dxa"/>
            </w:tcM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17240</w:t>
            </w:r>
          </w:p>
        </w:tc>
        <w:tc>
          <w:tcPr>
            <w:tcMar>
              <w:left w:w="108.0" w:type="dxa"/>
              <w:right w:w="108.0" w:type="dxa"/>
            </w:tcM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13668</w:t>
            </w:r>
          </w:p>
        </w:tc>
        <w:tc>
          <w:tcPr>
            <w:tcMar>
              <w:left w:w="108.0" w:type="dxa"/>
              <w:right w:w="108.0" w:type="dxa"/>
            </w:tcM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12716</w:t>
            </w:r>
          </w:p>
        </w:tc>
        <w:tc>
          <w:tcPr>
            <w:tcMar>
              <w:left w:w="108.0" w:type="dxa"/>
              <w:right w:w="108.0" w:type="dxa"/>
            </w:tcM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17053</w:t>
            </w:r>
          </w:p>
        </w:tc>
        <w:tc>
          <w:tcPr>
            <w:tcMar>
              <w:left w:w="108.0" w:type="dxa"/>
              <w:right w:w="108.0" w:type="dxa"/>
            </w:tcM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18248</w:t>
            </w:r>
          </w:p>
        </w:tc>
        <w:tc>
          <w:tcPr>
            <w:tcMar>
              <w:left w:w="108.0" w:type="dxa"/>
              <w:right w:w="108.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17798</w:t>
            </w:r>
          </w:p>
        </w:tc>
        <w:tc>
          <w:tcPr>
            <w:tcMar>
              <w:left w:w="108.0" w:type="dxa"/>
              <w:right w:w="108.0" w:type="dxa"/>
            </w:tcM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 Festival</w:t>
            </w:r>
          </w:p>
        </w:tc>
        <w:tc>
          <w:tcPr>
            <w:tcMar>
              <w:left w:w="108.0" w:type="dxa"/>
              <w:right w:w="108.0" w:type="dxa"/>
            </w:tcM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39.3</w:t>
            </w:r>
          </w:p>
        </w:tc>
        <w:tc>
          <w:tcPr>
            <w:tcMar>
              <w:left w:w="108.0" w:type="dxa"/>
              <w:right w:w="108.0" w:type="dxa"/>
            </w:tcM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40.7</w:t>
            </w:r>
          </w:p>
        </w:tc>
        <w:tc>
          <w:tcPr>
            <w:tcMar>
              <w:left w:w="108.0" w:type="dxa"/>
              <w:right w:w="108.0" w:type="dxa"/>
            </w:tcM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40.9</w:t>
            </w:r>
          </w:p>
        </w:tc>
        <w:tc>
          <w:tcPr>
            <w:tcMar>
              <w:left w:w="108.0" w:type="dxa"/>
              <w:right w:w="108.0" w:type="dxa"/>
            </w:tcM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34.8</w:t>
            </w:r>
          </w:p>
        </w:tc>
        <w:tc>
          <w:tcPr>
            <w:tcMar>
              <w:left w:w="108.0" w:type="dxa"/>
              <w:right w:w="108.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26.7</w:t>
            </w:r>
          </w:p>
        </w:tc>
        <w:tc>
          <w:tcPr>
            <w:tcMar>
              <w:left w:w="108.0" w:type="dxa"/>
              <w:right w:w="108.0" w:type="dxa"/>
            </w:tcM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25.0</w:t>
            </w:r>
          </w:p>
        </w:tc>
        <w:tc>
          <w:tcPr>
            <w:tcMar>
              <w:left w:w="108.0" w:type="dxa"/>
              <w:right w:w="108.0" w:type="dxa"/>
            </w:tcM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31.9</w:t>
            </w:r>
          </w:p>
        </w:tc>
      </w:tr>
      <w:tr>
        <w:trPr>
          <w:cantSplit w:val="0"/>
          <w:tblHeader w:val="0"/>
        </w:trPr>
        <w:tc>
          <w:tcPr>
            <w:tcMar>
              <w:left w:w="108.0" w:type="dxa"/>
              <w:right w:w="108.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4243</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2349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a, b</w:t>
            </w:r>
            <w:r w:rsidDel="00000000" w:rsidR="00000000" w:rsidRPr="00000000">
              <w:rPr>
                <w:rtl w:val="0"/>
              </w:rPr>
            </w:r>
          </w:p>
        </w:tc>
        <w:tc>
          <w:tcPr>
            <w:tcMar>
              <w:left w:w="108.0" w:type="dxa"/>
              <w:right w:w="108.0" w:type="dxa"/>
            </w:tcM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17779</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r>
      <w:tr>
        <w:trPr>
          <w:cantSplit w:val="0"/>
          <w:tblHeader w:val="0"/>
        </w:trPr>
        <w:tc>
          <w:tcPr>
            <w:tcMar>
              <w:top w:w="40.0" w:type="dxa"/>
              <w:left w:w="40.0" w:type="dxa"/>
              <w:bottom w:w="40.0" w:type="dxa"/>
              <w:right w:w="40.0" w:type="dxa"/>
            </w:tcMar>
            <w:vAlign w:val="bottom"/>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Hist. Monument</w:t>
            </w:r>
          </w:p>
        </w:tc>
        <w:tc>
          <w:tcPr>
            <w:tcMar>
              <w:left w:w="108.0" w:type="dxa"/>
              <w:right w:w="108.0" w:type="dxa"/>
            </w:tcMa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37.0</w:t>
            </w:r>
          </w:p>
        </w:tc>
        <w:tc>
          <w:tcPr>
            <w:tcMar>
              <w:left w:w="108.0" w:type="dxa"/>
              <w:right w:w="108.0" w:type="dxa"/>
            </w:tcMa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36.6</w:t>
            </w:r>
          </w:p>
        </w:tc>
        <w:tc>
          <w:tcPr>
            <w:tcMar>
              <w:left w:w="108.0" w:type="dxa"/>
              <w:right w:w="108.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34.5</w:t>
            </w:r>
          </w:p>
        </w:tc>
        <w:tc>
          <w:tcPr>
            <w:tcMar>
              <w:left w:w="108.0" w:type="dxa"/>
              <w:right w:w="108.0" w:type="dxa"/>
            </w:tcMa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32.1</w:t>
            </w:r>
          </w:p>
        </w:tc>
        <w:tc>
          <w:tcPr>
            <w:tcMar>
              <w:left w:w="108.0" w:type="dxa"/>
              <w:right w:w="108.0" w:type="dxa"/>
            </w:tcMa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27.5</w:t>
            </w:r>
          </w:p>
        </w:tc>
        <w:tc>
          <w:tcPr>
            <w:tcMar>
              <w:left w:w="108.0" w:type="dxa"/>
              <w:right w:w="108.0" w:type="dxa"/>
            </w:tcMa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26.4</w:t>
            </w:r>
          </w:p>
        </w:tc>
        <w:tc>
          <w:tcPr>
            <w:tcMar>
              <w:left w:w="108.0" w:type="dxa"/>
              <w:right w:w="108.0" w:type="dxa"/>
            </w:tcMa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30.4</w:t>
            </w:r>
          </w:p>
        </w:tc>
      </w:tr>
      <w:tr>
        <w:trPr>
          <w:cantSplit w:val="0"/>
          <w:tblHeader w:val="0"/>
        </w:trPr>
        <w:tc>
          <w:tcPr>
            <w:tcMar>
              <w:left w:w="108.0" w:type="dxa"/>
              <w:right w:w="108.0" w:type="dxa"/>
            </w:tcMa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4242</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2351</w:t>
            </w: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superscript"/>
                <w:rtl w:val="0"/>
              </w:rPr>
              <w:t xml:space="preserve">c</w:t>
            </w:r>
            <w:r w:rsidDel="00000000" w:rsidR="00000000" w:rsidRPr="00000000">
              <w:rPr>
                <w:rtl w:val="0"/>
              </w:rPr>
            </w:r>
          </w:p>
        </w:tc>
        <w:tc>
          <w:tcPr>
            <w:tcMar>
              <w:left w:w="108.0" w:type="dxa"/>
              <w:right w:w="108.0" w:type="dxa"/>
            </w:tcMa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12718</w:t>
            </w:r>
          </w:p>
        </w:tc>
        <w:tc>
          <w:tcPr>
            <w:tcMar>
              <w:left w:w="108.0" w:type="dxa"/>
              <w:right w:w="108.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17050</w:t>
            </w:r>
          </w:p>
        </w:tc>
        <w:tc>
          <w:tcPr>
            <w:tcMar>
              <w:left w:w="108.0" w:type="dxa"/>
              <w:right w:w="108.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18212</w:t>
            </w:r>
          </w:p>
        </w:tc>
        <w:tc>
          <w:tcPr>
            <w:tcMar>
              <w:left w:w="108.0" w:type="dxa"/>
              <w:right w:w="108.0" w:type="dxa"/>
            </w:tcMa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17738</w:t>
            </w:r>
          </w:p>
        </w:tc>
        <w:tc>
          <w:tcPr>
            <w:tcMar>
              <w:left w:w="108.0" w:type="dxa"/>
              <w:right w:w="108.0" w:type="dxa"/>
            </w:tcM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72311</w:t>
            </w:r>
          </w:p>
        </w:tc>
      </w:tr>
      <w:tr>
        <w:trPr>
          <w:cantSplit w:val="0"/>
          <w:tblHeader w:val="0"/>
        </w:trPr>
        <w:tc>
          <w:tcPr>
            <w:tcMar>
              <w:left w:w="108.0" w:type="dxa"/>
              <w:right w:w="108.0" w:type="dxa"/>
            </w:tcM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N</w:t>
            </w:r>
          </w:p>
        </w:tc>
        <w:tc>
          <w:tcPr>
            <w:tcMar>
              <w:left w:w="108.0" w:type="dxa"/>
              <w:right w:w="108.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97179</w:t>
            </w:r>
          </w:p>
        </w:tc>
        <w:tc>
          <w:tcPr>
            <w:tcMar>
              <w:left w:w="108.0" w:type="dxa"/>
              <w:right w:w="108.0" w:type="dxa"/>
            </w:tcM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c>
          <w:tcPr>
            <w:tcMar>
              <w:left w:w="108.0" w:type="dxa"/>
              <w:right w:w="108.0" w:type="dxa"/>
            </w:tcMa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90">
      <w:pPr>
        <w:pStyle w:val="Heading4"/>
        <w:pageBreakBefore w:val="0"/>
        <w:spacing w:before="0" w:line="360" w:lineRule="auto"/>
        <w:rPr/>
      </w:pPr>
      <w:bookmarkStart w:colFirst="0" w:colLast="0" w:name="_3x8tuzt" w:id="113"/>
      <w:bookmarkEnd w:id="113"/>
      <w:r w:rsidDel="00000000" w:rsidR="00000000" w:rsidRPr="00000000">
        <w:rPr>
          <w:sz w:val="20"/>
          <w:szCs w:val="20"/>
          <w:vertAlign w:val="superscript"/>
          <w:rtl w:val="0"/>
        </w:rPr>
        <w:t xml:space="preserve">a </w:t>
      </w:r>
      <w:r w:rsidDel="00000000" w:rsidR="00000000" w:rsidRPr="00000000">
        <w:rPr>
          <w:sz w:val="20"/>
          <w:szCs w:val="20"/>
          <w:rtl w:val="0"/>
        </w:rPr>
        <w:t xml:space="preserve">Not part of core questionnaire (only asked of a random subset of respondents).</w:t>
      </w:r>
      <w:r w:rsidDel="00000000" w:rsidR="00000000" w:rsidRPr="00000000">
        <w:rPr>
          <w:rtl w:val="0"/>
        </w:rPr>
      </w:r>
    </w:p>
    <w:p w:rsidR="00000000" w:rsidDel="00000000" w:rsidP="00000000" w:rsidRDefault="00000000" w:rsidRPr="00000000" w14:paraId="00000191">
      <w:pPr>
        <w:pStyle w:val="Heading4"/>
        <w:pageBreakBefore w:val="0"/>
        <w:spacing w:before="0" w:line="360" w:lineRule="auto"/>
        <w:rPr/>
      </w:pPr>
      <w:bookmarkStart w:colFirst="0" w:colLast="0" w:name="_2ce457m" w:id="114"/>
      <w:bookmarkEnd w:id="114"/>
      <w:r w:rsidDel="00000000" w:rsidR="00000000" w:rsidRPr="00000000">
        <w:rPr>
          <w:sz w:val="20"/>
          <w:szCs w:val="20"/>
          <w:vertAlign w:val="superscript"/>
          <w:rtl w:val="0"/>
        </w:rPr>
        <w:t xml:space="preserve">b </w:t>
      </w:r>
      <w:r w:rsidDel="00000000" w:rsidR="00000000" w:rsidRPr="00000000">
        <w:rPr>
          <w:sz w:val="20"/>
          <w:szCs w:val="20"/>
          <w:rtl w:val="0"/>
        </w:rPr>
        <w:t xml:space="preserve">Original wording: During the last 12 months] did you visit a crafts fair or a visual arts festival?” </w:t>
      </w:r>
      <w:r w:rsidDel="00000000" w:rsidR="00000000" w:rsidRPr="00000000">
        <w:rPr>
          <w:rtl w:val="0"/>
        </w:rPr>
      </w:r>
    </w:p>
    <w:p w:rsidR="00000000" w:rsidDel="00000000" w:rsidP="00000000" w:rsidRDefault="00000000" w:rsidRPr="00000000" w14:paraId="00000192">
      <w:pPr>
        <w:pStyle w:val="Heading4"/>
        <w:pageBreakBefore w:val="0"/>
        <w:spacing w:before="0" w:line="360" w:lineRule="auto"/>
        <w:rPr/>
      </w:pPr>
      <w:bookmarkStart w:colFirst="0" w:colLast="0" w:name="_rjefff" w:id="115"/>
      <w:bookmarkEnd w:id="115"/>
      <w:r w:rsidDel="00000000" w:rsidR="00000000" w:rsidRPr="00000000">
        <w:rPr>
          <w:sz w:val="20"/>
          <w:szCs w:val="20"/>
          <w:vertAlign w:val="superscript"/>
          <w:rtl w:val="0"/>
        </w:rPr>
        <w:t xml:space="preserve">c </w:t>
      </w:r>
      <w:r w:rsidDel="00000000" w:rsidR="00000000" w:rsidRPr="00000000">
        <w:rPr>
          <w:sz w:val="20"/>
          <w:szCs w:val="20"/>
          <w:rtl w:val="0"/>
        </w:rPr>
        <w:t xml:space="preserve">Revised wording: “(During the last 12 months) did you visit an art fair or festival, or a craft fair or festival?”</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4"/>
        <w:pageBreakBefore w:val="0"/>
        <w:spacing w:before="0" w:line="360" w:lineRule="auto"/>
        <w:rPr/>
      </w:pPr>
      <w:bookmarkStart w:colFirst="0" w:colLast="0" w:name="_3bj1y38" w:id="116"/>
      <w:bookmarkEnd w:id="116"/>
      <w:r w:rsidDel="00000000" w:rsidR="00000000" w:rsidRPr="00000000">
        <w:rPr>
          <w:rtl w:val="0"/>
        </w:rPr>
      </w:r>
    </w:p>
    <w:p w:rsidR="00000000" w:rsidDel="00000000" w:rsidP="00000000" w:rsidRDefault="00000000" w:rsidRPr="00000000" w14:paraId="00000195">
      <w:pPr>
        <w:pStyle w:val="Heading4"/>
        <w:pageBreakBefore w:val="0"/>
        <w:spacing w:before="0" w:line="360" w:lineRule="auto"/>
        <w:rPr/>
      </w:pPr>
      <w:bookmarkStart w:colFirst="0" w:colLast="0" w:name="_1qoc8b1" w:id="117"/>
      <w:bookmarkEnd w:id="117"/>
      <w:r w:rsidDel="00000000" w:rsidR="00000000" w:rsidRPr="00000000">
        <w:rPr>
          <w:b w:val="1"/>
          <w:bCs w:val="1"/>
          <w:sz w:val="26"/>
          <w:szCs w:val="26"/>
          <w:rtl w:val="0"/>
        </w:rPr>
        <w:t xml:space="preserve">Table 2. </w:t>
      </w:r>
      <w:r w:rsidDel="00000000" w:rsidR="00000000" w:rsidRPr="00000000">
        <w:rPr>
          <w:rtl w:val="0"/>
        </w:rPr>
      </w:r>
    </w:p>
    <w:tbl>
      <w:tblPr>
        <w:tblStyle w:val="Table2"/>
        <w:tblW w:w="9216.0" w:type="dxa"/>
        <w:jc w:val="left"/>
        <w:tblInd w:w="-40.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41"/>
        <w:gridCol w:w="1728"/>
        <w:gridCol w:w="1727"/>
        <w:gridCol w:w="1440"/>
        <w:gridCol w:w="1440"/>
        <w:gridCol w:w="1440"/>
        <w:tblGridChange w:id="0">
          <w:tblGrid>
            <w:gridCol w:w="1441"/>
            <w:gridCol w:w="1728"/>
            <w:gridCol w:w="1727"/>
            <w:gridCol w:w="1440"/>
            <w:gridCol w:w="1440"/>
            <w:gridCol w:w="1440"/>
          </w:tblGrid>
        </w:tblGridChange>
      </w:tblGrid>
      <w:tr>
        <w:trPr>
          <w:cantSplit w:val="0"/>
          <w:trHeight w:val="240" w:hRule="atLeast"/>
          <w:tblHeader w:val="0"/>
        </w:trPr>
        <w:tc>
          <w:tcPr>
            <w:gridSpan w:val="6"/>
            <w:shd w:fill="666666" w:val="clear"/>
            <w:tcMar>
              <w:left w:w="40.0" w:type="dxa"/>
              <w:right w:w="40.0" w:type="dxa"/>
            </w:tcMar>
            <w:vAlign w:val="bottom"/>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Effects</w:t>
            </w:r>
            <w:r w:rsidDel="00000000" w:rsidR="00000000" w:rsidRPr="00000000">
              <w:rPr>
                <w:rtl w:val="0"/>
              </w:rPr>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ffffff"/>
                <w:sz w:val="26"/>
                <w:szCs w:val="26"/>
                <w:u w:val="none"/>
                <w:shd w:fill="auto" w:val="clear"/>
                <w:vertAlign w:val="baseline"/>
                <w:rtl w:val="0"/>
              </w:rPr>
              <w:t xml:space="preserve">LL (Null)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ffffff"/>
                <w:sz w:val="26"/>
                <w:szCs w:val="26"/>
                <w:u w:val="none"/>
                <w:shd w:fill="auto" w:val="clear"/>
                <w:vertAlign w:val="baseline"/>
                <w:rtl w:val="0"/>
              </w:rPr>
              <w:t xml:space="preserve">LL (Model)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ffffff"/>
                <w:sz w:val="26"/>
                <w:szCs w:val="26"/>
                <w:u w:val="none"/>
                <w:shd w:fill="auto" w:val="clear"/>
                <w:vertAlign w:val="baseline"/>
                <w:rtl w:val="0"/>
              </w:rPr>
              <w:t xml:space="preserve">DF</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ffffff"/>
                <w:sz w:val="26"/>
                <w:szCs w:val="26"/>
                <w:u w:val="none"/>
                <w:shd w:fill="auto" w:val="clear"/>
                <w:vertAlign w:val="baseline"/>
                <w:rtl w:val="0"/>
              </w:rPr>
              <w:t xml:space="preserve">AIC</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tcMar>
              <w:left w:w="40.0" w:type="dxa"/>
              <w:right w:w="40.0" w:type="dxa"/>
            </w:tcMar>
            <w:vAlign w:val="bottom"/>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-30203.16848</w:t>
            </w:r>
          </w:p>
        </w:tc>
        <w:tc>
          <w:tcPr>
            <w:tcMar>
              <w:left w:w="40.0" w:type="dxa"/>
              <w:right w:w="40.0" w:type="dxa"/>
            </w:tcMar>
            <w:vAlign w:val="bottom"/>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-29732.68584</w:t>
            </w:r>
          </w:p>
        </w:tc>
        <w:tc>
          <w:tcPr>
            <w:tcMar>
              <w:left w:w="40.0" w:type="dxa"/>
              <w:right w:w="40.0" w:type="dxa"/>
            </w:tcMar>
            <w:vAlign w:val="bottom"/>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59495.37168</w:t>
            </w:r>
          </w:p>
        </w:tc>
        <w:tc>
          <w:tcPr>
            <w:tcMar>
              <w:left w:w="40.0" w:type="dxa"/>
              <w:right w:w="40.0" w:type="dxa"/>
            </w:tcMar>
            <w:vAlign w:val="bottom"/>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tcMar>
              <w:left w:w="40.0" w:type="dxa"/>
              <w:right w:w="40.0" w:type="dxa"/>
            </w:tcMar>
            <w:vAlign w:val="bottom"/>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-34992.152</w:t>
            </w:r>
          </w:p>
        </w:tc>
        <w:tc>
          <w:tcPr>
            <w:tcMar>
              <w:left w:w="40.0" w:type="dxa"/>
              <w:right w:w="40.0" w:type="dxa"/>
            </w:tcMar>
            <w:vAlign w:val="bottom"/>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-34854.72026</w:t>
            </w:r>
          </w:p>
        </w:tc>
        <w:tc>
          <w:tcPr>
            <w:tcMar>
              <w:left w:w="40.0" w:type="dxa"/>
              <w:right w:w="40.0" w:type="dxa"/>
            </w:tcMar>
            <w:vAlign w:val="bottom"/>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69741.44052</w:t>
            </w:r>
          </w:p>
        </w:tc>
        <w:tc>
          <w:tcPr>
            <w:tcMar>
              <w:left w:w="40.0" w:type="dxa"/>
              <w:right w:w="40.0" w:type="dxa"/>
            </w:tcMar>
            <w:vAlign w:val="bottom"/>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tcMar>
              <w:left w:w="40.0" w:type="dxa"/>
              <w:right w:w="40.0" w:type="dxa"/>
            </w:tcMar>
            <w:vAlign w:val="bottom"/>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-12322.41823</w:t>
            </w:r>
          </w:p>
        </w:tc>
        <w:tc>
          <w:tcPr>
            <w:tcMar>
              <w:left w:w="40.0" w:type="dxa"/>
              <w:right w:w="40.0" w:type="dxa"/>
            </w:tcMar>
            <w:vAlign w:val="bottom"/>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-12278.41295</w:t>
            </w:r>
          </w:p>
        </w:tc>
        <w:tc>
          <w:tcPr>
            <w:tcMar>
              <w:left w:w="40.0" w:type="dxa"/>
              <w:right w:w="40.0" w:type="dxa"/>
            </w:tcMar>
            <w:vAlign w:val="bottom"/>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24586.8259</w:t>
            </w:r>
          </w:p>
        </w:tc>
        <w:tc>
          <w:tcPr>
            <w:tcMar>
              <w:left w:w="40.0" w:type="dxa"/>
              <w:right w:w="40.0" w:type="dxa"/>
            </w:tcMar>
            <w:vAlign w:val="bottom"/>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tcMar>
              <w:left w:w="40.0" w:type="dxa"/>
              <w:right w:w="40.0" w:type="dxa"/>
            </w:tcMar>
            <w:vAlign w:val="bottom"/>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-45081.47682</w:t>
            </w:r>
          </w:p>
        </w:tc>
        <w:tc>
          <w:tcPr>
            <w:tcMar>
              <w:left w:w="40.0" w:type="dxa"/>
              <w:right w:w="40.0" w:type="dxa"/>
            </w:tcMar>
            <w:vAlign w:val="bottom"/>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-44793.30944</w:t>
            </w:r>
          </w:p>
        </w:tc>
        <w:tc>
          <w:tcPr>
            <w:tcMar>
              <w:left w:w="40.0" w:type="dxa"/>
              <w:right w:w="40.0" w:type="dxa"/>
            </w:tcMar>
            <w:vAlign w:val="bottom"/>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89616.61887</w:t>
            </w:r>
          </w:p>
        </w:tc>
        <w:tc>
          <w:tcPr>
            <w:tcMar>
              <w:left w:w="40.0" w:type="dxa"/>
              <w:right w:w="40.0" w:type="dxa"/>
            </w:tcMar>
            <w:vAlign w:val="bottom"/>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tcMar>
              <w:left w:w="40.0" w:type="dxa"/>
              <w:right w:w="40.0" w:type="dxa"/>
            </w:tcMar>
            <w:vAlign w:val="bottom"/>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-15817.60051</w:t>
            </w:r>
          </w:p>
        </w:tc>
        <w:tc>
          <w:tcPr>
            <w:tcMar>
              <w:left w:w="40.0" w:type="dxa"/>
              <w:right w:w="40.0" w:type="dxa"/>
            </w:tcMar>
            <w:vAlign w:val="bottom"/>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-15721.92135</w:t>
            </w:r>
          </w:p>
        </w:tc>
        <w:tc>
          <w:tcPr>
            <w:tcMar>
              <w:left w:w="40.0" w:type="dxa"/>
              <w:right w:w="40.0" w:type="dxa"/>
            </w:tcMar>
            <w:vAlign w:val="bottom"/>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31473.84271</w:t>
            </w:r>
          </w:p>
        </w:tc>
        <w:tc>
          <w:tcPr>
            <w:tcMar>
              <w:left w:w="40.0" w:type="dxa"/>
              <w:right w:w="40.0" w:type="dxa"/>
            </w:tcMar>
            <w:vAlign w:val="bottom"/>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tcMar>
              <w:left w:w="40.0" w:type="dxa"/>
              <w:right w:w="40.0" w:type="dxa"/>
            </w:tcMar>
            <w:vAlign w:val="bottom"/>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-53431.39911</w:t>
            </w:r>
          </w:p>
        </w:tc>
        <w:tc>
          <w:tcPr>
            <w:tcMar>
              <w:left w:w="40.0" w:type="dxa"/>
              <w:right w:w="40.0" w:type="dxa"/>
            </w:tcMar>
            <w:vAlign w:val="bottom"/>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-52949.19402</w:t>
            </w:r>
          </w:p>
        </w:tc>
        <w:tc>
          <w:tcPr>
            <w:tcMar>
              <w:left w:w="40.0" w:type="dxa"/>
              <w:right w:w="40.0" w:type="dxa"/>
            </w:tcMar>
            <w:vAlign w:val="bottom"/>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16</w:t>
            </w:r>
          </w:p>
        </w:tc>
        <w:tc>
          <w:tcPr>
            <w:tcMar>
              <w:left w:w="40.0" w:type="dxa"/>
              <w:right w:w="40.0" w:type="dxa"/>
            </w:tcMar>
            <w:vAlign w:val="bottom"/>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105930.388</w:t>
            </w:r>
          </w:p>
        </w:tc>
        <w:tc>
          <w:tcPr>
            <w:tcMar>
              <w:left w:w="40.0" w:type="dxa"/>
              <w:right w:w="40.0" w:type="dxa"/>
            </w:tcMar>
            <w:vAlign w:val="bottom"/>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artmuseum</w:t>
            </w:r>
          </w:p>
        </w:tc>
      </w:tr>
      <w:tr>
        <w:trPr>
          <w:cantSplit w:val="0"/>
          <w:tblHeader w:val="0"/>
        </w:trPr>
        <w:tc>
          <w:tcPr>
            <w:tcMar>
              <w:left w:w="40.0" w:type="dxa"/>
              <w:right w:w="40.0" w:type="dxa"/>
            </w:tcMar>
            <w:vAlign w:val="bottom"/>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tcMar>
              <w:left w:w="40.0" w:type="dxa"/>
              <w:right w:w="40.0" w:type="dxa"/>
            </w:tcMar>
            <w:vAlign w:val="bottom"/>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-45277.88053</w:t>
            </w:r>
          </w:p>
        </w:tc>
        <w:tc>
          <w:tcPr>
            <w:tcMar>
              <w:left w:w="40.0" w:type="dxa"/>
              <w:right w:w="40.0" w:type="dxa"/>
            </w:tcMar>
            <w:vAlign w:val="bottom"/>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-44697.44316</w:t>
            </w:r>
          </w:p>
        </w:tc>
        <w:tc>
          <w:tcPr>
            <w:tcMar>
              <w:left w:w="40.0" w:type="dxa"/>
              <w:right w:w="40.0" w:type="dxa"/>
            </w:tcMar>
            <w:vAlign w:val="bottom"/>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89424.88631</w:t>
            </w:r>
          </w:p>
        </w:tc>
        <w:tc>
          <w:tcPr>
            <w:tcMar>
              <w:left w:w="40.0" w:type="dxa"/>
              <w:right w:w="40.0" w:type="dxa"/>
            </w:tcMar>
            <w:vAlign w:val="bottom"/>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craft_fair</w:t>
            </w:r>
          </w:p>
        </w:tc>
      </w:tr>
      <w:tr>
        <w:trPr>
          <w:cantSplit w:val="0"/>
          <w:tblHeader w:val="0"/>
        </w:trPr>
        <w:tc>
          <w:tcPr>
            <w:tcMar>
              <w:left w:w="40.0" w:type="dxa"/>
              <w:right w:w="40.0" w:type="dxa"/>
            </w:tcMar>
            <w:vAlign w:val="bottom"/>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tcMar>
              <w:left w:w="40.0" w:type="dxa"/>
              <w:right w:w="40.0" w:type="dxa"/>
            </w:tcMar>
            <w:vAlign w:val="bottom"/>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-44412.32366</w:t>
            </w:r>
          </w:p>
        </w:tc>
        <w:tc>
          <w:tcPr>
            <w:tcMar>
              <w:left w:w="40.0" w:type="dxa"/>
              <w:right w:w="40.0" w:type="dxa"/>
            </w:tcMar>
            <w:vAlign w:val="bottom"/>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-43764.12136</w:t>
            </w:r>
          </w:p>
        </w:tc>
        <w:tc>
          <w:tcPr>
            <w:tcMar>
              <w:left w:w="40.0" w:type="dxa"/>
              <w:right w:w="40.0" w:type="dxa"/>
            </w:tcMar>
            <w:vAlign w:val="bottom"/>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w:t>
            </w:r>
          </w:p>
        </w:tc>
        <w:tc>
          <w:tcPr>
            <w:tcMar>
              <w:left w:w="40.0" w:type="dxa"/>
              <w:right w:w="40.0" w:type="dxa"/>
            </w:tcMar>
            <w:vAlign w:val="bottom"/>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87558.24273</w:t>
            </w:r>
          </w:p>
        </w:tc>
        <w:tc>
          <w:tcPr>
            <w:tcMar>
              <w:left w:w="40.0" w:type="dxa"/>
              <w:right w:w="40.0" w:type="dxa"/>
            </w:tcMar>
            <w:vAlign w:val="bottom"/>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park</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 Period Effects</w:t>
            </w:r>
            <w:r w:rsidDel="00000000" w:rsidR="00000000" w:rsidRPr="00000000">
              <w:rPr>
                <w:rtl w:val="0"/>
              </w:rPr>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(Null)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(Model)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97027</w:t>
            </w:r>
          </w:p>
        </w:tc>
        <w:tc>
          <w:tcPr>
            <w:tcMar>
              <w:left w:w="40.0" w:type="dxa"/>
              <w:right w:w="40.0" w:type="dxa"/>
            </w:tcMar>
            <w:vAlign w:val="bottom"/>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-30203.16848</w:t>
            </w:r>
          </w:p>
        </w:tc>
        <w:tc>
          <w:tcPr>
            <w:tcMar>
              <w:left w:w="40.0" w:type="dxa"/>
              <w:right w:w="40.0" w:type="dxa"/>
            </w:tcMar>
            <w:vAlign w:val="bottom"/>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-29704.98256</w:t>
            </w:r>
          </w:p>
        </w:tc>
        <w:tc>
          <w:tcPr>
            <w:tcMar>
              <w:left w:w="40.0" w:type="dxa"/>
              <w:right w:w="40.0" w:type="dxa"/>
            </w:tcMar>
            <w:vAlign w:val="bottom"/>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59449.96511</w:t>
            </w:r>
          </w:p>
        </w:tc>
        <w:tc>
          <w:tcPr>
            <w:tcMar>
              <w:left w:w="40.0" w:type="dxa"/>
              <w:right w:w="40.0" w:type="dxa"/>
            </w:tcMar>
            <w:vAlign w:val="bottom"/>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tcMar>
              <w:left w:w="40.0" w:type="dxa"/>
              <w:right w:w="40.0" w:type="dxa"/>
            </w:tcMar>
            <w:vAlign w:val="bottom"/>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-34992.152</w:t>
            </w:r>
          </w:p>
        </w:tc>
        <w:tc>
          <w:tcPr>
            <w:tcMar>
              <w:left w:w="40.0" w:type="dxa"/>
              <w:right w:w="40.0" w:type="dxa"/>
            </w:tcMar>
            <w:vAlign w:val="bottom"/>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-34738.55917</w:t>
            </w:r>
          </w:p>
        </w:tc>
        <w:tc>
          <w:tcPr>
            <w:tcMar>
              <w:left w:w="40.0" w:type="dxa"/>
              <w:right w:w="40.0" w:type="dxa"/>
            </w:tcMar>
            <w:vAlign w:val="bottom"/>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69519.11834</w:t>
            </w:r>
          </w:p>
        </w:tc>
        <w:tc>
          <w:tcPr>
            <w:tcMar>
              <w:left w:w="40.0" w:type="dxa"/>
              <w:right w:w="40.0" w:type="dxa"/>
            </w:tcMar>
            <w:vAlign w:val="bottom"/>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tcMar>
              <w:left w:w="40.0" w:type="dxa"/>
              <w:right w:w="40.0" w:type="dxa"/>
            </w:tcMar>
            <w:vAlign w:val="bottom"/>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-12322.41823</w:t>
            </w:r>
          </w:p>
        </w:tc>
        <w:tc>
          <w:tcPr>
            <w:tcMar>
              <w:left w:w="40.0" w:type="dxa"/>
              <w:right w:w="40.0" w:type="dxa"/>
            </w:tcMar>
            <w:vAlign w:val="bottom"/>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-12245.91531</w:t>
            </w:r>
          </w:p>
        </w:tc>
        <w:tc>
          <w:tcPr>
            <w:tcMar>
              <w:left w:w="40.0" w:type="dxa"/>
              <w:right w:w="40.0" w:type="dxa"/>
            </w:tcMar>
            <w:vAlign w:val="bottom"/>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24531.83063</w:t>
            </w:r>
          </w:p>
        </w:tc>
        <w:tc>
          <w:tcPr>
            <w:tcMar>
              <w:left w:w="40.0" w:type="dxa"/>
              <w:right w:w="40.0" w:type="dxa"/>
            </w:tcMar>
            <w:vAlign w:val="bottom"/>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tcMar>
              <w:left w:w="40.0" w:type="dxa"/>
              <w:right w:w="40.0" w:type="dxa"/>
            </w:tcMar>
            <w:vAlign w:val="bottom"/>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-45081.47682</w:t>
            </w:r>
          </w:p>
        </w:tc>
        <w:tc>
          <w:tcPr>
            <w:tcMar>
              <w:left w:w="40.0" w:type="dxa"/>
              <w:right w:w="40.0" w:type="dxa"/>
            </w:tcMar>
            <w:vAlign w:val="bottom"/>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-44774.70931</w:t>
            </w:r>
          </w:p>
        </w:tc>
        <w:tc>
          <w:tcPr>
            <w:tcMar>
              <w:left w:w="40.0" w:type="dxa"/>
              <w:right w:w="40.0" w:type="dxa"/>
            </w:tcMar>
            <w:vAlign w:val="bottom"/>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89589.41861</w:t>
            </w:r>
          </w:p>
        </w:tc>
        <w:tc>
          <w:tcPr>
            <w:tcMar>
              <w:left w:w="40.0" w:type="dxa"/>
              <w:right w:w="40.0" w:type="dxa"/>
            </w:tcMar>
            <w:vAlign w:val="bottom"/>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tcMar>
              <w:left w:w="40.0" w:type="dxa"/>
              <w:right w:w="40.0" w:type="dxa"/>
            </w:tcMar>
            <w:vAlign w:val="bottom"/>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-15817.60051</w:t>
            </w:r>
          </w:p>
        </w:tc>
        <w:tc>
          <w:tcPr>
            <w:tcMar>
              <w:left w:w="40.0" w:type="dxa"/>
              <w:right w:w="40.0" w:type="dxa"/>
            </w:tcMar>
            <w:vAlign w:val="bottom"/>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-15676.87114</w:t>
            </w:r>
          </w:p>
        </w:tc>
        <w:tc>
          <w:tcPr>
            <w:tcMar>
              <w:left w:w="40.0" w:type="dxa"/>
              <w:right w:w="40.0" w:type="dxa"/>
            </w:tcMar>
            <w:vAlign w:val="bottom"/>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31393.74228</w:t>
            </w:r>
          </w:p>
        </w:tc>
        <w:tc>
          <w:tcPr>
            <w:tcMar>
              <w:left w:w="40.0" w:type="dxa"/>
              <w:right w:w="40.0" w:type="dxa"/>
            </w:tcMar>
            <w:vAlign w:val="bottom"/>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tcMar>
              <w:left w:w="40.0" w:type="dxa"/>
              <w:right w:w="40.0" w:type="dxa"/>
            </w:tcMar>
            <w:vAlign w:val="bottom"/>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-53431.39911</w:t>
            </w:r>
          </w:p>
        </w:tc>
        <w:tc>
          <w:tcPr>
            <w:tcMar>
              <w:left w:w="40.0" w:type="dxa"/>
              <w:right w:w="40.0" w:type="dxa"/>
            </w:tcMar>
            <w:vAlign w:val="bottom"/>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-52859.73988</w:t>
            </w:r>
          </w:p>
        </w:tc>
        <w:tc>
          <w:tcPr>
            <w:tcMar>
              <w:left w:w="40.0" w:type="dxa"/>
              <w:right w:w="40.0" w:type="dxa"/>
            </w:tcMar>
            <w:vAlign w:val="bottom"/>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21</w:t>
            </w:r>
          </w:p>
        </w:tc>
        <w:tc>
          <w:tcPr>
            <w:tcMar>
              <w:left w:w="40.0" w:type="dxa"/>
              <w:right w:w="40.0" w:type="dxa"/>
            </w:tcMar>
            <w:vAlign w:val="bottom"/>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105761.4798</w:t>
            </w:r>
          </w:p>
        </w:tc>
        <w:tc>
          <w:tcPr>
            <w:tcMar>
              <w:left w:w="40.0" w:type="dxa"/>
              <w:right w:w="40.0" w:type="dxa"/>
            </w:tcMar>
            <w:vAlign w:val="bottom"/>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artmuseum</w:t>
            </w:r>
          </w:p>
        </w:tc>
      </w:tr>
      <w:tr>
        <w:trPr>
          <w:cantSplit w:val="0"/>
          <w:tblHeader w:val="0"/>
        </w:trPr>
        <w:tc>
          <w:tcPr>
            <w:tcMar>
              <w:left w:w="40.0" w:type="dxa"/>
              <w:right w:w="40.0" w:type="dxa"/>
            </w:tcMar>
            <w:vAlign w:val="bottom"/>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tcMar>
              <w:left w:w="40.0" w:type="dxa"/>
              <w:right w:w="40.0" w:type="dxa"/>
            </w:tcMar>
            <w:vAlign w:val="bottom"/>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-45277.88053</w:t>
            </w:r>
          </w:p>
        </w:tc>
        <w:tc>
          <w:tcPr>
            <w:tcMar>
              <w:left w:w="40.0" w:type="dxa"/>
              <w:right w:w="40.0" w:type="dxa"/>
            </w:tcMar>
            <w:vAlign w:val="bottom"/>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-44023.81538</w:t>
            </w:r>
          </w:p>
        </w:tc>
        <w:tc>
          <w:tcPr>
            <w:tcMar>
              <w:left w:w="40.0" w:type="dxa"/>
              <w:right w:w="40.0" w:type="dxa"/>
            </w:tcMar>
            <w:vAlign w:val="bottom"/>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88087.63075</w:t>
            </w:r>
          </w:p>
        </w:tc>
        <w:tc>
          <w:tcPr>
            <w:tcMar>
              <w:left w:w="40.0" w:type="dxa"/>
              <w:right w:w="40.0" w:type="dxa"/>
            </w:tcMar>
            <w:vAlign w:val="bottom"/>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craft_fair</w:t>
            </w:r>
          </w:p>
        </w:tc>
      </w:tr>
      <w:tr>
        <w:trPr>
          <w:cantSplit w:val="0"/>
          <w:tblHeader w:val="0"/>
        </w:trPr>
        <w:tc>
          <w:tcPr>
            <w:tcMar>
              <w:left w:w="40.0" w:type="dxa"/>
              <w:right w:w="40.0" w:type="dxa"/>
            </w:tcMar>
            <w:vAlign w:val="bottom"/>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tcMar>
              <w:left w:w="40.0" w:type="dxa"/>
              <w:right w:w="40.0" w:type="dxa"/>
            </w:tcMar>
            <w:vAlign w:val="bottom"/>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-44412.32366</w:t>
            </w:r>
          </w:p>
        </w:tc>
        <w:tc>
          <w:tcPr>
            <w:tcMar>
              <w:left w:w="40.0" w:type="dxa"/>
              <w:right w:w="40.0" w:type="dxa"/>
            </w:tcMar>
            <w:vAlign w:val="bottom"/>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-43545.45425</w:t>
            </w:r>
          </w:p>
        </w:tc>
        <w:tc>
          <w:tcPr>
            <w:tcMar>
              <w:left w:w="40.0" w:type="dxa"/>
              <w:right w:w="40.0" w:type="dxa"/>
            </w:tcMar>
            <w:vAlign w:val="bottom"/>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20</w:t>
            </w:r>
          </w:p>
        </w:tc>
        <w:tc>
          <w:tcPr>
            <w:tcMar>
              <w:left w:w="40.0" w:type="dxa"/>
              <w:right w:w="40.0" w:type="dxa"/>
            </w:tcMar>
            <w:vAlign w:val="bottom"/>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87130.9085</w:t>
            </w:r>
          </w:p>
        </w:tc>
        <w:tc>
          <w:tcPr>
            <w:tcMar>
              <w:left w:w="40.0" w:type="dxa"/>
              <w:right w:w="40.0" w:type="dxa"/>
            </w:tcMar>
            <w:vAlign w:val="bottom"/>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park</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 Cohort Effects</w:t>
            </w:r>
            <w:r w:rsidDel="00000000" w:rsidR="00000000" w:rsidRPr="00000000">
              <w:rPr>
                <w:rtl w:val="0"/>
              </w:rPr>
            </w:r>
          </w:p>
        </w:tc>
      </w:tr>
      <w:tr>
        <w:trPr>
          <w:cantSplit w:val="0"/>
          <w:tblHeader w:val="0"/>
        </w:trPr>
        <w:tc>
          <w:tcPr>
            <w:shd w:fill="666666" w:val="clear"/>
            <w:tcMar>
              <w:left w:w="40.0" w:type="dxa"/>
              <w:right w:w="40.0" w:type="dxa"/>
            </w:tcMar>
            <w:vAlign w:val="bottom"/>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(Null)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(Model)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tcMar>
              <w:left w:w="40.0" w:type="dxa"/>
              <w:right w:w="40.0" w:type="dxa"/>
            </w:tcMar>
            <w:vAlign w:val="bottom"/>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-30195.87534</w:t>
            </w:r>
          </w:p>
        </w:tc>
        <w:tc>
          <w:tcPr>
            <w:tcMar>
              <w:left w:w="40.0" w:type="dxa"/>
              <w:right w:w="40.0" w:type="dxa"/>
            </w:tcMar>
            <w:vAlign w:val="bottom"/>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-29405.71988</w:t>
            </w:r>
          </w:p>
        </w:tc>
        <w:tc>
          <w:tcPr>
            <w:tcMar>
              <w:left w:w="40.0" w:type="dxa"/>
              <w:right w:w="40.0" w:type="dxa"/>
            </w:tcMar>
            <w:vAlign w:val="bottom"/>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58879.43976</w:t>
            </w:r>
          </w:p>
        </w:tc>
        <w:tc>
          <w:tcPr>
            <w:tcMar>
              <w:left w:w="40.0" w:type="dxa"/>
              <w:right w:w="40.0" w:type="dxa"/>
            </w:tcMar>
            <w:vAlign w:val="bottom"/>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tcMar>
              <w:left w:w="40.0" w:type="dxa"/>
              <w:right w:w="40.0" w:type="dxa"/>
            </w:tcMar>
            <w:vAlign w:val="bottom"/>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-34992.152</w:t>
            </w:r>
          </w:p>
        </w:tc>
        <w:tc>
          <w:tcPr>
            <w:tcMar>
              <w:left w:w="40.0" w:type="dxa"/>
              <w:right w:w="40.0" w:type="dxa"/>
            </w:tcMar>
            <w:vAlign w:val="bottom"/>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-34591.25336</w:t>
            </w:r>
          </w:p>
        </w:tc>
        <w:tc>
          <w:tcPr>
            <w:tcMar>
              <w:left w:w="40.0" w:type="dxa"/>
              <w:right w:w="40.0" w:type="dxa"/>
            </w:tcMar>
            <w:vAlign w:val="bottom"/>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69254.50672</w:t>
            </w:r>
          </w:p>
        </w:tc>
        <w:tc>
          <w:tcPr>
            <w:tcMar>
              <w:left w:w="40.0" w:type="dxa"/>
              <w:right w:w="40.0" w:type="dxa"/>
            </w:tcMar>
            <w:vAlign w:val="bottom"/>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tcMar>
              <w:left w:w="40.0" w:type="dxa"/>
              <w:right w:w="40.0" w:type="dxa"/>
            </w:tcMar>
            <w:vAlign w:val="bottom"/>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-12322.41823</w:t>
            </w:r>
          </w:p>
        </w:tc>
        <w:tc>
          <w:tcPr>
            <w:tcMar>
              <w:left w:w="40.0" w:type="dxa"/>
              <w:right w:w="40.0" w:type="dxa"/>
            </w:tcMar>
            <w:vAlign w:val="bottom"/>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-12233.6038</w:t>
            </w:r>
          </w:p>
        </w:tc>
        <w:tc>
          <w:tcPr>
            <w:tcMar>
              <w:left w:w="40.0" w:type="dxa"/>
              <w:right w:w="40.0" w:type="dxa"/>
            </w:tcMar>
            <w:vAlign w:val="bottom"/>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24537.20761</w:t>
            </w:r>
          </w:p>
        </w:tc>
        <w:tc>
          <w:tcPr>
            <w:tcMar>
              <w:left w:w="40.0" w:type="dxa"/>
              <w:right w:w="40.0" w:type="dxa"/>
            </w:tcMar>
            <w:vAlign w:val="bottom"/>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tcMar>
              <w:left w:w="40.0" w:type="dxa"/>
              <w:right w:w="40.0" w:type="dxa"/>
            </w:tcMar>
            <w:vAlign w:val="bottom"/>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-45081.47682</w:t>
            </w:r>
          </w:p>
        </w:tc>
        <w:tc>
          <w:tcPr>
            <w:tcMar>
              <w:left w:w="40.0" w:type="dxa"/>
              <w:right w:w="40.0" w:type="dxa"/>
            </w:tcMar>
            <w:vAlign w:val="bottom"/>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-44715.95893</w:t>
            </w:r>
          </w:p>
        </w:tc>
        <w:tc>
          <w:tcPr>
            <w:tcMar>
              <w:left w:w="40.0" w:type="dxa"/>
              <w:right w:w="40.0" w:type="dxa"/>
            </w:tcMar>
            <w:vAlign w:val="bottom"/>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89501.91786</w:t>
            </w:r>
          </w:p>
        </w:tc>
        <w:tc>
          <w:tcPr>
            <w:tcMar>
              <w:left w:w="40.0" w:type="dxa"/>
              <w:right w:w="40.0" w:type="dxa"/>
            </w:tcMar>
            <w:vAlign w:val="bottom"/>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tcMar>
              <w:left w:w="40.0" w:type="dxa"/>
              <w:right w:w="40.0" w:type="dxa"/>
            </w:tcMar>
            <w:vAlign w:val="bottom"/>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-15817.60051</w:t>
            </w:r>
          </w:p>
        </w:tc>
        <w:tc>
          <w:tcPr>
            <w:tcMar>
              <w:left w:w="40.0" w:type="dxa"/>
              <w:right w:w="40.0" w:type="dxa"/>
            </w:tcMar>
            <w:vAlign w:val="bottom"/>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-15660.02245</w:t>
            </w:r>
          </w:p>
        </w:tc>
        <w:tc>
          <w:tcPr>
            <w:tcMar>
              <w:left w:w="40.0" w:type="dxa"/>
              <w:right w:w="40.0" w:type="dxa"/>
            </w:tcMar>
            <w:vAlign w:val="bottom"/>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w:t>
            </w:r>
          </w:p>
        </w:tc>
        <w:tc>
          <w:tcPr>
            <w:tcMar>
              <w:left w:w="40.0" w:type="dxa"/>
              <w:right w:w="40.0" w:type="dxa"/>
            </w:tcMar>
            <w:vAlign w:val="bottom"/>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31388.04491</w:t>
            </w:r>
          </w:p>
        </w:tc>
        <w:tc>
          <w:tcPr>
            <w:tcMar>
              <w:left w:w="40.0" w:type="dxa"/>
              <w:right w:w="40.0" w:type="dxa"/>
            </w:tcMar>
            <w:vAlign w:val="bottom"/>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tcMar>
              <w:left w:w="40.0" w:type="dxa"/>
              <w:right w:w="40.0" w:type="dxa"/>
            </w:tcMar>
            <w:vAlign w:val="bottom"/>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-53431.39911</w:t>
            </w:r>
          </w:p>
        </w:tc>
        <w:tc>
          <w:tcPr>
            <w:tcMar>
              <w:left w:w="40.0" w:type="dxa"/>
              <w:right w:w="40.0" w:type="dxa"/>
            </w:tcMar>
            <w:vAlign w:val="bottom"/>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-52796.43574</w:t>
            </w:r>
          </w:p>
        </w:tc>
        <w:tc>
          <w:tcPr>
            <w:tcMar>
              <w:left w:w="40.0" w:type="dxa"/>
              <w:right w:w="40.0" w:type="dxa"/>
            </w:tcMar>
            <w:vAlign w:val="bottom"/>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36</w:t>
            </w:r>
          </w:p>
        </w:tc>
        <w:tc>
          <w:tcPr>
            <w:tcMar>
              <w:left w:w="40.0" w:type="dxa"/>
              <w:right w:w="40.0" w:type="dxa"/>
            </w:tcMar>
            <w:vAlign w:val="bottom"/>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105664.8715</w:t>
            </w:r>
          </w:p>
        </w:tc>
        <w:tc>
          <w:tcPr>
            <w:tcMar>
              <w:left w:w="40.0" w:type="dxa"/>
              <w:right w:w="40.0" w:type="dxa"/>
            </w:tcMar>
            <w:vAlign w:val="bottom"/>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artmuseum</w:t>
            </w:r>
          </w:p>
        </w:tc>
      </w:tr>
      <w:tr>
        <w:trPr>
          <w:cantSplit w:val="0"/>
          <w:tblHeader w:val="0"/>
        </w:trPr>
        <w:tc>
          <w:tcPr>
            <w:tcMar>
              <w:left w:w="40.0" w:type="dxa"/>
              <w:right w:w="40.0" w:type="dxa"/>
            </w:tcMar>
            <w:vAlign w:val="bottom"/>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tcMar>
              <w:left w:w="40.0" w:type="dxa"/>
              <w:right w:w="40.0" w:type="dxa"/>
            </w:tcMar>
            <w:vAlign w:val="bottom"/>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-45277.88053</w:t>
            </w:r>
          </w:p>
        </w:tc>
        <w:tc>
          <w:tcPr>
            <w:tcMar>
              <w:left w:w="40.0" w:type="dxa"/>
              <w:right w:w="40.0" w:type="dxa"/>
            </w:tcMar>
            <w:vAlign w:val="bottom"/>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-43986.08967</w:t>
            </w:r>
          </w:p>
        </w:tc>
        <w:tc>
          <w:tcPr>
            <w:tcMar>
              <w:left w:w="40.0" w:type="dxa"/>
              <w:right w:w="40.0" w:type="dxa"/>
            </w:tcMar>
            <w:vAlign w:val="bottom"/>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88042.17934</w:t>
            </w:r>
          </w:p>
        </w:tc>
        <w:tc>
          <w:tcPr>
            <w:tcMar>
              <w:left w:w="40.0" w:type="dxa"/>
              <w:right w:w="40.0" w:type="dxa"/>
            </w:tcMar>
            <w:vAlign w:val="bottom"/>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craft_fair</w:t>
            </w:r>
          </w:p>
        </w:tc>
      </w:tr>
      <w:tr>
        <w:trPr>
          <w:cantSplit w:val="0"/>
          <w:tblHeader w:val="0"/>
        </w:trPr>
        <w:tc>
          <w:tcPr>
            <w:tcMar>
              <w:left w:w="40.0" w:type="dxa"/>
              <w:right w:w="40.0" w:type="dxa"/>
            </w:tcMar>
            <w:vAlign w:val="bottom"/>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tcMar>
              <w:left w:w="40.0" w:type="dxa"/>
              <w:right w:w="40.0" w:type="dxa"/>
            </w:tcMar>
            <w:vAlign w:val="bottom"/>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-44412.32366</w:t>
            </w:r>
          </w:p>
        </w:tc>
        <w:tc>
          <w:tcPr>
            <w:tcMar>
              <w:left w:w="40.0" w:type="dxa"/>
              <w:right w:w="40.0" w:type="dxa"/>
            </w:tcMar>
            <w:vAlign w:val="bottom"/>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-43474.3563</w:t>
            </w:r>
          </w:p>
        </w:tc>
        <w:tc>
          <w:tcPr>
            <w:tcMar>
              <w:left w:w="40.0" w:type="dxa"/>
              <w:right w:w="40.0" w:type="dxa"/>
            </w:tcMar>
            <w:vAlign w:val="bottom"/>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35</w:t>
            </w:r>
          </w:p>
        </w:tc>
        <w:tc>
          <w:tcPr>
            <w:tcMar>
              <w:left w:w="40.0" w:type="dxa"/>
              <w:right w:w="40.0" w:type="dxa"/>
            </w:tcMar>
            <w:vAlign w:val="bottom"/>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87018.7126</w:t>
            </w:r>
          </w:p>
        </w:tc>
        <w:tc>
          <w:tcPr>
            <w:tcMar>
              <w:left w:w="40.0" w:type="dxa"/>
              <w:right w:w="40.0" w:type="dxa"/>
            </w:tcMar>
            <w:vAlign w:val="bottom"/>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park</w:t>
            </w:r>
          </w:p>
        </w:tc>
      </w:tr>
      <w:tr>
        <w:trPr>
          <w:cantSplit w:val="0"/>
          <w:tblHeader w:val="0"/>
        </w:trPr>
        <w:tc>
          <w:tcPr>
            <w:gridSpan w:val="6"/>
            <w:shd w:fill="666666" w:val="clear"/>
            <w:tcMar>
              <w:left w:w="40.0" w:type="dxa"/>
              <w:right w:w="40.0" w:type="dxa"/>
            </w:tcMar>
            <w:vAlign w:val="bottom"/>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Age + Period + Cohort Effects</w:t>
            </w:r>
            <w:r w:rsidDel="00000000" w:rsidR="00000000" w:rsidRPr="00000000">
              <w:rPr>
                <w:rtl w:val="0"/>
              </w:rPr>
            </w:r>
          </w:p>
        </w:tc>
      </w:tr>
      <w:tr>
        <w:trPr>
          <w:cantSplit w:val="0"/>
          <w:trHeight w:val="120" w:hRule="atLeast"/>
          <w:tblHeader w:val="0"/>
        </w:trPr>
        <w:tc>
          <w:tcPr>
            <w:shd w:fill="666666" w:val="clear"/>
            <w:tcMar>
              <w:left w:w="40.0" w:type="dxa"/>
              <w:right w:w="40.0" w:type="dxa"/>
            </w:tcMar>
            <w:vAlign w:val="bottom"/>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N</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(Null)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LL (Model)</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DF</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ffff"/>
                <w:sz w:val="26"/>
                <w:szCs w:val="26"/>
                <w:u w:val="none"/>
                <w:shd w:fill="auto" w:val="clear"/>
                <w:vertAlign w:val="baseline"/>
                <w:rtl w:val="0"/>
              </w:rPr>
              <w:t xml:space="preserve">AIC</w:t>
            </w:r>
            <w:r w:rsidDel="00000000" w:rsidR="00000000" w:rsidRPr="00000000">
              <w:rPr>
                <w:rtl w:val="0"/>
              </w:rPr>
            </w:r>
          </w:p>
        </w:tc>
        <w:tc>
          <w:tcPr>
            <w:shd w:fill="666666" w:val="clear"/>
            <w:tcMar>
              <w:left w:w="40.0" w:type="dxa"/>
              <w:right w:w="40.0" w:type="dxa"/>
            </w:tcMar>
            <w:vAlign w:val="bottom"/>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Mar>
              <w:left w:w="40.0" w:type="dxa"/>
              <w:right w:w="40.0" w:type="dxa"/>
            </w:tcMar>
            <w:vAlign w:val="bottom"/>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96953</w:t>
            </w:r>
          </w:p>
        </w:tc>
        <w:tc>
          <w:tcPr>
            <w:tcMar>
              <w:left w:w="40.0" w:type="dxa"/>
              <w:right w:w="40.0" w:type="dxa"/>
            </w:tcMar>
            <w:vAlign w:val="bottom"/>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-30195.87534</w:t>
            </w:r>
          </w:p>
        </w:tc>
        <w:tc>
          <w:tcPr>
            <w:tcMar>
              <w:left w:w="40.0" w:type="dxa"/>
              <w:right w:w="40.0" w:type="dxa"/>
            </w:tcMar>
            <w:vAlign w:val="bottom"/>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-29384.71125</w:t>
            </w:r>
          </w:p>
        </w:tc>
        <w:tc>
          <w:tcPr>
            <w:tcMar>
              <w:left w:w="40.0" w:type="dxa"/>
              <w:right w:w="40.0" w:type="dxa"/>
            </w:tcMar>
            <w:vAlign w:val="bottom"/>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58847.4225</w:t>
            </w:r>
          </w:p>
        </w:tc>
        <w:tc>
          <w:tcPr>
            <w:tcMar>
              <w:left w:w="40.0" w:type="dxa"/>
              <w:right w:w="40.0" w:type="dxa"/>
            </w:tcMar>
            <w:vAlign w:val="bottom"/>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jazz</w:t>
            </w:r>
          </w:p>
        </w:tc>
      </w:tr>
      <w:tr>
        <w:trPr>
          <w:cantSplit w:val="0"/>
          <w:tblHeader w:val="0"/>
        </w:trPr>
        <w:tc>
          <w:tcPr>
            <w:tcMar>
              <w:left w:w="40.0" w:type="dxa"/>
              <w:right w:w="40.0" w:type="dxa"/>
            </w:tcMar>
            <w:vAlign w:val="bottom"/>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96972</w:t>
            </w:r>
          </w:p>
        </w:tc>
        <w:tc>
          <w:tcPr>
            <w:tcMar>
              <w:left w:w="40.0" w:type="dxa"/>
              <w:right w:w="40.0" w:type="dxa"/>
            </w:tcMar>
            <w:vAlign w:val="bottom"/>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-34992.152</w:t>
            </w:r>
          </w:p>
        </w:tc>
        <w:tc>
          <w:tcPr>
            <w:tcMar>
              <w:left w:w="40.0" w:type="dxa"/>
              <w:right w:w="40.0" w:type="dxa"/>
            </w:tcMar>
            <w:vAlign w:val="bottom"/>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-34584.94417</w:t>
            </w:r>
          </w:p>
        </w:tc>
        <w:tc>
          <w:tcPr>
            <w:tcMar>
              <w:left w:w="40.0" w:type="dxa"/>
              <w:right w:w="40.0" w:type="dxa"/>
            </w:tcMar>
            <w:vAlign w:val="bottom"/>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69251.88835</w:t>
            </w:r>
          </w:p>
        </w:tc>
        <w:tc>
          <w:tcPr>
            <w:tcMar>
              <w:left w:w="40.0" w:type="dxa"/>
              <w:right w:w="40.0" w:type="dxa"/>
            </w:tcMar>
            <w:vAlign w:val="bottom"/>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classical</w:t>
            </w:r>
          </w:p>
        </w:tc>
      </w:tr>
      <w:tr>
        <w:trPr>
          <w:cantSplit w:val="0"/>
          <w:tblHeader w:val="0"/>
        </w:trPr>
        <w:tc>
          <w:tcPr>
            <w:tcMar>
              <w:left w:w="40.0" w:type="dxa"/>
              <w:right w:w="40.0" w:type="dxa"/>
            </w:tcMar>
            <w:vAlign w:val="bottom"/>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96912</w:t>
            </w:r>
          </w:p>
        </w:tc>
        <w:tc>
          <w:tcPr>
            <w:tcMar>
              <w:left w:w="40.0" w:type="dxa"/>
              <w:right w:w="40.0" w:type="dxa"/>
            </w:tcMar>
            <w:vAlign w:val="bottom"/>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-12322.41823</w:t>
            </w:r>
          </w:p>
        </w:tc>
        <w:tc>
          <w:tcPr>
            <w:tcMar>
              <w:left w:w="40.0" w:type="dxa"/>
              <w:right w:w="40.0" w:type="dxa"/>
            </w:tcMar>
            <w:vAlign w:val="bottom"/>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-12220.70051</w:t>
            </w:r>
          </w:p>
        </w:tc>
        <w:tc>
          <w:tcPr>
            <w:tcMar>
              <w:left w:w="40.0" w:type="dxa"/>
              <w:right w:w="40.0" w:type="dxa"/>
            </w:tcMar>
            <w:vAlign w:val="bottom"/>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24521.40102</w:t>
            </w:r>
          </w:p>
        </w:tc>
        <w:tc>
          <w:tcPr>
            <w:tcMar>
              <w:left w:w="40.0" w:type="dxa"/>
              <w:right w:w="40.0" w:type="dxa"/>
            </w:tcMar>
            <w:vAlign w:val="bottom"/>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opera</w:t>
            </w:r>
          </w:p>
        </w:tc>
      </w:tr>
      <w:tr>
        <w:trPr>
          <w:cantSplit w:val="0"/>
          <w:tblHeader w:val="0"/>
        </w:trPr>
        <w:tc>
          <w:tcPr>
            <w:tcMar>
              <w:left w:w="40.0" w:type="dxa"/>
              <w:right w:w="40.0" w:type="dxa"/>
            </w:tcMar>
            <w:vAlign w:val="bottom"/>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96869</w:t>
            </w:r>
          </w:p>
        </w:tc>
        <w:tc>
          <w:tcPr>
            <w:tcMar>
              <w:left w:w="40.0" w:type="dxa"/>
              <w:right w:w="40.0" w:type="dxa"/>
            </w:tcMar>
            <w:vAlign w:val="bottom"/>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-45081.47682</w:t>
            </w:r>
          </w:p>
        </w:tc>
        <w:tc>
          <w:tcPr>
            <w:tcMar>
              <w:left w:w="40.0" w:type="dxa"/>
              <w:right w:w="40.0" w:type="dxa"/>
            </w:tcMar>
            <w:vAlign w:val="bottom"/>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-44706.62301</w:t>
            </w:r>
          </w:p>
        </w:tc>
        <w:tc>
          <w:tcPr>
            <w:tcMar>
              <w:left w:w="40.0" w:type="dxa"/>
              <w:right w:w="40.0" w:type="dxa"/>
            </w:tcMar>
            <w:vAlign w:val="bottom"/>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89493.24602</w:t>
            </w:r>
          </w:p>
        </w:tc>
        <w:tc>
          <w:tcPr>
            <w:tcMar>
              <w:left w:w="40.0" w:type="dxa"/>
              <w:right w:w="40.0" w:type="dxa"/>
            </w:tcMar>
            <w:vAlign w:val="bottom"/>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musical</w:t>
            </w:r>
          </w:p>
        </w:tc>
      </w:tr>
      <w:tr>
        <w:trPr>
          <w:cantSplit w:val="0"/>
          <w:tblHeader w:val="0"/>
        </w:trPr>
        <w:tc>
          <w:tcPr>
            <w:tcMar>
              <w:left w:w="40.0" w:type="dxa"/>
              <w:right w:w="40.0" w:type="dxa"/>
            </w:tcMar>
            <w:vAlign w:val="bottom"/>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96845</w:t>
            </w:r>
          </w:p>
        </w:tc>
        <w:tc>
          <w:tcPr>
            <w:tcMar>
              <w:left w:w="40.0" w:type="dxa"/>
              <w:right w:w="40.0" w:type="dxa"/>
            </w:tcMar>
            <w:vAlign w:val="bottom"/>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-15817.60051</w:t>
            </w:r>
          </w:p>
        </w:tc>
        <w:tc>
          <w:tcPr>
            <w:tcMar>
              <w:left w:w="40.0" w:type="dxa"/>
              <w:right w:w="40.0" w:type="dxa"/>
            </w:tcMar>
            <w:vAlign w:val="bottom"/>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-15651.84851</w:t>
            </w:r>
          </w:p>
        </w:tc>
        <w:tc>
          <w:tcPr>
            <w:tcMar>
              <w:left w:w="40.0" w:type="dxa"/>
              <w:right w:w="40.0" w:type="dxa"/>
            </w:tcMar>
            <w:vAlign w:val="bottom"/>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39</w:t>
            </w:r>
          </w:p>
        </w:tc>
        <w:tc>
          <w:tcPr>
            <w:tcMar>
              <w:left w:w="40.0" w:type="dxa"/>
              <w:right w:w="40.0" w:type="dxa"/>
            </w:tcMar>
            <w:vAlign w:val="bottom"/>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31381.69703</w:t>
            </w:r>
          </w:p>
        </w:tc>
        <w:tc>
          <w:tcPr>
            <w:tcMar>
              <w:left w:w="40.0" w:type="dxa"/>
              <w:right w:w="40.0" w:type="dxa"/>
            </w:tcMar>
            <w:vAlign w:val="bottom"/>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ballet</w:t>
            </w:r>
          </w:p>
        </w:tc>
      </w:tr>
      <w:tr>
        <w:trPr>
          <w:cantSplit w:val="0"/>
          <w:tblHeader w:val="0"/>
        </w:trPr>
        <w:tc>
          <w:tcPr>
            <w:tcMar>
              <w:left w:w="40.0" w:type="dxa"/>
              <w:right w:w="40.0" w:type="dxa"/>
            </w:tcMar>
            <w:vAlign w:val="bottom"/>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96723</w:t>
            </w:r>
          </w:p>
        </w:tc>
        <w:tc>
          <w:tcPr>
            <w:tcMar>
              <w:left w:w="40.0" w:type="dxa"/>
              <w:right w:w="40.0" w:type="dxa"/>
            </w:tcMar>
            <w:vAlign w:val="bottom"/>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-53431.39911</w:t>
            </w:r>
          </w:p>
        </w:tc>
        <w:tc>
          <w:tcPr>
            <w:tcMar>
              <w:left w:w="40.0" w:type="dxa"/>
              <w:right w:w="40.0" w:type="dxa"/>
            </w:tcMar>
            <w:vAlign w:val="bottom"/>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-52731.46822</w:t>
            </w:r>
          </w:p>
        </w:tc>
        <w:tc>
          <w:tcPr>
            <w:tcMar>
              <w:left w:w="40.0" w:type="dxa"/>
              <w:right w:w="40.0" w:type="dxa"/>
            </w:tcMar>
            <w:vAlign w:val="bottom"/>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41</w:t>
            </w:r>
          </w:p>
        </w:tc>
        <w:tc>
          <w:tcPr>
            <w:tcMar>
              <w:left w:w="40.0" w:type="dxa"/>
              <w:right w:w="40.0" w:type="dxa"/>
            </w:tcMar>
            <w:vAlign w:val="bottom"/>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105544.9364</w:t>
            </w:r>
          </w:p>
        </w:tc>
        <w:tc>
          <w:tcPr>
            <w:tcMar>
              <w:left w:w="40.0" w:type="dxa"/>
              <w:right w:w="40.0" w:type="dxa"/>
            </w:tcMar>
            <w:vAlign w:val="bottom"/>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artmuseum</w:t>
            </w:r>
          </w:p>
        </w:tc>
      </w:tr>
      <w:tr>
        <w:trPr>
          <w:cantSplit w:val="0"/>
          <w:tblHeader w:val="0"/>
        </w:trPr>
        <w:tc>
          <w:tcPr>
            <w:tcMar>
              <w:left w:w="40.0" w:type="dxa"/>
              <w:right w:w="40.0" w:type="dxa"/>
            </w:tcMar>
            <w:vAlign w:val="bottom"/>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72337</w:t>
            </w:r>
          </w:p>
        </w:tc>
        <w:tc>
          <w:tcPr>
            <w:tcMar>
              <w:left w:w="40.0" w:type="dxa"/>
              <w:right w:w="40.0" w:type="dxa"/>
            </w:tcMar>
            <w:vAlign w:val="bottom"/>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-45277.88053</w:t>
            </w:r>
          </w:p>
        </w:tc>
        <w:tc>
          <w:tcPr>
            <w:tcMar>
              <w:left w:w="40.0" w:type="dxa"/>
              <w:right w:w="40.0" w:type="dxa"/>
            </w:tcMar>
            <w:vAlign w:val="bottom"/>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-43893.02404</w:t>
            </w:r>
          </w:p>
        </w:tc>
        <w:tc>
          <w:tcPr>
            <w:tcMar>
              <w:left w:w="40.0" w:type="dxa"/>
              <w:right w:w="40.0" w:type="dxa"/>
            </w:tcMar>
            <w:vAlign w:val="bottom"/>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87866.04808</w:t>
            </w:r>
          </w:p>
        </w:tc>
        <w:tc>
          <w:tcPr>
            <w:tcMar>
              <w:left w:w="40.0" w:type="dxa"/>
              <w:right w:w="40.0" w:type="dxa"/>
            </w:tcMar>
            <w:vAlign w:val="bottom"/>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craft_fair</w:t>
            </w:r>
          </w:p>
        </w:tc>
      </w:tr>
      <w:tr>
        <w:trPr>
          <w:cantSplit w:val="0"/>
          <w:tblHeader w:val="0"/>
        </w:trPr>
        <w:tc>
          <w:tcPr>
            <w:tcMar>
              <w:left w:w="40.0" w:type="dxa"/>
              <w:right w:w="40.0" w:type="dxa"/>
            </w:tcMar>
            <w:vAlign w:val="bottom"/>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72297</w:t>
            </w:r>
          </w:p>
        </w:tc>
        <w:tc>
          <w:tcPr>
            <w:tcMar>
              <w:left w:w="40.0" w:type="dxa"/>
              <w:right w:w="40.0" w:type="dxa"/>
            </w:tcMar>
            <w:vAlign w:val="bottom"/>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-44412.32366</w:t>
            </w:r>
          </w:p>
        </w:tc>
        <w:tc>
          <w:tcPr>
            <w:tcMar>
              <w:left w:w="40.0" w:type="dxa"/>
              <w:right w:w="40.0" w:type="dxa"/>
            </w:tcMar>
            <w:vAlign w:val="bottom"/>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-43458.21707</w:t>
            </w:r>
          </w:p>
        </w:tc>
        <w:tc>
          <w:tcPr>
            <w:tcMar>
              <w:left w:w="40.0" w:type="dxa"/>
              <w:right w:w="40.0" w:type="dxa"/>
            </w:tcMar>
            <w:vAlign w:val="bottom"/>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40</w:t>
            </w:r>
          </w:p>
        </w:tc>
        <w:tc>
          <w:tcPr>
            <w:tcMar>
              <w:left w:w="40.0" w:type="dxa"/>
              <w:right w:w="40.0" w:type="dxa"/>
            </w:tcMar>
            <w:vAlign w:val="bottom"/>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86996.43413</w:t>
            </w:r>
          </w:p>
        </w:tc>
        <w:tc>
          <w:tcPr>
            <w:tcMar>
              <w:left w:w="40.0" w:type="dxa"/>
              <w:right w:w="40.0" w:type="dxa"/>
            </w:tcMar>
            <w:vAlign w:val="bottom"/>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tl w:val="0"/>
              </w:rPr>
              <w:t xml:space="preserve">park</w:t>
            </w:r>
          </w:p>
        </w:tc>
      </w:tr>
    </w:tbl>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87">
      <w:pPr>
        <w:pStyle w:val="Heading4"/>
        <w:pageBreakBefore w:val="0"/>
        <w:spacing w:before="0" w:line="360" w:lineRule="auto"/>
        <w:rPr/>
      </w:pPr>
      <w:bookmarkStart w:colFirst="0" w:colLast="0" w:name="_4anzqyu" w:id="118"/>
      <w:bookmarkEnd w:id="118"/>
      <w:r w:rsidDel="00000000" w:rsidR="00000000" w:rsidRPr="00000000">
        <w:rPr>
          <w:rtl w:val="0"/>
        </w:rPr>
      </w:r>
    </w:p>
    <w:p w:rsidR="00000000" w:rsidDel="00000000" w:rsidP="00000000" w:rsidRDefault="00000000" w:rsidRPr="00000000" w14:paraId="00000288">
      <w:pPr>
        <w:pStyle w:val="Heading4"/>
        <w:pageBreakBefore w:val="0"/>
        <w:spacing w:before="0" w:line="360" w:lineRule="auto"/>
        <w:rPr/>
      </w:pPr>
      <w:bookmarkStart w:colFirst="0" w:colLast="0" w:name="_2pta16n" w:id="119"/>
      <w:bookmarkEnd w:id="119"/>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4"/>
        <w:pageBreakBefore w:val="0"/>
        <w:spacing w:before="0" w:line="360" w:lineRule="auto"/>
        <w:rPr/>
      </w:pPr>
      <w:bookmarkStart w:colFirst="0" w:colLast="0" w:name="_14ykbeg" w:id="120"/>
      <w:bookmarkEnd w:id="120"/>
      <w:r w:rsidDel="00000000" w:rsidR="00000000" w:rsidRPr="00000000">
        <w:rPr>
          <w:rtl w:val="0"/>
        </w:rPr>
      </w:r>
    </w:p>
    <w:p w:rsidR="00000000" w:rsidDel="00000000" w:rsidP="00000000" w:rsidRDefault="00000000" w:rsidRPr="00000000" w14:paraId="0000028B">
      <w:pPr>
        <w:pStyle w:val="Heading4"/>
        <w:pageBreakBefore w:val="0"/>
        <w:spacing w:before="0" w:line="360" w:lineRule="auto"/>
        <w:rPr/>
      </w:pPr>
      <w:bookmarkStart w:colFirst="0" w:colLast="0" w:name="_3oy7u29" w:id="121"/>
      <w:bookmarkEnd w:id="121"/>
      <w:r w:rsidDel="00000000" w:rsidR="00000000" w:rsidRPr="00000000">
        <w:rPr>
          <w:rtl w:val="0"/>
        </w:rPr>
      </w:r>
    </w:p>
    <w:p w:rsidR="00000000" w:rsidDel="00000000" w:rsidP="00000000" w:rsidRDefault="00000000" w:rsidRPr="00000000" w14:paraId="0000028C">
      <w:pPr>
        <w:pStyle w:val="Heading4"/>
        <w:pageBreakBefore w:val="0"/>
        <w:spacing w:before="0" w:line="360" w:lineRule="auto"/>
        <w:rPr/>
      </w:pPr>
      <w:bookmarkStart w:colFirst="0" w:colLast="0" w:name="_243i4a2" w:id="122"/>
      <w:bookmarkEnd w:id="122"/>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14300" distT="114300" distL="114300" distR="114300">
            <wp:extent cx="5486400" cy="3378200"/>
            <wp:effectExtent b="0" l="0" r="0" t="0"/>
            <wp:docPr descr="desc-plot1.png" id="3" name="image1.png"/>
            <a:graphic>
              <a:graphicData uri="http://schemas.openxmlformats.org/drawingml/2006/picture">
                <pic:pic>
                  <pic:nvPicPr>
                    <pic:cNvPr descr="desc-plot1.png" id="0" name="image1.png"/>
                    <pic:cNvPicPr preferRelativeResize="0"/>
                  </pic:nvPicPr>
                  <pic:blipFill>
                    <a:blip r:embed="rId14"/>
                    <a:srcRect b="0" l="0" r="0" t="0"/>
                    <a:stretch>
                      <a:fillRect/>
                    </a:stretch>
                  </pic:blipFill>
                  <pic:spPr>
                    <a:xfrm>
                      <a:off x="0" y="0"/>
                      <a:ext cx="5486400" cy="3378200"/>
                    </a:xfrm>
                    <a:prstGeom prst="rect"/>
                    <a:ln/>
                  </pic:spPr>
                </pic:pic>
              </a:graphicData>
            </a:graphic>
          </wp:inline>
        </w:drawing>
      </w: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Figure 1. Descriptive Age, Period, and Cohort trends for all eight “core” SPPA arts participation activities (standardized to the same scale for comparability). </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14300" distT="114300" distL="114300" distR="114300">
            <wp:extent cx="5486400" cy="3378200"/>
            <wp:effectExtent b="0" l="0" r="0" t="0"/>
            <wp:docPr descr="desc-plot2.png" id="2" name="image3.png"/>
            <a:graphic>
              <a:graphicData uri="http://schemas.openxmlformats.org/drawingml/2006/picture">
                <pic:pic>
                  <pic:nvPicPr>
                    <pic:cNvPr descr="desc-plot2.png" id="0" name="image3.png"/>
                    <pic:cNvPicPr preferRelativeResize="0"/>
                  </pic:nvPicPr>
                  <pic:blipFill>
                    <a:blip r:embed="rId15"/>
                    <a:srcRect b="0" l="0" r="0" t="0"/>
                    <a:stretch>
                      <a:fillRect/>
                    </a:stretch>
                  </pic:blipFill>
                  <pic:spPr>
                    <a:xfrm>
                      <a:off x="0" y="0"/>
                      <a:ext cx="54864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Figure 2. Cohort trends in arts participation in three periods, cumulative SPPA data.</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drawing>
          <wp:inline distB="114300" distT="114300" distL="114300" distR="114300">
            <wp:extent cx="5486400" cy="5486400"/>
            <wp:effectExtent b="0" l="0" r="0" t="0"/>
            <wp:docPr descr="exposure-by-cohort.png" id="4" name="image2.png"/>
            <a:graphic>
              <a:graphicData uri="http://schemas.openxmlformats.org/drawingml/2006/picture">
                <pic:pic>
                  <pic:nvPicPr>
                    <pic:cNvPr descr="exposure-by-cohort.png" id="0" name="image2.png"/>
                    <pic:cNvPicPr preferRelativeResize="0"/>
                  </pic:nvPicPr>
                  <pic:blipFill>
                    <a:blip r:embed="rId16"/>
                    <a:srcRect b="0" l="0" r="0" t="0"/>
                    <a:stretch>
                      <a:fillRect/>
                    </a:stretch>
                  </pic:blipFill>
                  <pic:spPr>
                    <a:xfrm>
                      <a:off x="0" y="0"/>
                      <a:ext cx="54864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6"/>
          <w:szCs w:val="26"/>
          <w:u w:val="none"/>
          <w:shd w:fill="auto" w:val="clear"/>
          <w:vertAlign w:val="baseline"/>
          <w:rtl w:val="0"/>
        </w:rPr>
        <w:t xml:space="preserve">Figure 6. Predicted probability of exposure to the arts while growing up for members of different cohorts. Estimate are obtained from ordered logit models predicting having been exposed to the arts “often,” “sometimes,” “hardly ever,” or “never.” Plots show the additive probabilities of the first two responses adjusted for respondent's race, education, gender, and region of residence. Cohort effects are specified using both a linear and a quadratic term.  Panels ordered (from top left to bottom right) according to overall popularity of activity. </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sectPr>
      <w:footerReference r:id="rId1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a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720" w:before="60" w:line="360" w:lineRule="auto"/>
      <w:ind w:left="0" w:right="0" w:firstLine="720"/>
      <w:jc w:val="right"/>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D">
      <w:pPr>
        <w:pStyle w:val="Heading4"/>
        <w:pageBreakBefore w:val="0"/>
        <w:rPr/>
      </w:pPr>
      <w:bookmarkStart w:colFirst="0" w:colLast="0" w:name="_j8sehv" w:id="123"/>
      <w:bookmarkEnd w:id="123"/>
      <w:r w:rsidDel="00000000" w:rsidR="00000000" w:rsidRPr="00000000">
        <w:rPr>
          <w:rStyle w:val="FootnoteReference"/>
          <w:vertAlign w:val="superscript"/>
        </w:rPr>
        <w:footnoteRef/>
      </w:r>
      <w:r w:rsidDel="00000000" w:rsidR="00000000" w:rsidRPr="00000000">
        <w:rPr>
          <w:sz w:val="20"/>
          <w:szCs w:val="20"/>
          <w:rtl w:val="0"/>
        </w:rPr>
        <w:t xml:space="preserve"> There are almost as many measures of omnivorousness as there are papers on the topic. Peterson and Simkus (1992) conceptualized it as a bundle of highbrow and non-highbrow tastes. Later papers </w:t>
      </w:r>
      <w:r w:rsidDel="00000000" w:rsidR="00000000" w:rsidRPr="00000000">
        <w:rPr>
          <w:rtl w:val="0"/>
        </w:rPr>
        <w:t xml:space="preserve">treated omnivorousness as a continuous variable in regression analyses (Rossman and Peterson 2015; for a review, see Peterson 2005). Still others subjected reports of attendance at cultural events to Multiple Correspondence Analysis, producing continuous dimensions that allow researchers to identify the most central and distal tastes (Lopez-Sintas and Katz-Gerro 2005). Later works also distinguished omnivorousness, or breadth of taste, from frequency of engagement, or “voraciousness” (Katz-Gerro and Sullivan 2005). Many papers focused on music, but not all. Some focused on elites, but not all. There is no single measure of omnivorousness, and no consensus on how the concept should be stabilized.</w:t>
      </w:r>
    </w:p>
  </w:footnote>
  <w:footnote w:id="1">
    <w:p w:rsidR="00000000" w:rsidDel="00000000" w:rsidP="00000000" w:rsidRDefault="00000000" w:rsidRPr="00000000" w14:paraId="0000029E">
      <w:pPr>
        <w:pStyle w:val="Heading4"/>
        <w:pageBreakBefore w:val="0"/>
        <w:spacing w:before="0" w:lineRule="auto"/>
        <w:ind w:firstLine="720"/>
        <w:rPr/>
      </w:pPr>
      <w:bookmarkStart w:colFirst="0" w:colLast="0" w:name="_338fx5o" w:id="124"/>
      <w:bookmarkEnd w:id="124"/>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222222"/>
          <w:sz w:val="20"/>
          <w:szCs w:val="20"/>
          <w:rtl w:val="0"/>
        </w:rPr>
        <w:t xml:space="preserve">National Endowment for the Arts. Survey of Public Participation in the Arts 1982-2012 Combined File [United States]. ICPSR35596-v1. Ann Arbor, MI: Inter-university Consortium for Political and Social Research [distributor], 2014-12-22. </w:t>
      </w:r>
      <w:hyperlink r:id="rId1">
        <w:r w:rsidDel="00000000" w:rsidR="00000000" w:rsidRPr="00000000">
          <w:rPr>
            <w:color w:val="1155cc"/>
            <w:sz w:val="20"/>
            <w:szCs w:val="20"/>
            <w:u w:val="single"/>
            <w:rtl w:val="0"/>
          </w:rPr>
          <w:t xml:space="preserve">http://doi.org/10.3886/ICPSR35596.v1</w:t>
        </w:r>
      </w:hyperlink>
      <w:r w:rsidDel="00000000" w:rsidR="00000000" w:rsidRPr="00000000">
        <w:rPr>
          <w:sz w:val="20"/>
          <w:szCs w:val="20"/>
          <w:rtl w:val="0"/>
        </w:rPr>
        <w:t xml:space="preserve"> (Last accessed 5/25/15). </w:t>
      </w:r>
      <w:r w:rsidDel="00000000" w:rsidR="00000000" w:rsidRPr="00000000">
        <w:rPr>
          <w:rtl w:val="0"/>
        </w:rPr>
      </w:r>
    </w:p>
  </w:footnote>
  <w:footnote w:id="2">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1982 survey holds data from 17,254 U.S. households, the 1985 survey contains information on 13,675 households,  the 1992 survey pertains to 12,736 households, and the 2002 survey contains 17,135 households, the 2008 survey includes 18,444 households, and the 2012 survey has a sample size of 18,051 households, for a cumulative sample size of 97,295. </w:t>
      </w:r>
      <w:r w:rsidDel="00000000" w:rsidR="00000000" w:rsidRPr="00000000">
        <w:rPr>
          <w:rtl w:val="0"/>
        </w:rPr>
      </w:r>
    </w:p>
  </w:footnote>
  <w:footnote w:id="3">
    <w:p w:rsidR="00000000" w:rsidDel="00000000" w:rsidP="00000000" w:rsidRDefault="00000000" w:rsidRPr="00000000" w14:paraId="000002A0">
      <w:pPr>
        <w:pStyle w:val="Heading4"/>
        <w:pageBreakBefore w:val="0"/>
        <w:spacing w:before="0" w:lineRule="auto"/>
        <w:ind w:firstLine="720"/>
        <w:rPr/>
      </w:pPr>
      <w:bookmarkStart w:colFirst="0" w:colLast="0" w:name="_1idq7dh" w:id="125"/>
      <w:bookmarkEnd w:id="125"/>
      <w:r w:rsidDel="00000000" w:rsidR="00000000" w:rsidRPr="00000000">
        <w:rPr>
          <w:rStyle w:val="FootnoteReference"/>
          <w:vertAlign w:val="superscript"/>
        </w:rPr>
        <w:footnoteRef/>
      </w:r>
      <w:r w:rsidDel="00000000" w:rsidR="00000000" w:rsidRPr="00000000">
        <w:rPr>
          <w:sz w:val="20"/>
          <w:szCs w:val="20"/>
          <w:rtl w:val="0"/>
        </w:rPr>
        <w:t xml:space="preserve"> We estimate the CCRM models via maximum likelihood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sz w:val="20"/>
          <w:szCs w:val="20"/>
          <w:rtl w:val="0"/>
        </w:rPr>
        <w:t xml:space="preserve">) included in Stata 14.</w:t>
      </w:r>
      <w:r w:rsidDel="00000000" w:rsidR="00000000" w:rsidRPr="00000000">
        <w:rPr>
          <w:rtl w:val="0"/>
        </w:rPr>
      </w:r>
    </w:p>
  </w:footnote>
  <w:footnote w:id="4">
    <w:p w:rsidR="00000000" w:rsidDel="00000000" w:rsidP="00000000" w:rsidRDefault="00000000" w:rsidRPr="00000000" w14:paraId="000002A1">
      <w:pPr>
        <w:pStyle w:val="Heading4"/>
        <w:pageBreakBefore w:val="0"/>
        <w:spacing w:before="0" w:lineRule="auto"/>
        <w:ind w:firstLine="720"/>
        <w:rPr/>
      </w:pPr>
      <w:bookmarkStart w:colFirst="0" w:colLast="0" w:name="_42ddq1a" w:id="126"/>
      <w:bookmarkEnd w:id="126"/>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5">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Over the course of the program, “total employment reached 3,749 persons. Works ranging from sculpture, murals, oils, and mosaics to craft articles, Navajo blankets, portraits, and stage sets, totaling in all 15,663 pieces, were completed. The total cost of the project was $1,312,000, of which 90.3 per cent went in wages to the artists themselves” (McDonald 1969: 62). Projects that were unfinished when PWAP was disbanded in 1934 received ongoing support from the Emergency Work Relief Program of FERA. Art works that were federal property were dispersed to public and nonprofit institutions until July, 1935. </w:t>
      </w:r>
      <w:r w:rsidDel="00000000" w:rsidR="00000000" w:rsidRPr="00000000">
        <w:rPr>
          <w:rtl w:val="0"/>
        </w:rPr>
      </w:r>
    </w:p>
  </w:footnote>
  <w:footnote w:id="6">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output and impact of the Federal One projects may, in fact, pale in comparison to the achievements of many state and local relief administrations. New York’s was first among these, “almost unique in its progressive attitude,” and with significant reach: one accounting estimates that 12,000 people came to see a performance of Uncle Tom’s Cabin in Crotona Park (McDonald 1969: 70).</w:t>
      </w:r>
      <w:r w:rsidDel="00000000" w:rsidR="00000000" w:rsidRPr="00000000">
        <w:rPr>
          <w:rtl w:val="0"/>
        </w:rPr>
      </w:r>
    </w:p>
  </w:footnote>
  <w:footnote w:id="7">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The Federal Writers’ Project paid creators of books, poetry, pamphlets, leaflets, and radio scripts including socio-ethnic studies; expositions on industrial, labor, society, and community issues; and documents of American and Native American folklore (see Griswold 2016 for an in-depth discussion). The Federal Music Project produced a similarly massive array of works including over 1,500 compositions by 540 American composers, performed by symphony orchestras, small orchestral ensembles, string quartets, chamber music ensembles, and operatic and light opera concert ensembles; grand opera, light opera, and chamber opera companies; vocal ensembles and vocal soloists; and dance orchestras, bands, and theater orchestras (Federal Works Agency 1947: 64).</w:t>
      </w:r>
      <w:r w:rsidDel="00000000" w:rsidR="00000000" w:rsidRPr="00000000">
        <w:rPr>
          <w:rtl w:val="0"/>
        </w:rPr>
      </w:r>
    </w:p>
  </w:footnote>
  <w:footnote w:id="8">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Congress repeatedly attacked federal arts divisions based on reports of inefficiency and fraud. The Federal Theater project was abolished by Congress in 1939, charged with inefficiency, immorality, and infiltration by Communist agitators (N.A. 1939, “Relief: Hot Pan”). The other programs limped forward into the war years, when they were abandoned. </w:t>
      </w:r>
      <w:r w:rsidDel="00000000" w:rsidR="00000000" w:rsidRPr="00000000">
        <w:rPr>
          <w:rtl w:val="0"/>
        </w:rPr>
      </w:r>
    </w:p>
  </w:footnote>
  <w:footnote w:id="9">
    <w:p w:rsidR="00000000" w:rsidDel="00000000" w:rsidP="00000000" w:rsidRDefault="00000000" w:rsidRPr="00000000" w14:paraId="000002A6">
      <w:pPr>
        <w:pStyle w:val="Heading4"/>
        <w:pageBreakBefore w:val="0"/>
        <w:spacing w:before="0" w:lineRule="auto"/>
        <w:ind w:firstLine="720"/>
        <w:rPr/>
      </w:pPr>
      <w:bookmarkStart w:colFirst="0" w:colLast="0" w:name="_2hio093" w:id="127"/>
      <w:bookmarkEnd w:id="127"/>
      <w:r w:rsidDel="00000000" w:rsidR="00000000" w:rsidRPr="00000000">
        <w:rPr>
          <w:rStyle w:val="FootnoteReference"/>
          <w:vertAlign w:val="superscript"/>
        </w:rPr>
        <w:footnoteRef/>
      </w:r>
      <w:r w:rsidDel="00000000" w:rsidR="00000000" w:rsidRPr="00000000">
        <w:rPr>
          <w:sz w:val="20"/>
          <w:szCs w:val="20"/>
          <w:rtl w:val="0"/>
        </w:rPr>
        <w:t xml:space="preserve"> In additional analyses (available upon request) of other arts participation items, we see that Art Festivals and Craft Fairs resemble more racially diverse forms of art participation including Jazz. While we observe strong generational effects for Whites when it comes to attendance at Classical Music (symphony) and Jazz Concerts, the generational effect for Blacks is much stronger for Jazz concerts and it begins much earlier than for Whites.</w:t>
      </w:r>
      <w:r w:rsidDel="00000000" w:rsidR="00000000" w:rsidRPr="00000000">
        <w:rPr>
          <w:rtl w:val="0"/>
        </w:rPr>
      </w:r>
    </w:p>
  </w:footnote>
  <w:footnote w:id="10">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Individual grants or awards are still given in the following forms: National Heritage Fellowships (to folk and traditional artists), Creative Writing Fellowships, Translation Projects, Jazz Masters (lifetime achievement awards), and the National Medal of Arts.</w:t>
      </w:r>
      <w:r w:rsidDel="00000000" w:rsidR="00000000" w:rsidRPr="00000000">
        <w:rPr>
          <w:rtl w:val="0"/>
        </w:rPr>
      </w:r>
    </w:p>
  </w:footnote>
  <w:footnote w:id="11">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In other analyses (available upon request) we have examined variation of generational and period effects on the SPPA core participation items by gender, and race by fitting group specific HAPC models to the data.</w:t>
      </w:r>
      <w:r w:rsidDel="00000000" w:rsidR="00000000" w:rsidRPr="00000000">
        <w:rPr>
          <w:rtl w:val="0"/>
        </w:rPr>
      </w:r>
    </w:p>
  </w:footnote>
  <w:footnote w:id="12">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Data files were obtained from the National Archive of Data on Arts &amp; Culture (NADAC) hosted by ICPSR at: </w:t>
      </w:r>
      <w:hyperlink r:id="rId2">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3">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Exact response rates for the 1973 survey are not available; for more technical details on the American and the Arts survey series, see:   </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hyperlink r:id="rId3">
        <w:r w:rsidDel="00000000" w:rsidR="00000000" w:rsidRPr="00000000">
          <w:rPr>
            <w:rFonts w:ascii="Garamond" w:cs="Garamond" w:eastAsia="Garamond" w:hAnsi="Garamond"/>
            <w:b w:val="0"/>
            <w:bCs w:val="0"/>
            <w:i w:val="0"/>
            <w:iCs w:val="0"/>
            <w:smallCaps w:val="0"/>
            <w:strike w:val="0"/>
            <w:color w:val="1155cc"/>
            <w:sz w:val="20"/>
            <w:szCs w:val="20"/>
            <w:u w:val="single"/>
            <w:shd w:fill="auto" w:val="clear"/>
            <w:vertAlign w:val="baseline"/>
            <w:rtl w:val="0"/>
          </w:rPr>
          <w:t xml:space="preserve">http://www.icpsr.umich.edu/icpsrweb/NADAC/studies/35575?archive=NADAC&amp;q=american+and+the+arts#method</w:t>
        </w:r>
      </w:hyperlink>
      <w:r w:rsidDel="00000000" w:rsidR="00000000" w:rsidRPr="00000000">
        <w:rPr>
          <w:rtl w:val="0"/>
        </w:rPr>
      </w:r>
    </w:p>
  </w:footnote>
  <w:footnote w:id="14">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Style w:val="FootnoteReference"/>
          <w:vertAlign w:val="superscript"/>
        </w:rPr>
        <w:footnoteRef/>
      </w: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Note that in most cases, exposure rates drop for persons born in the second half of the 1950s, which is consistent with the generational boundaries delimiting the Omnivorous Generation from their successors in the results obtained from SPPA data. We would not read too much into these results as these individuals were between 16-17 years old at the time of the interview.</w:t>
      </w: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720"/>
        <w:jc w:val="both"/>
        <w:rPr>
          <w:rFonts w:ascii="Garamond" w:cs="Garamond" w:eastAsia="Garamond" w:hAnsi="Garamond"/>
          <w:b w:val="0"/>
          <w:bCs w:val="0"/>
          <w:i w:val="0"/>
          <w:iCs w:val="0"/>
          <w:smallCaps w:val="0"/>
          <w:strike w:val="0"/>
          <w:color w:val="000000"/>
          <w:sz w:val="26"/>
          <w:szCs w:val="26"/>
          <w:u w:val="none"/>
          <w:shd w:fill="auto" w:val="clear"/>
          <w:vertAlign w:val="baseline"/>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US"/>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 w:line="360" w:lineRule="auto"/>
      <w:ind w:left="0" w:right="0" w:firstLine="0"/>
      <w:jc w:val="left"/>
    </w:pPr>
    <w:rPr>
      <w:rFonts w:ascii="Garamond" w:cs="Garamond" w:eastAsia="Garamond" w:hAnsi="Garamond"/>
      <w:b w:val="0"/>
      <w:bCs w:val="0"/>
      <w:i w:val="0"/>
      <w:iCs w:val="0"/>
      <w:smallCaps w:val="0"/>
      <w:strike w:val="0"/>
      <w:color w:val="632423"/>
      <w:sz w:val="32"/>
      <w:szCs w:val="32"/>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360" w:lineRule="auto"/>
      <w:ind w:left="0" w:right="0" w:firstLine="0"/>
      <w:jc w:val="left"/>
    </w:pPr>
    <w:rPr>
      <w:rFonts w:ascii="Garamond" w:cs="Garamond" w:eastAsia="Garamond" w:hAnsi="Garamond"/>
      <w:b w:val="0"/>
      <w:bCs w:val="0"/>
      <w:i w:val="0"/>
      <w:iCs w:val="0"/>
      <w:smallCaps w:val="0"/>
      <w:strike w:val="0"/>
      <w:color w:val="632423"/>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300" w:line="360" w:lineRule="auto"/>
      <w:ind w:left="0" w:right="0" w:firstLine="0"/>
      <w:jc w:val="left"/>
    </w:pPr>
    <w:rPr>
      <w:rFonts w:ascii="Garamond" w:cs="Garamond" w:eastAsia="Garamond" w:hAnsi="Garamond"/>
      <w:b w:val="0"/>
      <w:bCs w:val="0"/>
      <w:i w:val="1"/>
      <w:iCs w:val="1"/>
      <w:smallCaps w:val="0"/>
      <w:strike w:val="0"/>
      <w:color w:val="622423"/>
      <w:sz w:val="26"/>
      <w:szCs w:val="26"/>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both"/>
    </w:pPr>
    <w:rPr>
      <w:rFonts w:ascii="Garamond" w:cs="Garamond" w:eastAsia="Garamond" w:hAnsi="Garamond"/>
      <w:b w:val="0"/>
      <w:bCs w:val="0"/>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500" w:line="240" w:lineRule="auto"/>
      <w:ind w:left="0" w:right="0" w:firstLine="0"/>
      <w:jc w:val="center"/>
    </w:pPr>
    <w:rPr>
      <w:rFonts w:ascii="Garamond" w:cs="Garamond" w:eastAsia="Garamond" w:hAnsi="Garamond"/>
      <w:b w:val="0"/>
      <w:bCs w:val="0"/>
      <w:i w:val="0"/>
      <w:iCs w:val="0"/>
      <w:smallCaps w:val="0"/>
      <w:strike w:val="0"/>
      <w:color w:val="632423"/>
      <w:sz w:val="44"/>
      <w:szCs w:val="44"/>
      <w:u w:val="none"/>
      <w:shd w:fill="auto" w:val="clear"/>
      <w:vertAlign w:val="baseline"/>
    </w:rPr>
  </w:style>
  <w:style w:type="paragraph" w:styleId="Subtitle">
    <w:name w:val="Sub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0" w:right="0" w:firstLine="0"/>
      <w:jc w:val="both"/>
    </w:pPr>
    <w:rPr>
      <w:rFonts w:ascii="Garamond" w:cs="Garamond" w:eastAsia="Garamond" w:hAnsi="Garamond"/>
      <w:b w:val="1"/>
      <w:bCs w:val="1"/>
      <w:i w:val="0"/>
      <w:iCs w:val="0"/>
      <w:smallCaps w:val="0"/>
      <w:strike w:val="0"/>
      <w:color w:val="000000"/>
      <w:sz w:val="28"/>
      <w:szCs w:val="28"/>
      <w:u w:val="none"/>
      <w:shd w:fill="auto" w:val="clear"/>
      <w:vertAlign w:val="baseline"/>
    </w:rPr>
  </w:style>
  <w:style w:type="table" w:styleId="Table1">
    <w:basedOn w:val="TableNormal"/>
    <w:pPr/>
    <w:rPr/>
    <w:tblPr>
      <w:tblStyleRowBandSize w:val="1"/>
      <w:tblStyleColBandSize w:val="1"/>
      <w:tblCellMar>
        <w:top w:w="0.0" w:type="dxa"/>
        <w:left w:w="115.0" w:type="dxa"/>
        <w:bottom w:w="0.0" w:type="dxa"/>
        <w:right w:w="115.0" w:type="dxa"/>
      </w:tblCellMar>
    </w:tblPr>
  </w:style>
  <w:style w:type="table" w:styleId="Table2">
    <w:basedOn w:val="TableNormal"/>
    <w:pPr/>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www.codecogs.com/eqnedit.php?latex=P%5Cleft(Y_%7Bijkl%7D%5Cright)%20=%20%5Cgamma_0%20&amp;plus;%20%5Cbeta_1%20age%20&amp;plus;%20%5Cbeta_2%20age%5E2%20&amp;plus;%20v_%7Boj%7D%20&amp;plus;%20v_%7B0k%7D" TargetMode="External"/><Relationship Id="rId13" Type="http://schemas.openxmlformats.org/officeDocument/2006/relationships/hyperlink" Target="http://doi.org/10.3886/ICPSR35575.v1" TargetMode="External"/><Relationship Id="rId12" Type="http://schemas.openxmlformats.org/officeDocument/2006/relationships/hyperlink" Target="http://www.festival.si.edu/about-us/mission-and-history/smithsonia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nea.gov" TargetMode="External"/><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cl42@columbia.edu" TargetMode="External"/><Relationship Id="rId8" Type="http://schemas.openxmlformats.org/officeDocument/2006/relationships/hyperlink" Target="mailto:olizardo@nd.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Garamond-regular.ttf"/><Relationship Id="rId11" Type="http://schemas.openxmlformats.org/officeDocument/2006/relationships/font" Target="fonts/Lato-boldItalic.ttf"/><Relationship Id="rId10" Type="http://schemas.openxmlformats.org/officeDocument/2006/relationships/font" Target="fonts/Lato-italic.ttf"/><Relationship Id="rId9" Type="http://schemas.openxmlformats.org/officeDocument/2006/relationships/font" Target="fonts/Lato-bold.ttf"/><Relationship Id="rId5" Type="http://schemas.openxmlformats.org/officeDocument/2006/relationships/font" Target="fonts/Garamond-bold.ttf"/><Relationship Id="rId6" Type="http://schemas.openxmlformats.org/officeDocument/2006/relationships/font" Target="fonts/Garamond-italic.ttf"/><Relationship Id="rId7" Type="http://schemas.openxmlformats.org/officeDocument/2006/relationships/font" Target="fonts/Garamond-boldItalic.ttf"/><Relationship Id="rId8" Type="http://schemas.openxmlformats.org/officeDocument/2006/relationships/font" Target="fonts/Lato-regular.ttf"/></Relationships>
</file>

<file path=word/_rels/footnotes.xml.rels><?xml version="1.0" encoding="UTF-8" standalone="yes"?><Relationships xmlns="http://schemas.openxmlformats.org/package/2006/relationships"><Relationship Id="rId1" Type="http://schemas.openxmlformats.org/officeDocument/2006/relationships/hyperlink" Target="http://doi.org/10.3886/ICPSR35596.v1" TargetMode="External"/><Relationship Id="rId2" Type="http://schemas.openxmlformats.org/officeDocument/2006/relationships/hyperlink" Target="http://www.icpsr.umich.edu/icpsrweb/NADAC/" TargetMode="External"/><Relationship Id="rId3" Type="http://schemas.openxmlformats.org/officeDocument/2006/relationships/hyperlink" Target="http://www.icpsr.umich.edu/icpsrweb/NADAC/studies/35575?archive=NADAC&amp;q=american+and+the+arts#metho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