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04530A" w:rsidRDefault="00DA6EDF">
      <w:pPr>
        <w:pStyle w:val="normal0"/>
        <w:spacing w:line="240" w:lineRule="auto"/>
        <w:ind w:firstLine="0"/>
        <w:contextualSpacing w:val="0"/>
      </w:pPr>
      <w:r>
        <w:t>April 29, 2016</w:t>
      </w:r>
    </w:p>
    <w:p w:rsidR="0004530A" w:rsidRDefault="0004530A">
      <w:pPr>
        <w:pStyle w:val="normal0"/>
        <w:spacing w:line="240" w:lineRule="auto"/>
        <w:ind w:firstLine="0"/>
        <w:contextualSpacing w:val="0"/>
      </w:pPr>
    </w:p>
    <w:p w:rsidR="0004530A" w:rsidRDefault="00DA6EDF">
      <w:pPr>
        <w:pStyle w:val="normal0"/>
        <w:spacing w:line="240" w:lineRule="auto"/>
        <w:contextualSpacing w:val="0"/>
      </w:pPr>
      <w:r>
        <w:t>We appreciate the strongly positive reviews of our research. It is particularly</w:t>
      </w:r>
      <w:r>
        <w:t xml:space="preserve"> nice to have the elegance of our written text, the ambition of our aims, and the sophistication of our multi-method approach identified for praise by the reviewers. In the editor’s</w:t>
      </w:r>
      <w:r>
        <w:t xml:space="preserve"> letter of October 24, 2015 tendering an invitation to revise and resubmit, he</w:t>
      </w:r>
      <w:r>
        <w:t xml:space="preserve"> ask</w:t>
      </w:r>
      <w:r>
        <w:t>ed that we address</w:t>
      </w:r>
      <w:r>
        <w:rPr>
          <w:i/>
        </w:rPr>
        <w:t xml:space="preserve"> </w:t>
      </w:r>
      <w:r>
        <w:t xml:space="preserve">questions concerning </w:t>
      </w:r>
      <w:proofErr w:type="spellStart"/>
      <w:r>
        <w:t>omnivorousness</w:t>
      </w:r>
      <w:proofErr w:type="spellEnd"/>
      <w:r>
        <w:t>, comparisons internationally and inter-generationally, and a cluster of questions around our statistical models. In addition, we have corrected the missing citations and stylistic errors noted in the r</w:t>
      </w:r>
      <w:r>
        <w:t xml:space="preserve">eviews. </w:t>
      </w:r>
    </w:p>
    <w:p w:rsidR="0004530A" w:rsidRDefault="00DA6EDF">
      <w:pPr>
        <w:pStyle w:val="Heading1"/>
        <w:contextualSpacing w:val="0"/>
      </w:pPr>
      <w:bookmarkStart w:id="0" w:name="h.3xttgjo1hz65" w:colFirst="0" w:colLast="0"/>
      <w:bookmarkEnd w:id="0"/>
      <w:proofErr w:type="spellStart"/>
      <w:r>
        <w:t>Omnivorousness</w:t>
      </w:r>
      <w:proofErr w:type="spellEnd"/>
    </w:p>
    <w:p w:rsidR="0004530A" w:rsidRDefault="00DA6EDF">
      <w:pPr>
        <w:pStyle w:val="normal0"/>
        <w:spacing w:line="240" w:lineRule="auto"/>
        <w:contextualSpacing w:val="0"/>
      </w:pPr>
      <w:r>
        <w:t>Several reviewers (A, B) questioned the soundness of our decision to analyze the cultural items included in the SPPA. Reviewers A and B expressed concerns about whether the eight forms of cultural consumption selected for analysis a</w:t>
      </w:r>
      <w:r>
        <w:t xml:space="preserve">re a fair measure of </w:t>
      </w:r>
      <w:proofErr w:type="spellStart"/>
      <w:r>
        <w:t>omnivorousness</w:t>
      </w:r>
      <w:proofErr w:type="spellEnd"/>
      <w:r>
        <w:t xml:space="preserve">. Particularly, whether it is a time-invariant metric of </w:t>
      </w:r>
      <w:proofErr w:type="spellStart"/>
      <w:r>
        <w:t>omnivorousness</w:t>
      </w:r>
      <w:proofErr w:type="spellEnd"/>
      <w:r>
        <w:t xml:space="preserve"> as this phenomenon has been characterized in the literature. </w:t>
      </w:r>
      <w:proofErr w:type="gramStart"/>
      <w:r>
        <w:t>R(</w:t>
      </w:r>
      <w:proofErr w:type="gramEnd"/>
      <w:r>
        <w:t xml:space="preserve">A) raises the question of whether we have selected items for analysis that we might </w:t>
      </w:r>
      <w:r>
        <w:rPr>
          <w:u w:val="single"/>
        </w:rPr>
        <w:t>sp</w:t>
      </w:r>
      <w:r>
        <w:rPr>
          <w:u w:val="single"/>
        </w:rPr>
        <w:t>ecifically expect</w:t>
      </w:r>
      <w:r>
        <w:t xml:space="preserve"> would appeal to the tastes of a particular generation (“</w:t>
      </w:r>
      <w:r>
        <w:rPr>
          <w:i/>
        </w:rPr>
        <w:t>the list used by the authors appears to be reflective of the cultural tastes of a specific generation”)</w:t>
      </w:r>
      <w:r>
        <w:t xml:space="preserve">. </w:t>
      </w:r>
      <w:proofErr w:type="gramStart"/>
      <w:r>
        <w:t>R(</w:t>
      </w:r>
      <w:proofErr w:type="gramEnd"/>
      <w:r>
        <w:t xml:space="preserve">G) queried the relationship of our measurement of </w:t>
      </w:r>
      <w:proofErr w:type="spellStart"/>
      <w:r>
        <w:t>omnivorousness</w:t>
      </w:r>
      <w:proofErr w:type="spellEnd"/>
      <w:r>
        <w:t xml:space="preserve"> to others </w:t>
      </w:r>
      <w:r>
        <w:t>in the literature (</w:t>
      </w:r>
      <w:r>
        <w:rPr>
          <w:i/>
        </w:rPr>
        <w:t xml:space="preserve">“The authors should include a working definition of </w:t>
      </w:r>
      <w:proofErr w:type="spellStart"/>
      <w:r>
        <w:rPr>
          <w:i/>
        </w:rPr>
        <w:t>omnivorousness</w:t>
      </w:r>
      <w:proofErr w:type="spellEnd"/>
      <w:r>
        <w:rPr>
          <w:i/>
        </w:rPr>
        <w:t xml:space="preserve"> as they are using it and explain its relation to the definitions from the original work and subsequent work on this concept”</w:t>
      </w:r>
      <w:r>
        <w:t xml:space="preserve">). </w:t>
      </w:r>
      <w:proofErr w:type="gramStart"/>
      <w:r>
        <w:t>R(</w:t>
      </w:r>
      <w:proofErr w:type="gramEnd"/>
      <w:r>
        <w:t xml:space="preserve">G) also asks us to </w:t>
      </w:r>
      <w:r>
        <w:rPr>
          <w:i/>
        </w:rPr>
        <w:t>“clarify what the conc</w:t>
      </w:r>
      <w:r>
        <w:rPr>
          <w:i/>
        </w:rPr>
        <w:t>ept is adding.”</w:t>
      </w:r>
    </w:p>
    <w:p w:rsidR="0004530A" w:rsidRDefault="00DA6EDF">
      <w:pPr>
        <w:pStyle w:val="normal0"/>
        <w:spacing w:line="240" w:lineRule="auto"/>
        <w:contextualSpacing w:val="0"/>
      </w:pPr>
      <w:r>
        <w:t>Our response consists of four points:</w:t>
      </w:r>
    </w:p>
    <w:p w:rsidR="0004530A" w:rsidRDefault="00DA6EDF">
      <w:pPr>
        <w:pStyle w:val="normal0"/>
        <w:spacing w:line="240" w:lineRule="auto"/>
        <w:contextualSpacing w:val="0"/>
      </w:pPr>
      <w:r>
        <w:t>First, while our analysis, and the SPPA data file, focus on only a portion of the cultural activities enjoyed by Americans (of any birth cohort), these are the same or similar to the activities that oth</w:t>
      </w:r>
      <w:r>
        <w:t xml:space="preserve">er scholars have investigated in most of the research on </w:t>
      </w:r>
      <w:proofErr w:type="spellStart"/>
      <w:r>
        <w:t>omnivorousness</w:t>
      </w:r>
      <w:proofErr w:type="spellEnd"/>
      <w:r>
        <w:t xml:space="preserve">. In order to provide an alternative account of a phenomenon that has generated so much interest in our discipline, we thought it best to utilize one of the core data sources (at least </w:t>
      </w:r>
      <w:r>
        <w:t xml:space="preserve">in the U.S.), as we now explain on pages 9-11. We ask Reviewer G to note (bottom of page 9) that we provide a discussion of our particular contribution to those studies, namely, a focus on measuring </w:t>
      </w:r>
      <w:proofErr w:type="spellStart"/>
      <w:r>
        <w:t>omnivorousness</w:t>
      </w:r>
      <w:proofErr w:type="spellEnd"/>
      <w:r>
        <w:t xml:space="preserve"> as a group-level trait, rather than either</w:t>
      </w:r>
      <w:r>
        <w:t xml:space="preserve"> a characteristic of individuals or aggregations of individuals. </w:t>
      </w:r>
    </w:p>
    <w:p w:rsidR="0004530A" w:rsidRDefault="00DA6EDF">
      <w:pPr>
        <w:pStyle w:val="normal0"/>
        <w:spacing w:line="240" w:lineRule="auto"/>
        <w:contextualSpacing w:val="0"/>
      </w:pPr>
      <w:r>
        <w:t xml:space="preserve">Second, the SPPA constitutes the largest recurring cross-sectional survey of </w:t>
      </w:r>
      <w:proofErr w:type="gramStart"/>
      <w:r>
        <w:t>adults</w:t>
      </w:r>
      <w:proofErr w:type="gramEnd"/>
      <w:r>
        <w:t xml:space="preserve"> arts participation in the United States. It is thus the most likely to contain traces of continuity and di</w:t>
      </w:r>
      <w:r>
        <w:t>fferentiation in the long historical experience encoded in cohorts, information that is critical to our argument (</w:t>
      </w:r>
      <w:r>
        <w:rPr>
          <w:i/>
        </w:rPr>
        <w:t xml:space="preserve">inter alia </w:t>
      </w:r>
      <w:r>
        <w:t xml:space="preserve">page 8). While these data are imperfect, they are the sole source that offers these benefits.  </w:t>
      </w:r>
    </w:p>
    <w:p w:rsidR="0004530A" w:rsidRDefault="00DA6EDF">
      <w:pPr>
        <w:pStyle w:val="normal0"/>
        <w:spacing w:line="240" w:lineRule="auto"/>
        <w:contextualSpacing w:val="0"/>
      </w:pPr>
      <w:r>
        <w:lastRenderedPageBreak/>
        <w:t>Third, the SPPA cultural items incl</w:t>
      </w:r>
      <w:r>
        <w:t>uded in our analysis include genres with stable canons that have enjoyed generations of fans in highly codified formats (classical, ballet, opera). They also include genres with dynamic content, many active sub-genres, and which enjoyed relatively recent a</w:t>
      </w:r>
      <w:r>
        <w:t>rtistic legitimation efforts (jazz, musicals). Finally, they contain participation in activities (e.g. visiting museums, arts and craft festivals) that expose individuals to a diverse sampling of the cultural heritage depending on time and context. That ou</w:t>
      </w:r>
      <w:r>
        <w:t xml:space="preserve">r omnivorous generation reports their enjoyment of both old and new culture, and styles that are both dynamic and stable, provides additional support for our argument (discussed on pages 9 &amp; 16). The omnivorous generation adopts breadth of engagement over </w:t>
      </w:r>
      <w:r>
        <w:t xml:space="preserve">and above these other (reasonable) motivations for cultural consumption. </w:t>
      </w:r>
    </w:p>
    <w:p w:rsidR="0004530A" w:rsidRDefault="00DA6EDF" w:rsidP="00DA6EDF">
      <w:pPr>
        <w:pStyle w:val="normal0"/>
        <w:spacing w:line="240" w:lineRule="auto"/>
        <w:contextualSpacing w:val="0"/>
      </w:pPr>
      <w:r>
        <w:t>We have clarified in the text that in contrast to Reviewer B’s interpretation, our core claim is not that “</w:t>
      </w:r>
      <w:r>
        <w:rPr>
          <w:i/>
        </w:rPr>
        <w:t>newer generational cohorts are less omnivorous compared to the 1930-1950 ge</w:t>
      </w:r>
      <w:r>
        <w:rPr>
          <w:i/>
        </w:rPr>
        <w:t>neration.</w:t>
      </w:r>
      <w:r>
        <w:t>” Rather, we argue that they have lower levels of expected engagement given their generational location, either at or simply closer to baseline expectations across all cohorts (net of age and period effects), than those in the omnivorous generatio</w:t>
      </w:r>
      <w:r>
        <w:t xml:space="preserve">n (and note exceptions, e.g., opera attendance for those born between 1950-4--see </w:t>
      </w:r>
      <w:proofErr w:type="spellStart"/>
      <w:r>
        <w:t>pg</w:t>
      </w:r>
      <w:proofErr w:type="spellEnd"/>
      <w:r>
        <w:t xml:space="preserve"> 15, 36-7). The distinction is subtle but important; only members of the omnivorous generation get </w:t>
      </w:r>
      <w:proofErr w:type="gramStart"/>
      <w:r>
        <w:t>a participation</w:t>
      </w:r>
      <w:proofErr w:type="gramEnd"/>
      <w:r>
        <w:t xml:space="preserve"> “boost” as a result of their generational location. It is</w:t>
      </w:r>
      <w:r>
        <w:t xml:space="preserve"> possible that </w:t>
      </w:r>
      <w:r>
        <w:rPr>
          <w:i/>
        </w:rPr>
        <w:t>individuals</w:t>
      </w:r>
      <w:r>
        <w:t xml:space="preserve"> born after 1950 can be omnivorous, but the point is that they do not become so as a result of a generational mechanism (although they may become so by virtue of being high status, acquiring more education, etc., which are individ</w:t>
      </w:r>
      <w:r>
        <w:t>ual level effects that crosscut generational influence at the group level). Most importantly, in this version of the text we emphasize the crucial pattern of results: the strongest categorical break is that which separates the omnivorous generation from th</w:t>
      </w:r>
      <w:r>
        <w:t>e cohorts born immediately before them (e.g. 1910-1929), rather than that contrasting the omnivorous generation and their successors (see Figure 5 in the appendix).</w:t>
      </w:r>
      <w:bookmarkStart w:id="1" w:name="_GoBack"/>
      <w:bookmarkEnd w:id="1"/>
      <w:r>
        <w:tab/>
      </w:r>
    </w:p>
    <w:p w:rsidR="0004530A" w:rsidRDefault="00DA6EDF">
      <w:pPr>
        <w:pStyle w:val="Heading1"/>
        <w:contextualSpacing w:val="0"/>
      </w:pPr>
      <w:bookmarkStart w:id="2" w:name="h.q5xnlr9k3arh" w:colFirst="0" w:colLast="0"/>
      <w:bookmarkEnd w:id="2"/>
      <w:r>
        <w:t>I</w:t>
      </w:r>
      <w:r>
        <w:t>nternational Comparisons</w:t>
      </w:r>
    </w:p>
    <w:p w:rsidR="0004530A" w:rsidRDefault="00DA6EDF">
      <w:pPr>
        <w:pStyle w:val="normal0"/>
        <w:spacing w:line="240" w:lineRule="auto"/>
        <w:contextualSpacing w:val="0"/>
      </w:pPr>
      <w:r>
        <w:rPr>
          <w:i/>
        </w:rPr>
        <w:t>B2.</w:t>
      </w:r>
      <w:r>
        <w:t xml:space="preserve"> </w:t>
      </w:r>
      <w:r>
        <w:rPr>
          <w:i/>
        </w:rPr>
        <w:t>How do the authors account for similar omnivorous trends th</w:t>
      </w:r>
      <w:r>
        <w:rPr>
          <w:i/>
        </w:rPr>
        <w:t xml:space="preserve">at appear internationally? </w:t>
      </w:r>
    </w:p>
    <w:p w:rsidR="0004530A" w:rsidRDefault="00DA6EDF">
      <w:pPr>
        <w:pStyle w:val="normal0"/>
        <w:spacing w:line="240" w:lineRule="auto"/>
        <w:contextualSpacing w:val="0"/>
      </w:pPr>
      <w:r>
        <w:rPr>
          <w:i/>
        </w:rPr>
        <w:t>I5. Cultural omnivores have been spotted and discussed in many other countries, not just in America. If New Deal policies and the WPA explained the cultural omnivores in America, what about their counterparts elsewhere? Shouldn’</w:t>
      </w:r>
      <w:r>
        <w:rPr>
          <w:i/>
        </w:rPr>
        <w:t>t the generality of the omnivore phenomenon lead us to seek a broader explanation and not one that is specific to one country?</w:t>
      </w:r>
    </w:p>
    <w:p w:rsidR="0004530A" w:rsidRDefault="00DA6EDF">
      <w:pPr>
        <w:pStyle w:val="normal0"/>
        <w:spacing w:line="240" w:lineRule="auto"/>
        <w:ind w:firstLine="0"/>
        <w:contextualSpacing w:val="0"/>
      </w:pPr>
      <w:r>
        <w:tab/>
      </w:r>
      <w:proofErr w:type="spellStart"/>
      <w:r>
        <w:t>Rs</w:t>
      </w:r>
      <w:proofErr w:type="spellEnd"/>
      <w:r>
        <w:t xml:space="preserve"> (B + I) raise important questions concerning cross-national evidence of </w:t>
      </w:r>
      <w:proofErr w:type="spellStart"/>
      <w:r>
        <w:t>omnivorousness</w:t>
      </w:r>
      <w:proofErr w:type="spellEnd"/>
      <w:r>
        <w:t>, and the need for historically situate</w:t>
      </w:r>
      <w:r>
        <w:t xml:space="preserve">d accounts of organizational and institutional transformations that may shed light on the emergence of </w:t>
      </w:r>
      <w:proofErr w:type="spellStart"/>
      <w:r>
        <w:t>omnivorousness</w:t>
      </w:r>
      <w:proofErr w:type="spellEnd"/>
      <w:r>
        <w:t xml:space="preserve"> abroad. To our knowledge, no one has used this analytical approach on data collected outside the United States (DiMaggio and </w:t>
      </w:r>
      <w:proofErr w:type="spellStart"/>
      <w:r>
        <w:t>Mukhtar</w:t>
      </w:r>
      <w:proofErr w:type="spellEnd"/>
      <w:r>
        <w:t xml:space="preserve"> and L</w:t>
      </w:r>
      <w:r>
        <w:t>opez-</w:t>
      </w:r>
      <w:proofErr w:type="spellStart"/>
      <w:r>
        <w:t>Sintas</w:t>
      </w:r>
      <w:proofErr w:type="spellEnd"/>
      <w:r>
        <w:t xml:space="preserve"> and Katz-</w:t>
      </w:r>
      <w:proofErr w:type="spellStart"/>
      <w:r>
        <w:t>Gerro</w:t>
      </w:r>
      <w:proofErr w:type="spellEnd"/>
      <w:r>
        <w:t xml:space="preserve"> who did look at generation effects used a less comprehensive version </w:t>
      </w:r>
      <w:r>
        <w:lastRenderedPageBreak/>
        <w:t xml:space="preserve">of our data source). In this respect, whether </w:t>
      </w:r>
      <w:proofErr w:type="spellStart"/>
      <w:r>
        <w:t>omnivorousness</w:t>
      </w:r>
      <w:proofErr w:type="spellEnd"/>
      <w:r>
        <w:t xml:space="preserve"> is subject to generational dynamics in other contexts, as well as the timing and pattern of these h</w:t>
      </w:r>
      <w:r>
        <w:t xml:space="preserve">ypothetical effects, remain, in our estimation, open empirical questions. Aaron Reeves (2014, </w:t>
      </w:r>
      <w:r>
        <w:rPr>
          <w:i/>
        </w:rPr>
        <w:t>Cultural Trends</w:t>
      </w:r>
      <w:r>
        <w:t>) has recently done some APC decomposition work with various leisure activities outcomes in England using British Household Panel Data, but he is n</w:t>
      </w:r>
      <w:r>
        <w:t xml:space="preserve">ot concerned with the </w:t>
      </w:r>
      <w:proofErr w:type="spellStart"/>
      <w:r>
        <w:t>omnivorousness</w:t>
      </w:r>
      <w:proofErr w:type="spellEnd"/>
      <w:r>
        <w:t xml:space="preserve"> question. In addition, as Reeves notes in this paper and in the 2015 chapter from the </w:t>
      </w:r>
      <w:proofErr w:type="spellStart"/>
      <w:r>
        <w:rPr>
          <w:i/>
        </w:rPr>
        <w:t>Routledge</w:t>
      </w:r>
      <w:proofErr w:type="spellEnd"/>
      <w:r>
        <w:rPr>
          <w:i/>
        </w:rPr>
        <w:t xml:space="preserve"> International Handbook of the Sociology of Art and Culture</w:t>
      </w:r>
      <w:r>
        <w:t xml:space="preserve"> that we cite, there is and continues to be a dearth of research </w:t>
      </w:r>
      <w:r>
        <w:t>taking temporality seriously in this field due primarily to the lack of adequate data (with some exceptions all of which are in our citation list). As such, we see our attempt to isolate generational effects and examine long-range temporality in a historic</w:t>
      </w:r>
      <w:r>
        <w:t xml:space="preserve">ally serious way as one of the core contributions of the paper. While further research can begin to tease </w:t>
      </w:r>
      <w:proofErr w:type="gramStart"/>
      <w:r>
        <w:t>apart</w:t>
      </w:r>
      <w:proofErr w:type="gramEnd"/>
      <w:r>
        <w:t xml:space="preserve"> age and cohort effects in cultural consumption in other national cases, it is premature to claim an omnivorous generation exists elsewhere (or t</w:t>
      </w:r>
      <w:r>
        <w:t xml:space="preserve">hat it does not). We now provide some hypotheses to guide future research on this topic (see pg. 37-8). </w:t>
      </w:r>
    </w:p>
    <w:p w:rsidR="0004530A" w:rsidRDefault="00DA6EDF">
      <w:pPr>
        <w:pStyle w:val="Heading1"/>
        <w:contextualSpacing w:val="0"/>
      </w:pPr>
      <w:bookmarkStart w:id="3" w:name="h.o9znn5nrwx4r" w:colFirst="0" w:colLast="0"/>
      <w:bookmarkEnd w:id="3"/>
      <w:r>
        <w:t xml:space="preserve">Intergenerational Comparisons </w:t>
      </w:r>
    </w:p>
    <w:p w:rsidR="0004530A" w:rsidRDefault="00DA6EDF">
      <w:pPr>
        <w:pStyle w:val="normal0"/>
        <w:spacing w:line="240" w:lineRule="auto"/>
        <w:contextualSpacing w:val="0"/>
      </w:pPr>
      <w:r>
        <w:rPr>
          <w:i/>
        </w:rPr>
        <w:t>B1.</w:t>
      </w:r>
      <w:r>
        <w:rPr>
          <w:i/>
        </w:rPr>
        <w:tab/>
        <w:t>Why does this generational cohort have so little influence on later generations / cultural institutions / policy? [.</w:t>
      </w:r>
      <w:r>
        <w:rPr>
          <w:i/>
        </w:rPr>
        <w:t xml:space="preserve">..] </w:t>
      </w:r>
      <w:proofErr w:type="gramStart"/>
      <w:r>
        <w:rPr>
          <w:i/>
        </w:rPr>
        <w:t>why</w:t>
      </w:r>
      <w:proofErr w:type="gramEnd"/>
      <w:r>
        <w:rPr>
          <w:i/>
        </w:rPr>
        <w:t xml:space="preserve"> did the omnivorous approach to cultural consumption disappear for the subsequent cohort cluster? Was it because arts policy changed dramatically? </w:t>
      </w:r>
      <w:proofErr w:type="gramStart"/>
      <w:r>
        <w:rPr>
          <w:i/>
        </w:rPr>
        <w:t>Or because the cohort died off?</w:t>
      </w:r>
      <w:proofErr w:type="gramEnd"/>
      <w:r>
        <w:rPr>
          <w:b/>
          <w:i/>
        </w:rPr>
        <w:t xml:space="preserve"> </w:t>
      </w:r>
    </w:p>
    <w:p w:rsidR="0004530A" w:rsidRDefault="0004530A">
      <w:pPr>
        <w:pStyle w:val="normal0"/>
        <w:spacing w:line="240" w:lineRule="auto"/>
        <w:contextualSpacing w:val="0"/>
      </w:pPr>
    </w:p>
    <w:p w:rsidR="0004530A" w:rsidRDefault="00DA6EDF">
      <w:pPr>
        <w:pStyle w:val="normal0"/>
        <w:spacing w:line="240" w:lineRule="auto"/>
        <w:contextualSpacing w:val="0"/>
      </w:pPr>
      <w:r>
        <w:t>Reviewer B’s questions concerning intergenerational influence highli</w:t>
      </w:r>
      <w:r>
        <w:t>ghted a weakness in our original presentation of results. We failed to clarify the extent to which we see the influence of the omnivorous generation (and the conditions of their emergence) on subsequent generations of Americans. We now make reference to th</w:t>
      </w:r>
      <w:r>
        <w:t xml:space="preserve">is throughout the body of the paper, and provide hypotheses to guide intergenerational research comparing pre- and post- 1950s cohorts on pages 36-7. </w:t>
      </w:r>
    </w:p>
    <w:p w:rsidR="0004530A" w:rsidRDefault="00DA6EDF">
      <w:pPr>
        <w:pStyle w:val="Heading1"/>
        <w:contextualSpacing w:val="0"/>
      </w:pPr>
      <w:bookmarkStart w:id="4" w:name="h.nwgbut4td991" w:colFirst="0" w:colLast="0"/>
      <w:bookmarkEnd w:id="4"/>
      <w:r>
        <w:t>Intergenerational comparison and causality</w:t>
      </w:r>
    </w:p>
    <w:p w:rsidR="0004530A" w:rsidRDefault="00DA6EDF">
      <w:pPr>
        <w:pStyle w:val="normal0"/>
        <w:spacing w:line="240" w:lineRule="auto"/>
        <w:contextualSpacing w:val="0"/>
      </w:pPr>
      <w:r>
        <w:rPr>
          <w:i/>
        </w:rPr>
        <w:t>G2.</w:t>
      </w:r>
      <w:r>
        <w:rPr>
          <w:i/>
        </w:rPr>
        <w:tab/>
        <w:t>I'm unconvinced that the analysis can, as it claims to, es</w:t>
      </w:r>
      <w:r>
        <w:rPr>
          <w:i/>
        </w:rPr>
        <w:t>tablish any kind of causal relation between the identified cohorts and the New Deal innovations etc. It is difficult to see how the analysis of these specific SPPA questions about this specific set of activities can really be interpreted in this way. [...]</w:t>
      </w:r>
      <w:r>
        <w:rPr>
          <w:i/>
        </w:rPr>
        <w:t xml:space="preserve"> In this case, the development of the commercial cultural industries and mass broadcast media in this same period seems equally plausible as an explanation for this pattern, i.e. participation increased as the provision of the kinds of activities described</w:t>
      </w:r>
      <w:r>
        <w:rPr>
          <w:i/>
        </w:rPr>
        <w:t xml:space="preserve"> increased but dropped off in the later cohorts when there were better and more interesting things to do!  </w:t>
      </w:r>
    </w:p>
    <w:p w:rsidR="0004530A" w:rsidRDefault="00DA6EDF">
      <w:pPr>
        <w:pStyle w:val="normal0"/>
        <w:spacing w:line="240" w:lineRule="auto"/>
        <w:contextualSpacing w:val="0"/>
      </w:pPr>
      <w:r>
        <w:t xml:space="preserve">We agree with Reviewer G that any definitive “proof” of a direct causal link </w:t>
      </w:r>
      <w:r>
        <w:lastRenderedPageBreak/>
        <w:t>between transformations at the institutional level revealed in our hist</w:t>
      </w:r>
      <w:r>
        <w:t xml:space="preserve">orical analysis and the cohort patterns revealed in our statistical analysis is not possible. It was </w:t>
      </w:r>
      <w:proofErr w:type="gramStart"/>
      <w:r>
        <w:t>not our intent to argue for such a direct link nor to suggest that any one piece of data that we present provides such “proof”</w:t>
      </w:r>
      <w:proofErr w:type="gramEnd"/>
      <w:r>
        <w:t xml:space="preserve"> (as we know of no social sci</w:t>
      </w:r>
      <w:r>
        <w:t xml:space="preserve">ence method that can deliver that). It is our argument however, that the </w:t>
      </w:r>
      <w:r>
        <w:rPr>
          <w:i/>
        </w:rPr>
        <w:t>best</w:t>
      </w:r>
      <w:r>
        <w:t xml:space="preserve"> </w:t>
      </w:r>
      <w:r>
        <w:rPr>
          <w:i/>
        </w:rPr>
        <w:t>explanation</w:t>
      </w:r>
      <w:r>
        <w:t xml:space="preserve"> for the entire pattern of results that we present is the one that we offer and that the alternative explanation offered by the reviewer is not as compelling, nor does</w:t>
      </w:r>
      <w:r>
        <w:t xml:space="preserve"> it fit the additional sources of evidence (such as the analysis of cohort differences in exposure to the arts during formative years) that we bring to bear. Note that while the reviewer’s alternative account seems to focus on differences between more rece</w:t>
      </w:r>
      <w:r>
        <w:t>ntly born cohorts and the group that we are calling the omnivorous generation, the crux of our argument actually hinges on differences between this group and their predecessors. This is something that we admit we were not as clear about in the previous ver</w:t>
      </w:r>
      <w:r>
        <w:t xml:space="preserve">sion of the paper, but that we have endeavored to underscore and clarify in this version. </w:t>
      </w:r>
    </w:p>
    <w:p w:rsidR="0004530A" w:rsidRDefault="00DA6EDF">
      <w:pPr>
        <w:pStyle w:val="Heading1"/>
        <w:contextualSpacing w:val="0"/>
      </w:pPr>
      <w:bookmarkStart w:id="5" w:name="h.x6o93rrnrins" w:colFirst="0" w:colLast="0"/>
      <w:bookmarkEnd w:id="5"/>
      <w:r>
        <w:t>Class &amp; Education</w:t>
      </w:r>
    </w:p>
    <w:p w:rsidR="0004530A" w:rsidRDefault="00DA6EDF">
      <w:pPr>
        <w:pStyle w:val="normal0"/>
        <w:spacing w:line="240" w:lineRule="auto"/>
        <w:contextualSpacing w:val="0"/>
      </w:pPr>
      <w:r>
        <w:rPr>
          <w:i/>
        </w:rPr>
        <w:t>G3.</w:t>
      </w:r>
      <w:r>
        <w:rPr>
          <w:i/>
        </w:rPr>
        <w:tab/>
        <w:t>It seems strange, in a paper in which the cohort model is constructed with such complexity and care, for the discussion of class in section 3.6</w:t>
      </w:r>
      <w:r>
        <w:rPr>
          <w:i/>
        </w:rPr>
        <w:t xml:space="preserve"> to include such a crude indicator as college education, without appropriate justification/clarification. It might be that the paper could do without this section entirely, really.</w:t>
      </w:r>
    </w:p>
    <w:p w:rsidR="0004530A" w:rsidRDefault="00DA6EDF">
      <w:pPr>
        <w:pStyle w:val="normal0"/>
        <w:spacing w:line="240" w:lineRule="auto"/>
        <w:contextualSpacing w:val="0"/>
      </w:pPr>
      <w:r>
        <w:t xml:space="preserve">We agree with the reviewer that our indication of the </w:t>
      </w:r>
      <w:proofErr w:type="gramStart"/>
      <w:r>
        <w:t>much debated</w:t>
      </w:r>
      <w:proofErr w:type="gramEnd"/>
      <w:r>
        <w:t xml:space="preserve"> sociolog</w:t>
      </w:r>
      <w:r>
        <w:t>ical construct of “class” education is certainly not ideal. It was not our intent to use college degree as a proxy for class and we have clarified our language in that respect. It was our intent to use college degree to signal status-based differentiation,</w:t>
      </w:r>
      <w:r>
        <w:t xml:space="preserve"> especially for the generational groups that are the focus of our analysis. In that respect, given the fact that this generation either predates or lives at the cusp of social transformations that resulted in “mass schooling,” it strikes us that the differ</w:t>
      </w:r>
      <w:r>
        <w:t xml:space="preserve">ence between college-educated respondents and non-college educated respondents is both socially and substantively significant, and is sufficient for our comparative purposes. Note that we have now clarified our language in this respect, removing any </w:t>
      </w:r>
      <w:proofErr w:type="gramStart"/>
      <w:r>
        <w:t>intima</w:t>
      </w:r>
      <w:r>
        <w:t>tions</w:t>
      </w:r>
      <w:proofErr w:type="gramEnd"/>
      <w:r>
        <w:t xml:space="preserve"> that we are capturing “class” groups in our comparison. </w:t>
      </w:r>
    </w:p>
    <w:p w:rsidR="0004530A" w:rsidRDefault="00DA6EDF">
      <w:pPr>
        <w:pStyle w:val="Heading1"/>
        <w:contextualSpacing w:val="0"/>
      </w:pPr>
      <w:bookmarkStart w:id="6" w:name="h.shdc4fb2d00z" w:colFirst="0" w:colLast="0"/>
      <w:bookmarkEnd w:id="6"/>
      <w:r>
        <w:t>Estimating Cohort Effects</w:t>
      </w:r>
    </w:p>
    <w:p w:rsidR="0004530A" w:rsidRDefault="00DA6EDF">
      <w:pPr>
        <w:pStyle w:val="normal0"/>
        <w:spacing w:line="240" w:lineRule="auto"/>
        <w:contextualSpacing w:val="0"/>
      </w:pPr>
      <w:r>
        <w:rPr>
          <w:i/>
        </w:rPr>
        <w:t xml:space="preserve">I2. My main concern has to do with the APC analysis, which is an application of Yang and Land’s cross-classified random effects model to six waves of SPPA data. This model may well be appropriate for the task at hand, but I’d like to see more evidence for </w:t>
      </w:r>
      <w:r>
        <w:rPr>
          <w:i/>
        </w:rPr>
        <w:t>it. In particular, this approach deals with the identification problem arising from the linear dependence of A, P and C by introducing assumptions about the functional forms of the A, P and C effects. In this case, the authors assume the age effect is quad</w:t>
      </w:r>
      <w:r>
        <w:rPr>
          <w:i/>
        </w:rPr>
        <w:t xml:space="preserve">ratic, and that there is equivalence of the cohort effects within five-year birth cohort band. The latter amounts to saying that, for example, people born in 1930 </w:t>
      </w:r>
      <w:r>
        <w:rPr>
          <w:i/>
        </w:rPr>
        <w:lastRenderedPageBreak/>
        <w:t>experienced the same cohort effect as those born in 1931, but their cohort experience were ve</w:t>
      </w:r>
      <w:r>
        <w:rPr>
          <w:i/>
        </w:rPr>
        <w:t>ry different from those born in 1929. This may be true, but I’d like to see some evidence for this. We’ve learnt from previous generations of APC analysis that slight differences in equivalence assumption could lead to very different substantive conclusion</w:t>
      </w:r>
      <w:r>
        <w:rPr>
          <w:i/>
        </w:rPr>
        <w:t>s.</w:t>
      </w:r>
    </w:p>
    <w:p w:rsidR="0004530A" w:rsidRDefault="00DA6EDF">
      <w:pPr>
        <w:pStyle w:val="normal0"/>
        <w:spacing w:line="240" w:lineRule="auto"/>
        <w:contextualSpacing w:val="0"/>
      </w:pPr>
      <w:r>
        <w:t>Thanks for encouraging us to clarify both what our approach to estimating cohort effects can deliver as well as its limitations. First, the reviewer is correct in noting that the HAPC way of parameterizing cohort “groups” imposes a homogeneity constrain</w:t>
      </w:r>
      <w:r>
        <w:t xml:space="preserve">t “within” groups such that the cohort effect is presumed to be the same within five-year bands. The reviewer is also correct in noting that this imposes a somewhat artificial “categorical” distinction between those years that lie at the boundary of these </w:t>
      </w:r>
      <w:r>
        <w:t>groupings (such as 1929 and 1930). However</w:t>
      </w:r>
      <w:proofErr w:type="gramStart"/>
      <w:r>
        <w:t>,  we</w:t>
      </w:r>
      <w:proofErr w:type="gramEnd"/>
      <w:r>
        <w:t xml:space="preserve"> believe that the reviewer somewhat overstates how much our argument rides on this particular analytic grouping. For us, the “true” (substantive) cohort boundaries are not determined by the five-year groupings</w:t>
      </w:r>
      <w:r>
        <w:t>, but substantively by historically significant events. That is why our substantive assertions are not limited to any one particular 5-year group, but to a cluster of such groups (the “omnivorous generation”) that came of age during what we identify (using</w:t>
      </w:r>
      <w:r>
        <w:t xml:space="preserve"> historical sources that are independent of the statistical analysis) as a significant time in terms of the transformation of categorical boundaries around art and “not art” as well as changes in art delivery systems. </w:t>
      </w:r>
    </w:p>
    <w:p w:rsidR="0004530A" w:rsidRDefault="00DA6EDF">
      <w:pPr>
        <w:pStyle w:val="normal0"/>
        <w:spacing w:line="240" w:lineRule="auto"/>
        <w:contextualSpacing w:val="0"/>
      </w:pPr>
      <w:r>
        <w:t>Of course, we believe that cohort exp</w:t>
      </w:r>
      <w:r>
        <w:t xml:space="preserve">eriences are in fact continuous and not categorical, so we impose the homogeneity restrictions only for purposes of statistical estimation. Nevertheless, it is important to note that the HAPC approach does not (necessarily) </w:t>
      </w:r>
      <w:r>
        <w:rPr>
          <w:i/>
        </w:rPr>
        <w:t xml:space="preserve">assume </w:t>
      </w:r>
      <w:r>
        <w:t>that cohorts in different</w:t>
      </w:r>
      <w:r>
        <w:t xml:space="preserve"> 5-year groups had “very different” experiences in relation to the outcome. Instead, whether certain cohorts are “very” different from those adjacent to them (either predecessors or successors) is actually </w:t>
      </w:r>
      <w:r>
        <w:rPr>
          <w:i/>
        </w:rPr>
        <w:t>estimated</w:t>
      </w:r>
      <w:r>
        <w:t xml:space="preserve"> from the data---within the constraints n</w:t>
      </w:r>
      <w:r>
        <w:t xml:space="preserve">oted above---not assumed. In the random-effects specification, cohort differences are forced to be parametric (e.g. drawn from a normal distribution with a central location estimated via maximum likelihood), but as we show in our sensitivity analyses, the </w:t>
      </w:r>
      <w:r>
        <w:t>less parsimonious fixed-effects specification can estimate differences along adjacent cohort groups directly (as sets of dummy variables) and can provide an estimate of the extent to which (say) the 1925-1929 cohort group is indeed “very” (or not so) diffe</w:t>
      </w:r>
      <w:r>
        <w:t>rent than the next 5-year grouping (e.g. 1930-1934). However, it is important to recall that we are interested only in the question of whether a set of such groupings (those coming of age in the immediate post-progressive era) “stand out” from their predec</w:t>
      </w:r>
      <w:r>
        <w:t xml:space="preserve">essors and therefore not on any one particular boundary. </w:t>
      </w:r>
    </w:p>
    <w:p w:rsidR="0004530A" w:rsidRDefault="00DA6EDF">
      <w:pPr>
        <w:pStyle w:val="Heading1"/>
        <w:contextualSpacing w:val="0"/>
      </w:pPr>
      <w:bookmarkStart w:id="7" w:name="h.at2k78go98ei" w:colFirst="0" w:colLast="0"/>
      <w:bookmarkEnd w:id="7"/>
      <w:r>
        <w:t>Cohort versus Period</w:t>
      </w:r>
    </w:p>
    <w:p w:rsidR="0004530A" w:rsidRDefault="00DA6EDF">
      <w:pPr>
        <w:pStyle w:val="normal0"/>
        <w:spacing w:line="240" w:lineRule="auto"/>
        <w:contextualSpacing w:val="0"/>
      </w:pPr>
      <w:proofErr w:type="gramStart"/>
      <w:r>
        <w:rPr>
          <w:i/>
        </w:rPr>
        <w:t>i3</w:t>
      </w:r>
      <w:proofErr w:type="gramEnd"/>
      <w:r>
        <w:rPr>
          <w:i/>
        </w:rPr>
        <w:t xml:space="preserve">. Please note that this is not (just) an off-the-shelf methodological point about Yang and Land’s approach. One of the main arguments of the paper is that we can identify </w:t>
      </w:r>
      <w:proofErr w:type="gramStart"/>
      <w:r>
        <w:rPr>
          <w:i/>
        </w:rPr>
        <w:t>an ‘</w:t>
      </w:r>
      <w:r>
        <w:rPr>
          <w:i/>
        </w:rPr>
        <w:t>omnivorous</w:t>
      </w:r>
      <w:proofErr w:type="gramEnd"/>
      <w:r>
        <w:rPr>
          <w:i/>
        </w:rPr>
        <w:t xml:space="preserve"> generation’. In a paper that is in print at Poetics, </w:t>
      </w:r>
      <w:proofErr w:type="spellStart"/>
      <w:r>
        <w:rPr>
          <w:i/>
        </w:rPr>
        <w:t>Rossman</w:t>
      </w:r>
      <w:proofErr w:type="spellEnd"/>
      <w:r>
        <w:rPr>
          <w:i/>
        </w:rPr>
        <w:t xml:space="preserve"> and Peterson explore the fall in </w:t>
      </w:r>
      <w:proofErr w:type="spellStart"/>
      <w:r>
        <w:rPr>
          <w:i/>
        </w:rPr>
        <w:lastRenderedPageBreak/>
        <w:t>omnivorousness</w:t>
      </w:r>
      <w:proofErr w:type="spellEnd"/>
      <w:r>
        <w:rPr>
          <w:i/>
        </w:rPr>
        <w:t xml:space="preserve"> in recent waves of SPPA. They argue that ‘this reversion cannot be explained by demographic trends like cohort replacement.’ In other wo</w:t>
      </w:r>
      <w:r>
        <w:rPr>
          <w:i/>
        </w:rPr>
        <w:t>rds, they see the change as more a period effect (perhaps to do with the change of SPPA from being a module on the Department of Justice’s National Crime Survey to being a part of the Current Population Survey). Indeed, in the current paper, the authors ci</w:t>
      </w:r>
      <w:r>
        <w:rPr>
          <w:i/>
        </w:rPr>
        <w:t>te a paper by Lopez-</w:t>
      </w:r>
      <w:proofErr w:type="spellStart"/>
      <w:r>
        <w:rPr>
          <w:i/>
        </w:rPr>
        <w:t>Sintas</w:t>
      </w:r>
      <w:proofErr w:type="spellEnd"/>
      <w:r>
        <w:rPr>
          <w:i/>
        </w:rPr>
        <w:t xml:space="preserve"> and Katz-</w:t>
      </w:r>
      <w:proofErr w:type="spellStart"/>
      <w:r>
        <w:rPr>
          <w:i/>
        </w:rPr>
        <w:t>Gerro</w:t>
      </w:r>
      <w:proofErr w:type="spellEnd"/>
      <w:r>
        <w:rPr>
          <w:i/>
        </w:rPr>
        <w:t xml:space="preserve"> and note that ‘the “</w:t>
      </w:r>
      <w:proofErr w:type="spellStart"/>
      <w:r>
        <w:rPr>
          <w:i/>
        </w:rPr>
        <w:t>omnivorousness</w:t>
      </w:r>
      <w:proofErr w:type="spellEnd"/>
      <w:r>
        <w:rPr>
          <w:i/>
        </w:rPr>
        <w:t xml:space="preserve"> trend developed unevenly over the 20 years” and is characterized by period-specific effects.’ If, as the authors seem to have conceded, it is plausible to adopt a period interpret</w:t>
      </w:r>
      <w:r>
        <w:rPr>
          <w:i/>
        </w:rPr>
        <w:t>ation of the data, then the omnivorous generation argument, on which the historical-institutional part of the paper depends, becomes less convincing.</w:t>
      </w:r>
    </w:p>
    <w:p w:rsidR="0004530A" w:rsidRDefault="00DA6EDF">
      <w:pPr>
        <w:pStyle w:val="normal0"/>
        <w:spacing w:line="240" w:lineRule="auto"/>
        <w:contextualSpacing w:val="0"/>
      </w:pPr>
      <w:r>
        <w:t>We agree that period effects exist and in many cases are pretty strong. However, this particular comment s</w:t>
      </w:r>
      <w:r>
        <w:t>eems to reflect a misunderstanding of our empirical claims (and question). Our goal in the paper was not enact a “horse race” between period and cohort effects to see which ones had the strongest influence. While our analysis does provide evidence that bea</w:t>
      </w:r>
      <w:r>
        <w:t>rs on this question (e.g. comparing the magnitudes of the period and cohort variances across arts participation outcomes as we do in Table 2), what we are interested in is the question of (a) whether cohort effects can be identified for the core participat</w:t>
      </w:r>
      <w:r>
        <w:t xml:space="preserve">ion items (in addition to, and net of, the period effects) and (b) what is the exact </w:t>
      </w:r>
      <w:r>
        <w:rPr>
          <w:i/>
        </w:rPr>
        <w:t xml:space="preserve">pattern </w:t>
      </w:r>
      <w:r>
        <w:t>of the (positive) cohort effects. Our analysis shows that the answer to question (a) is affirmative (significant cohort variance exists for all activities in addition to, and net of, specific period variance); and (b) the pattern identified clusters all po</w:t>
      </w:r>
      <w:r>
        <w:t xml:space="preserve">sitive cohort deviations (more or less) among people born between 1930 and 1950 across all activities (with the small exceptions noted in the paper). </w:t>
      </w:r>
    </w:p>
    <w:p w:rsidR="0004530A" w:rsidRDefault="00DA6EDF">
      <w:pPr>
        <w:pStyle w:val="normal0"/>
        <w:spacing w:line="240" w:lineRule="auto"/>
        <w:contextualSpacing w:val="0"/>
      </w:pPr>
      <w:r>
        <w:t xml:space="preserve">We acknowledge previous work (such as </w:t>
      </w:r>
      <w:proofErr w:type="spellStart"/>
      <w:r>
        <w:t>Rossman</w:t>
      </w:r>
      <w:proofErr w:type="spellEnd"/>
      <w:r>
        <w:t xml:space="preserve"> and Peterson and Lopez-</w:t>
      </w:r>
      <w:proofErr w:type="spellStart"/>
      <w:r>
        <w:t>Sintas</w:t>
      </w:r>
      <w:proofErr w:type="spellEnd"/>
      <w:r>
        <w:t xml:space="preserve"> and Katz-</w:t>
      </w:r>
      <w:proofErr w:type="spellStart"/>
      <w:r>
        <w:t>Gerro</w:t>
      </w:r>
      <w:proofErr w:type="spellEnd"/>
      <w:r>
        <w:t>) has focused o</w:t>
      </w:r>
      <w:r>
        <w:t>n comparing the strength of period and cohort effects (although their approach does not allow for a strong conclusion), but our question pertains to cohort effects in particular (as these are the only ones that can capture generational and “carry over” inf</w:t>
      </w:r>
      <w:r>
        <w:t>luences). As shown in the purely descriptive period-cohort plots shown in the Appendix, there are both cohort and period influences across all activities, but the key is that the cohort effects separate what we call the omnivorous generation from their pre</w:t>
      </w:r>
      <w:r>
        <w:t xml:space="preserve">decessors very clearly, in a way that is consistent with our argument. </w:t>
      </w:r>
    </w:p>
    <w:p w:rsidR="0004530A" w:rsidRDefault="00DA6EDF">
      <w:pPr>
        <w:pStyle w:val="Heading1"/>
        <w:contextualSpacing w:val="0"/>
      </w:pPr>
      <w:bookmarkStart w:id="8" w:name="h.du9xrf7lb7lk" w:colFirst="0" w:colLast="0"/>
      <w:bookmarkEnd w:id="8"/>
      <w:r>
        <w:t>Other Individual-Level Covariates</w:t>
      </w:r>
    </w:p>
    <w:p w:rsidR="0004530A" w:rsidRDefault="00DA6EDF">
      <w:pPr>
        <w:pStyle w:val="normal0"/>
        <w:spacing w:line="240" w:lineRule="auto"/>
        <w:contextualSpacing w:val="0"/>
      </w:pPr>
      <w:r>
        <w:rPr>
          <w:i/>
        </w:rPr>
        <w:t>I4. Some further points about the APC analysis. • Given that SPPA has an abundance of relevant and important individual covariates of cultural partici</w:t>
      </w:r>
      <w:r>
        <w:rPr>
          <w:i/>
        </w:rPr>
        <w:t xml:space="preserve">pation such as gender, educational attainment, region of residence, . . . shouldn’t the authors introduce these to their analysis? </w:t>
      </w:r>
    </w:p>
    <w:p w:rsidR="0004530A" w:rsidRDefault="00DA6EDF">
      <w:pPr>
        <w:pStyle w:val="normal0"/>
        <w:spacing w:line="240" w:lineRule="auto"/>
        <w:contextualSpacing w:val="0"/>
      </w:pPr>
      <w:r>
        <w:t>Our analysis is primarily concerned with the effect of generation, conceptualized as a group variable, on arts participation</w:t>
      </w:r>
      <w:r>
        <w:t xml:space="preserve">. Adjusting for individual level fixed effects answers questions at that level but does not have a direct bearing on the group-level random effects. Of course one could try to “explain” group-level effects </w:t>
      </w:r>
      <w:r>
        <w:lastRenderedPageBreak/>
        <w:t>by ascertaining whether cohort-level variance decr</w:t>
      </w:r>
      <w:r>
        <w:t>eases if we were to adjust for a given individual level covariate (or the mean of that covariate at the group level). Note, however, that such covariates as gender or region would not make sense (cohorts do not differ systematically on these variables) and</w:t>
      </w:r>
      <w:r>
        <w:t xml:space="preserve"> the one that most plausibly differs across cohorts (educational attainment) would actually make the difference between the 1930-1950 cohorts and subsequent cohorts starker (since these cohorts are compositionally of higher educational attainment). In shor</w:t>
      </w:r>
      <w:r>
        <w:t xml:space="preserve">t, there are no individual level variables that we can think of that could plausibly account for the type of cohort </w:t>
      </w:r>
      <w:proofErr w:type="gramStart"/>
      <w:r>
        <w:t>effect</w:t>
      </w:r>
      <w:proofErr w:type="gramEnd"/>
      <w:r>
        <w:t xml:space="preserve"> that we find (e.g. as a result of a compositional cohort effect) especially given its rather delimited generational location.  </w:t>
      </w:r>
    </w:p>
    <w:p w:rsidR="0004530A" w:rsidRDefault="00DA6EDF">
      <w:pPr>
        <w:pStyle w:val="normal0"/>
        <w:spacing w:line="240" w:lineRule="auto"/>
        <w:contextualSpacing w:val="0"/>
      </w:pPr>
      <w:r>
        <w:t>Furth</w:t>
      </w:r>
      <w:r>
        <w:t>ermore, as we note on page 12, our use of the HAPC model is explicitly “descriptive” (and not “explanatory”) as this term is sometime misused in variables-based analysis. We do not aim to make the generational effects “go away” by “controlling” for other v</w:t>
      </w:r>
      <w:r>
        <w:t>ariables (even if plausible ones were included in the survey), but simply to establish their existence net of the most obvious competing alternatives at both the individual and group level (in this case age and period). Because of this, the usual demograph</w:t>
      </w:r>
      <w:r>
        <w:t xml:space="preserve">ics are not relevant for answering the question of </w:t>
      </w:r>
      <w:r>
        <w:rPr>
          <w:i/>
        </w:rPr>
        <w:t>whether</w:t>
      </w:r>
      <w:r>
        <w:t xml:space="preserve"> generational effects exist, although they are relevant if we are interested in </w:t>
      </w:r>
      <w:r>
        <w:rPr>
          <w:i/>
        </w:rPr>
        <w:t>heterogeneity</w:t>
      </w:r>
      <w:r>
        <w:t xml:space="preserve"> given some of these covariates (e.g. generational difference among men and women, the college educated, </w:t>
      </w:r>
      <w:r>
        <w:t>etc.). To that end (following Yang and Land), we did estimate separate HAPC models for men, women, whites, blacks, the college educated, non-college educated, etc. We discuss one relevant such model in the paper (looking at participation differences in two</w:t>
      </w:r>
      <w:r>
        <w:t xml:space="preserve"> key activities by education--see pp. 30-2). We also estimated race-specific models comparing cohort effects among Whites and Blacks in Jazz and Symphony participation. These models provide largely convergent evidence: positive generational effects are in </w:t>
      </w:r>
      <w:r>
        <w:t xml:space="preserve">most cases concentrated within the band that we have identified as the omnivorous generation (available on request). </w:t>
      </w:r>
    </w:p>
    <w:p w:rsidR="0004530A" w:rsidRDefault="00DA6EDF">
      <w:pPr>
        <w:pStyle w:val="Heading1"/>
        <w:contextualSpacing w:val="0"/>
      </w:pPr>
      <w:bookmarkStart w:id="9" w:name="h.iewvgzs3idyl" w:colFirst="0" w:colLast="0"/>
      <w:bookmarkEnd w:id="9"/>
      <w:r>
        <w:t>Equation 2</w:t>
      </w:r>
    </w:p>
    <w:p w:rsidR="0004530A" w:rsidRDefault="00DA6EDF">
      <w:pPr>
        <w:pStyle w:val="normal0"/>
        <w:spacing w:line="240" w:lineRule="auto"/>
        <w:contextualSpacing w:val="0"/>
      </w:pPr>
      <w:r>
        <w:rPr>
          <w:i/>
        </w:rPr>
        <w:t>• I: Equation 2: as it stands, e0 cancels itself out in the first term of the right-hand-</w:t>
      </w:r>
      <w:proofErr w:type="gramStart"/>
      <w:r>
        <w:rPr>
          <w:i/>
        </w:rPr>
        <w:t>side(</w:t>
      </w:r>
      <w:proofErr w:type="gramEnd"/>
      <w:r>
        <w:rPr>
          <w:i/>
        </w:rPr>
        <w:t>?) More generally, the discussion</w:t>
      </w:r>
      <w:r>
        <w:rPr>
          <w:i/>
        </w:rPr>
        <w:t xml:space="preserve"> here is very dense and hard to follow. I’d like to see more careful explanation of what the authors did here.</w:t>
      </w:r>
    </w:p>
    <w:p w:rsidR="0004530A" w:rsidRDefault="00DA6EDF">
      <w:pPr>
        <w:pStyle w:val="normal0"/>
        <w:spacing w:line="240" w:lineRule="auto"/>
        <w:contextualSpacing w:val="0"/>
      </w:pPr>
      <w:r>
        <w:t>The equation was misprinted in the previous version of the paper, and this has been fixed. We moved to using a more straightforward index based o</w:t>
      </w:r>
      <w:r>
        <w:t xml:space="preserve">n the odds ratio. </w:t>
      </w:r>
    </w:p>
    <w:p w:rsidR="0004530A" w:rsidRDefault="0004530A">
      <w:pPr>
        <w:pStyle w:val="normal0"/>
        <w:contextualSpacing w:val="0"/>
      </w:pPr>
    </w:p>
    <w:p w:rsidR="0004530A" w:rsidRDefault="0004530A">
      <w:pPr>
        <w:pStyle w:val="normal0"/>
        <w:spacing w:line="240" w:lineRule="auto"/>
        <w:contextualSpacing w:val="0"/>
      </w:pPr>
    </w:p>
    <w:sectPr w:rsidR="0004530A">
      <w:headerReference w:type="default" r:id="rId7"/>
      <w:pgSz w:w="12240" w:h="15840"/>
      <w:pgMar w:top="1440" w:right="1800" w:bottom="1727" w:left="180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DA6EDF">
      <w:pPr>
        <w:spacing w:before="0" w:line="240" w:lineRule="auto"/>
      </w:pPr>
      <w:r>
        <w:separator/>
      </w:r>
    </w:p>
  </w:endnote>
  <w:endnote w:type="continuationSeparator" w:id="0">
    <w:p w:rsidR="00000000" w:rsidRDefault="00DA6ED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auto"/>
    <w:pitch w:val="variable"/>
    <w:sig w:usb0="00000003" w:usb1="00000000" w:usb2="00000000" w:usb3="00000000" w:csb0="00000001" w:csb1="00000000"/>
  </w:font>
  <w:font w:name="Lato">
    <w:charset w:val="00"/>
    <w:family w:val="auto"/>
    <w:pitch w:val="default"/>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DA6EDF">
      <w:pPr>
        <w:spacing w:before="0" w:line="240" w:lineRule="auto"/>
      </w:pPr>
      <w:r>
        <w:separator/>
      </w:r>
    </w:p>
  </w:footnote>
  <w:footnote w:type="continuationSeparator" w:id="0">
    <w:p w:rsidR="00000000" w:rsidRDefault="00DA6EDF">
      <w:pPr>
        <w:spacing w:before="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30A" w:rsidRDefault="0004530A">
    <w:pPr>
      <w:pStyle w:val="normal0"/>
      <w:contextualSpacing w:val="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4530A"/>
    <w:rsid w:val="0004530A"/>
    <w:rsid w:val="00DA6EDF"/>
    <w:rsid w:val="00E462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aramond" w:eastAsia="Garamond" w:hAnsi="Garamond" w:cs="Garamond"/>
        <w:color w:val="000000"/>
        <w:sz w:val="26"/>
        <w:szCs w:val="26"/>
        <w:lang w:val="en-US" w:eastAsia="en-US" w:bidi="ar-SA"/>
      </w:rPr>
    </w:rPrDefault>
    <w:pPrDefault>
      <w:pPr>
        <w:widowControl w:val="0"/>
        <w:spacing w:before="60" w:line="360" w:lineRule="auto"/>
        <w:ind w:firstLine="720"/>
        <w:contextualSpacing/>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00"/>
      <w:ind w:firstLine="0"/>
      <w:jc w:val="left"/>
      <w:outlineLvl w:val="0"/>
    </w:pPr>
    <w:rPr>
      <w:color w:val="632423"/>
      <w:sz w:val="32"/>
      <w:szCs w:val="32"/>
    </w:rPr>
  </w:style>
  <w:style w:type="paragraph" w:styleId="Heading2">
    <w:name w:val="heading 2"/>
    <w:basedOn w:val="normal0"/>
    <w:next w:val="normal0"/>
    <w:pPr>
      <w:spacing w:before="120" w:after="200" w:line="240" w:lineRule="auto"/>
      <w:ind w:firstLine="0"/>
      <w:jc w:val="left"/>
      <w:outlineLvl w:val="1"/>
    </w:pPr>
    <w:rPr>
      <w:color w:val="632423"/>
      <w:sz w:val="28"/>
      <w:szCs w:val="28"/>
    </w:rPr>
  </w:style>
  <w:style w:type="paragraph" w:styleId="Heading3">
    <w:name w:val="heading 3"/>
    <w:basedOn w:val="normal0"/>
    <w:next w:val="normal0"/>
    <w:pPr>
      <w:keepNext/>
      <w:keepLines/>
      <w:spacing w:before="300"/>
      <w:ind w:firstLine="0"/>
      <w:jc w:val="left"/>
      <w:outlineLvl w:val="2"/>
    </w:pPr>
    <w:rPr>
      <w:i/>
      <w:color w:val="622423"/>
    </w:rPr>
  </w:style>
  <w:style w:type="paragraph" w:styleId="Heading4">
    <w:name w:val="heading 4"/>
    <w:basedOn w:val="normal0"/>
    <w:next w:val="normal0"/>
    <w:pPr>
      <w:spacing w:line="240" w:lineRule="auto"/>
      <w:ind w:firstLine="360"/>
      <w:outlineLvl w:val="3"/>
    </w:pPr>
    <w:rPr>
      <w:sz w:val="22"/>
      <w:szCs w:val="22"/>
    </w:rPr>
  </w:style>
  <w:style w:type="paragraph" w:styleId="Heading5">
    <w:name w:val="heading 5"/>
    <w:basedOn w:val="normal0"/>
    <w:next w:val="normal0"/>
    <w:pPr>
      <w:keepNext/>
      <w:keepLines/>
      <w:spacing w:before="320" w:after="120"/>
      <w:ind w:firstLine="0"/>
      <w:jc w:val="center"/>
      <w:outlineLvl w:val="4"/>
    </w:pPr>
    <w:rPr>
      <w:rFonts w:ascii="Lato" w:eastAsia="Lato" w:hAnsi="Lato" w:cs="Lato"/>
      <w:color w:val="622423"/>
      <w:sz w:val="22"/>
      <w:szCs w:val="22"/>
    </w:rPr>
  </w:style>
  <w:style w:type="paragraph" w:styleId="Heading6">
    <w:name w:val="heading 6"/>
    <w:basedOn w:val="normal0"/>
    <w:next w:val="normal0"/>
    <w:pPr>
      <w:keepNext/>
      <w:keepLines/>
      <w:spacing w:before="0" w:after="120"/>
      <w:ind w:firstLine="0"/>
      <w:jc w:val="center"/>
      <w:outlineLvl w:val="5"/>
    </w:pPr>
    <w:rPr>
      <w:rFonts w:ascii="Lato" w:eastAsia="Lato" w:hAnsi="Lato" w:cs="Lato"/>
      <w:color w:val="94363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500" w:after="300" w:line="240" w:lineRule="auto"/>
      <w:ind w:firstLine="0"/>
      <w:jc w:val="center"/>
    </w:pPr>
    <w:rPr>
      <w:color w:val="632423"/>
      <w:sz w:val="44"/>
      <w:szCs w:val="44"/>
    </w:rPr>
  </w:style>
  <w:style w:type="paragraph" w:styleId="Subtitle">
    <w:name w:val="Subtitle"/>
    <w:basedOn w:val="normal0"/>
    <w:next w:val="normal0"/>
    <w:pPr>
      <w:ind w:firstLine="0"/>
    </w:pPr>
    <w:rPr>
      <w:b/>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aramond" w:eastAsia="Garamond" w:hAnsi="Garamond" w:cs="Garamond"/>
        <w:color w:val="000000"/>
        <w:sz w:val="26"/>
        <w:szCs w:val="26"/>
        <w:lang w:val="en-US" w:eastAsia="en-US" w:bidi="ar-SA"/>
      </w:rPr>
    </w:rPrDefault>
    <w:pPrDefault>
      <w:pPr>
        <w:widowControl w:val="0"/>
        <w:spacing w:before="60" w:line="360" w:lineRule="auto"/>
        <w:ind w:firstLine="720"/>
        <w:contextualSpacing/>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00"/>
      <w:ind w:firstLine="0"/>
      <w:jc w:val="left"/>
      <w:outlineLvl w:val="0"/>
    </w:pPr>
    <w:rPr>
      <w:color w:val="632423"/>
      <w:sz w:val="32"/>
      <w:szCs w:val="32"/>
    </w:rPr>
  </w:style>
  <w:style w:type="paragraph" w:styleId="Heading2">
    <w:name w:val="heading 2"/>
    <w:basedOn w:val="normal0"/>
    <w:next w:val="normal0"/>
    <w:pPr>
      <w:spacing w:before="120" w:after="200" w:line="240" w:lineRule="auto"/>
      <w:ind w:firstLine="0"/>
      <w:jc w:val="left"/>
      <w:outlineLvl w:val="1"/>
    </w:pPr>
    <w:rPr>
      <w:color w:val="632423"/>
      <w:sz w:val="28"/>
      <w:szCs w:val="28"/>
    </w:rPr>
  </w:style>
  <w:style w:type="paragraph" w:styleId="Heading3">
    <w:name w:val="heading 3"/>
    <w:basedOn w:val="normal0"/>
    <w:next w:val="normal0"/>
    <w:pPr>
      <w:keepNext/>
      <w:keepLines/>
      <w:spacing w:before="300"/>
      <w:ind w:firstLine="0"/>
      <w:jc w:val="left"/>
      <w:outlineLvl w:val="2"/>
    </w:pPr>
    <w:rPr>
      <w:i/>
      <w:color w:val="622423"/>
    </w:rPr>
  </w:style>
  <w:style w:type="paragraph" w:styleId="Heading4">
    <w:name w:val="heading 4"/>
    <w:basedOn w:val="normal0"/>
    <w:next w:val="normal0"/>
    <w:pPr>
      <w:spacing w:line="240" w:lineRule="auto"/>
      <w:ind w:firstLine="360"/>
      <w:outlineLvl w:val="3"/>
    </w:pPr>
    <w:rPr>
      <w:sz w:val="22"/>
      <w:szCs w:val="22"/>
    </w:rPr>
  </w:style>
  <w:style w:type="paragraph" w:styleId="Heading5">
    <w:name w:val="heading 5"/>
    <w:basedOn w:val="normal0"/>
    <w:next w:val="normal0"/>
    <w:pPr>
      <w:keepNext/>
      <w:keepLines/>
      <w:spacing w:before="320" w:after="120"/>
      <w:ind w:firstLine="0"/>
      <w:jc w:val="center"/>
      <w:outlineLvl w:val="4"/>
    </w:pPr>
    <w:rPr>
      <w:rFonts w:ascii="Lato" w:eastAsia="Lato" w:hAnsi="Lato" w:cs="Lato"/>
      <w:color w:val="622423"/>
      <w:sz w:val="22"/>
      <w:szCs w:val="22"/>
    </w:rPr>
  </w:style>
  <w:style w:type="paragraph" w:styleId="Heading6">
    <w:name w:val="heading 6"/>
    <w:basedOn w:val="normal0"/>
    <w:next w:val="normal0"/>
    <w:pPr>
      <w:keepNext/>
      <w:keepLines/>
      <w:spacing w:before="0" w:after="120"/>
      <w:ind w:firstLine="0"/>
      <w:jc w:val="center"/>
      <w:outlineLvl w:val="5"/>
    </w:pPr>
    <w:rPr>
      <w:rFonts w:ascii="Lato" w:eastAsia="Lato" w:hAnsi="Lato" w:cs="Lato"/>
      <w:color w:val="94363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spacing w:before="500" w:after="300" w:line="240" w:lineRule="auto"/>
      <w:ind w:firstLine="0"/>
      <w:jc w:val="center"/>
    </w:pPr>
    <w:rPr>
      <w:color w:val="632423"/>
      <w:sz w:val="44"/>
      <w:szCs w:val="44"/>
    </w:rPr>
  </w:style>
  <w:style w:type="paragraph" w:styleId="Subtitle">
    <w:name w:val="Subtitle"/>
    <w:basedOn w:val="normal0"/>
    <w:next w:val="normal0"/>
    <w:pPr>
      <w:ind w:firstLine="0"/>
    </w:pPr>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3178</Words>
  <Characters>18118</Characters>
  <Application>Microsoft Macintosh Word</Application>
  <DocSecurity>0</DocSecurity>
  <Lines>150</Lines>
  <Paragraphs>42</Paragraphs>
  <ScaleCrop>false</ScaleCrop>
  <Company>Associate Professor, Columbia University</Company>
  <LinksUpToDate>false</LinksUpToDate>
  <CharactersWithSpaces>21254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Jennifer Lena</cp:lastModifiedBy>
  <cp:revision>2</cp:revision>
  <dcterms:created xsi:type="dcterms:W3CDTF">2016-05-05T18:58:00Z</dcterms:created>
  <dcterms:modified xsi:type="dcterms:W3CDTF">2016-05-05T18:58:00Z</dcterms:modified>
</cp:coreProperties>
</file>