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Dear Prof. Clemens,</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[Some introductory boilerplate]</w:t>
      </w:r>
    </w:p>
    <w:p w:rsidR="00000000" w:rsidDel="00000000" w:rsidP="00000000" w:rsidRDefault="00000000" w:rsidRPr="00000000" w14:paraId="00000004">
      <w:pPr>
        <w:pStyle w:val="Heading2"/>
        <w:pageBreakBefore w:val="0"/>
        <w:pBdr>
          <w:top w:space="0" w:sz="0" w:val="nil"/>
          <w:left w:space="0" w:sz="0" w:val="nil"/>
          <w:bottom w:space="0" w:sz="0" w:val="nil"/>
          <w:right w:space="0" w:sz="0" w:val="nil"/>
          <w:between w:space="0" w:sz="0" w:val="nil"/>
        </w:pBdr>
        <w:shd w:fill="auto" w:val="clear"/>
        <w:ind w:firstLine="0"/>
        <w:rPr/>
      </w:pPr>
      <w:bookmarkStart w:colFirst="0" w:colLast="0" w:name="_twyyry9mgi5t" w:id="0"/>
      <w:bookmarkEnd w:id="0"/>
      <w:r w:rsidDel="00000000" w:rsidR="00000000" w:rsidRPr="00000000">
        <w:rPr>
          <w:rtl w:val="0"/>
        </w:rPr>
        <w:t xml:space="preserve">Methodological Issues</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seems like some of the primary reasons for the negative decision had to do with some methodological points raised by Reviewer A. One set of points had to do with whether the results are robust to the various ways in which you can specify parameter restrictions and functional specification in the HAPC model. As the reviewer noted:</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pPr>
      <w:r w:rsidDel="00000000" w:rsidR="00000000" w:rsidRPr="00000000">
        <w:rPr>
          <w:sz w:val="20"/>
          <w:szCs w:val="20"/>
          <w:rtl w:val="0"/>
        </w:rPr>
        <w:t xml:space="preserve">It is well known in the APC literature that different spec for A, P, and C could lead to very different results. So I think the authors need to (1) justify their specifications for A, P, and C, e.g. why a quadratic specification for A? Why use five-year bands with the cutoffs that they use for C? and (2) show us that different A, P, and C specs give broadly the same results. They haven’t done these.</w:t>
      </w: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agree with the reviewer that it was our omission to not have provided the full set of robustness checks in our last submission. Yet, given the data at our disposal we can implement these robustness checks and have done so in the updated version of the manuscript. In particular, we have addressed the two major concerns expressed by the reviewer here.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first issue had to do with the choice of cohort “bandwidth” (e.g. the number of years used to define a cohort “group”). We agree with the reviewer that a five-year definition is purely conventional and that a check to see to whether the results are the same using shorter or longer definitions was called for. We provide such checks in the current version of the paper and show that our results are robust to this particular analytic choice.</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second issue raised by the reviewer had to do with the particular choice of functional form to specify the age effect. The reviewer is correct that simply choosing a particular form (e.g. quadratic) off the shelf is not justified, as the cohort effect estimate may be sensitive to this choice. In the current version of the paper we have updated the Appendix and provided the requested set of robustness checks, showing that our basic pattern of results remains substantively the same under different specifications (parametric and nonparametric) of the age effect.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second set of issues raised by the reviewer had to do with whether our specification favored a cohort versus “period effect” interpretation, given that previous work seem to have concluded that the primary action in the data was at the level of period and not cohort. As the reviewer noted:</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color w:val="222222"/>
          <w:sz w:val="20"/>
          <w:szCs w:val="20"/>
          <w:highlight w:val="white"/>
          <w:rtl w:val="0"/>
        </w:rPr>
        <w:t xml:space="preserve">I appreciate the authors are not setting up a horse race between Period and Cohort effects. But I want to know that their cohort-effects interpretations that they favoured is a reliable and reasonable one, and one that is not dependent on the particular APC 1 specs that they use. So far, I haven’t been persuaded by the evidence presented.</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agree that any claim as to the existence of cohort effects needs to be treated with the required level of skepticism. To address this concern, we provide several pieces of evidence of both a “descriptive” (e.g. visual plots) and statistical (e.g. nested regression models) showing that there exist strong cohort </w:t>
      </w:r>
      <w:r w:rsidDel="00000000" w:rsidR="00000000" w:rsidRPr="00000000">
        <w:rPr>
          <w:i w:val="1"/>
          <w:iCs w:val="1"/>
          <w:rtl w:val="0"/>
        </w:rPr>
        <w:t xml:space="preserve">and </w:t>
      </w:r>
      <w:r w:rsidDel="00000000" w:rsidR="00000000" w:rsidRPr="00000000">
        <w:rPr>
          <w:rtl w:val="0"/>
        </w:rPr>
        <w:t xml:space="preserve">period effects in these data. For instance, the visual plots show that for the most part the period effects in the data tend to be linear and negative, but that the cohort effects tend to be inverted u-shaped. In addition, nested regression models show that there is significant cohort variance left even after we adjust for age and period variance. Finally, in this version of the paper, we provide what we believe is actually the most conservative test of the existence of independent cohort variance: specifying both age and period effects as fixed effects in the HAPC model and only leaving the cohort effect as a random effect. This analysis shows that independent cohort variation following the same pattern as that provided by the descriptive plots, can be identified for six out of the eight activities in the SPPA save for those that are engaged in by a small proportion of the population such as Opera and Ballet (e.g. &lt; 5%). This is even though descriptive plots show that even these relatively rare activities conform to the inverted u-shape pattern.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Finally, reviewer A noted that the model specifications on which we based our main conclusions lacked key individual level controls. This is another omission for which we take full responsibility, but once again it was one that was easily fixed. In the current version of the paper, all of our multivariate models adjusted for education, gender, and race (unfortunately, the region  variable is only available for the last three waves). Our results are substantively identical when including these controls. </w:t>
      </w:r>
    </w:p>
    <w:p w:rsidR="00000000" w:rsidDel="00000000" w:rsidP="00000000" w:rsidRDefault="00000000" w:rsidRPr="00000000" w14:paraId="0000000E">
      <w:pPr>
        <w:pageBreakBefore w:val="0"/>
        <w:rPr/>
      </w:pPr>
      <w:r w:rsidDel="00000000" w:rsidR="00000000" w:rsidRPr="00000000">
        <w:rPr>
          <w:rtl w:val="0"/>
        </w:rPr>
        <w:t xml:space="preserve">In all, we greatly appreciated the methodological criticisms provided by this reader. Addressing these points have allowed us to come up with a tighter and more convincing empirical case. We believe that the attempt to separate age, period, and cohort effects in social science data needs to be treated with skepticism and subject to a high probative standard. We believe that we have met such a standard to an extent that is equal (if not higher) to previous work published in the top social science journals, including this one (e.g. Voas and Chaves 2016). We believe that we have demonstrated the existence of the sort of cohort-level effects that we aim to shed light on using our historical analysis, to the best of our ability and given the constraints of the data at hand. </w:t>
      </w:r>
    </w:p>
    <w:p w:rsidR="00000000" w:rsidDel="00000000" w:rsidP="00000000" w:rsidRDefault="00000000" w:rsidRPr="00000000" w14:paraId="0000000F">
      <w:pPr>
        <w:pageBreakBefore w:val="0"/>
        <w:ind w:left="0" w:firstLine="0"/>
        <w:rPr/>
      </w:pPr>
      <w:r w:rsidDel="00000000" w:rsidR="00000000" w:rsidRPr="00000000">
        <w:rPr>
          <w:rtl w:val="0"/>
        </w:rPr>
      </w:r>
    </w:p>
    <w:p w:rsidR="00000000" w:rsidDel="00000000" w:rsidP="00000000" w:rsidRDefault="00000000" w:rsidRPr="00000000" w14:paraId="00000010">
      <w:pPr>
        <w:pStyle w:val="Heading2"/>
        <w:pageBreakBefore w:val="0"/>
        <w:rPr/>
      </w:pPr>
      <w:bookmarkStart w:colFirst="0" w:colLast="0" w:name="_qcqh3c65rdec" w:id="1"/>
      <w:bookmarkEnd w:id="1"/>
      <w:r w:rsidDel="00000000" w:rsidR="00000000" w:rsidRPr="00000000">
        <w:rPr>
          <w:rtl w:val="0"/>
        </w:rPr>
        <w:t xml:space="preserve">Substantive Issues</w:t>
      </w:r>
    </w:p>
    <w:p w:rsidR="00000000" w:rsidDel="00000000" w:rsidP="00000000" w:rsidRDefault="00000000" w:rsidRPr="00000000" w14:paraId="00000011">
      <w:pPr>
        <w:pageBreakBefore w:val="0"/>
        <w:rPr/>
      </w:pPr>
      <w:r w:rsidDel="00000000" w:rsidR="00000000" w:rsidRPr="00000000">
        <w:rPr>
          <w:rtl w:val="0"/>
        </w:rPr>
        <w:t xml:space="preserve">We were not given the impression that the substantive concerns raised by reviewer C strongly informed the prior editor’s decision, however, we felt there was value in addressing them in this revision. The majority of these required some discussion of alternative explanations for our findings, most of which is now located in Section 3,  entitled “Alternative Explanations.” There we hypothesize potential generative mechanisms for the primary finding of an Omnivorous Generation, dispute the claim that our primary finding has been discovered outside the U.S. (although we discuss possible inhibiting or germinating factors that could produce such diffusion), and discuss the potential existence of artistic legitimation processes for forms of culture that are not explored by the SPPA. </w:t>
      </w:r>
    </w:p>
    <w:p w:rsidR="00000000" w:rsidDel="00000000" w:rsidP="00000000" w:rsidRDefault="00000000" w:rsidRPr="00000000" w14:paraId="00000012">
      <w:pPr>
        <w:pageBreakBefore w:val="0"/>
        <w:rPr/>
      </w:pPr>
      <w:r w:rsidDel="00000000" w:rsidR="00000000" w:rsidRPr="00000000">
        <w:rPr>
          <w:rtl w:val="0"/>
        </w:rPr>
        <w:t xml:space="preserve">Perhaps the most important thing we do in this section, vis-a-vis the concerns of reviewer C, is to clarify that we employ a definition of omnivorousness that maintains the concept’s original link with taste hierarchies. While some other studies (including Rossman and Peterson 2015), and perhaps reviewer C, have relaxed this link and conceptualize “omnivorousness” as a way of thinking about how tastes map onto groups, that is not how we use it. In fact, we argue that the SPPA is a remarkably dull (if convenient) instrument to employ in the study of taste and groups. It is a much more valuable and robust instrument for our purposes--to examine variations in engagement with legitimate (and proto-legitimate) cultural categories--a far more narrow concern. </w:t>
      </w:r>
    </w:p>
    <w:p w:rsidR="00000000" w:rsidDel="00000000" w:rsidP="00000000" w:rsidRDefault="00000000" w:rsidRPr="00000000" w14:paraId="00000013">
      <w:pPr>
        <w:pageBreakBefore w:val="0"/>
        <w:rPr/>
      </w:pPr>
      <w:r w:rsidDel="00000000" w:rsidR="00000000" w:rsidRPr="00000000">
        <w:rPr>
          <w:rtl w:val="0"/>
        </w:rPr>
      </w:r>
    </w:p>
    <w:sectPr>
      <w:pgSz w:h="15840" w:w="12240" w:orient="portrait"/>
      <w:pgMar w:bottom="1727.9999999999998" w:top="1440" w:left="1800" w:right="18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aramond" w:cs="Garamond" w:eastAsia="Garamond" w:hAnsi="Garamond"/>
        <w:sz w:val="26"/>
        <w:szCs w:val="26"/>
        <w:lang w:val="en"/>
      </w:rPr>
    </w:rPrDefault>
    <w:pPrDefault>
      <w:pPr>
        <w:widowControl w:val="0"/>
        <w:spacing w:before="60" w:line="360" w:lineRule="auto"/>
        <w:ind w:firstLine="72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400" w:lineRule="auto"/>
      <w:ind w:firstLine="0"/>
      <w:jc w:val="left"/>
    </w:pPr>
    <w:rPr>
      <w:color w:val="632423"/>
      <w:sz w:val="32"/>
      <w:szCs w:val="32"/>
    </w:rPr>
  </w:style>
  <w:style w:type="paragraph" w:styleId="Heading2">
    <w:name w:val="heading 2"/>
    <w:basedOn w:val="Normal"/>
    <w:next w:val="Normal"/>
    <w:pPr>
      <w:pageBreakBefore w:val="0"/>
      <w:spacing w:before="200" w:lineRule="auto"/>
      <w:ind w:firstLine="0"/>
      <w:jc w:val="left"/>
    </w:pPr>
    <w:rPr>
      <w:color w:val="632423"/>
      <w:sz w:val="28"/>
      <w:szCs w:val="28"/>
    </w:rPr>
  </w:style>
  <w:style w:type="paragraph" w:styleId="Heading3">
    <w:name w:val="heading 3"/>
    <w:basedOn w:val="Normal"/>
    <w:next w:val="Normal"/>
    <w:pPr>
      <w:keepNext w:val="1"/>
      <w:keepLines w:val="1"/>
      <w:pageBreakBefore w:val="0"/>
      <w:spacing w:before="300" w:lineRule="auto"/>
      <w:ind w:firstLine="0"/>
      <w:jc w:val="left"/>
    </w:pPr>
    <w:rPr>
      <w:i w:val="1"/>
      <w:iCs w:val="1"/>
      <w:color w:val="622423"/>
    </w:rPr>
  </w:style>
  <w:style w:type="paragraph" w:styleId="Heading4">
    <w:name w:val="heading 4"/>
    <w:basedOn w:val="Normal"/>
    <w:next w:val="Normal"/>
    <w:pPr>
      <w:pageBreakBefore w:val="0"/>
      <w:spacing w:line="240" w:lineRule="auto"/>
      <w:ind w:firstLine="0"/>
    </w:pPr>
    <w:rPr>
      <w:sz w:val="22"/>
      <w:szCs w:val="22"/>
    </w:rPr>
  </w:style>
  <w:style w:type="paragraph" w:styleId="Heading5">
    <w:name w:val="heading 5"/>
    <w:basedOn w:val="Normal"/>
    <w:next w:val="Normal"/>
    <w:pPr>
      <w:keepNext w:val="1"/>
      <w:keepLines w:val="1"/>
      <w:pageBreakBefore w:val="0"/>
      <w:spacing w:after="120" w:before="320" w:line="360" w:lineRule="auto"/>
      <w:ind w:left="0" w:right="0" w:firstLine="0"/>
      <w:jc w:val="center"/>
    </w:pPr>
    <w:rPr>
      <w:rFonts w:ascii="Lato" w:cs="Lato" w:eastAsia="Lato" w:hAnsi="Lato"/>
      <w:b w:val="0"/>
      <w:bCs w:val="0"/>
      <w:i w:val="0"/>
      <w:iCs w:val="0"/>
      <w:smallCaps w:val="0"/>
      <w:strike w:val="0"/>
      <w:color w:val="622423"/>
      <w:sz w:val="22"/>
      <w:szCs w:val="22"/>
      <w:u w:val="none"/>
      <w:shd w:fill="auto" w:val="clear"/>
      <w:vertAlign w:val="baseline"/>
    </w:rPr>
  </w:style>
  <w:style w:type="paragraph" w:styleId="Heading6">
    <w:name w:val="heading 6"/>
    <w:basedOn w:val="Normal"/>
    <w:next w:val="Normal"/>
    <w:pPr>
      <w:keepNext w:val="1"/>
      <w:keepLines w:val="1"/>
      <w:pageBreakBefore w:val="0"/>
      <w:spacing w:after="120" w:before="0" w:line="360" w:lineRule="auto"/>
      <w:ind w:left="0" w:right="0" w:firstLine="0"/>
      <w:jc w:val="center"/>
    </w:pPr>
    <w:rPr>
      <w:rFonts w:ascii="Lato" w:cs="Lato" w:eastAsia="Lato" w:hAnsi="Lato"/>
      <w:b w:val="0"/>
      <w:bCs w:val="0"/>
      <w:i w:val="0"/>
      <w:iCs w:val="0"/>
      <w:smallCaps w:val="0"/>
      <w:strike w:val="0"/>
      <w:color w:val="943634"/>
      <w:sz w:val="22"/>
      <w:szCs w:val="22"/>
      <w:u w:val="none"/>
      <w:shd w:fill="auto" w:val="clear"/>
      <w:vertAlign w:val="baseline"/>
    </w:rPr>
  </w:style>
  <w:style w:type="paragraph" w:styleId="Title">
    <w:name w:val="Title"/>
    <w:basedOn w:val="Normal"/>
    <w:next w:val="Normal"/>
    <w:pPr>
      <w:pageBreakBefore w:val="0"/>
      <w:spacing w:after="300" w:before="500" w:line="240" w:lineRule="auto"/>
      <w:ind w:firstLine="0"/>
      <w:jc w:val="center"/>
    </w:pPr>
    <w:rPr>
      <w:color w:val="632423"/>
      <w:sz w:val="44"/>
      <w:szCs w:val="44"/>
    </w:rPr>
  </w:style>
  <w:style w:type="paragraph" w:styleId="Subtitle">
    <w:name w:val="Subtitle"/>
    <w:basedOn w:val="Normal"/>
    <w:next w:val="Normal"/>
    <w:pPr>
      <w:pageBreakBefore w:val="0"/>
      <w:ind w:firstLine="0"/>
    </w:pPr>
    <w:rPr>
      <w:b w:val="1"/>
      <w:bCs w:val="1"/>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5" Type="http://schemas.openxmlformats.org/officeDocument/2006/relationships/font" Target="fonts/Lato-regular.ttf"/><Relationship Id="rId6" Type="http://schemas.openxmlformats.org/officeDocument/2006/relationships/font" Target="fonts/Lato-bold.ttf"/><Relationship Id="rId7" Type="http://schemas.openxmlformats.org/officeDocument/2006/relationships/font" Target="fonts/Lato-italic.ttf"/><Relationship Id="rId8"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