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EFD"/>
  <w:body>
    <w:p w:rsidR="00000000" w:rsidDel="00000000" w:rsidP="00000000" w:rsidRDefault="00000000" w:rsidRPr="00000000" w14:paraId="00000001">
      <w:pPr>
        <w:pStyle w:val="Heading1"/>
        <w:pageBreakBefore w:val="0"/>
        <w:ind w:firstLine="0"/>
        <w:rPr/>
      </w:pPr>
      <w:bookmarkStart w:colFirst="0" w:colLast="0" w:name="_wfcbunvtmzfh" w:id="0"/>
      <w:bookmarkEnd w:id="0"/>
      <w:r w:rsidDel="00000000" w:rsidR="00000000" w:rsidRPr="00000000">
        <w:rPr>
          <w:rtl w:val="0"/>
        </w:rPr>
        <w:t xml:space="preserve">Setting the Theoretical Estimand(s)</w:t>
      </w:r>
    </w:p>
    <w:p w:rsidR="00000000" w:rsidDel="00000000" w:rsidP="00000000" w:rsidRDefault="00000000" w:rsidRPr="00000000" w14:paraId="00000002">
      <w:pPr>
        <w:pageBreakBefore w:val="0"/>
        <w:rPr/>
      </w:pPr>
      <w:r w:rsidDel="00000000" w:rsidR="00000000" w:rsidRPr="00000000">
        <w:rPr>
          <w:rtl w:val="0"/>
        </w:rPr>
        <w:t xml:space="preserve">We define a </w:t>
      </w:r>
      <w:r w:rsidDel="00000000" w:rsidR="00000000" w:rsidRPr="00000000">
        <w:rPr>
          <w:i w:val="1"/>
          <w:iCs w:val="1"/>
          <w:rtl w:val="0"/>
        </w:rPr>
        <w:t xml:space="preserve">theoretical estimand</w:t>
      </w:r>
      <w:r w:rsidDel="00000000" w:rsidR="00000000" w:rsidRPr="00000000">
        <w:rPr>
          <w:rtl w:val="0"/>
        </w:rPr>
        <w:t xml:space="preserve"> in the way done by Lundberg et al. </w:t>
      </w:r>
      <w:hyperlink r:id="rId7">
        <w:r w:rsidDel="00000000" w:rsidR="00000000" w:rsidRPr="00000000">
          <w:rPr>
            <w:b w:val="0"/>
            <w:bCs w:val="0"/>
            <w:color w:val="000000"/>
            <w:u w:val="none"/>
            <w:rtl w:val="0"/>
          </w:rPr>
          <w:t xml:space="preserve">(2020)</w:t>
        </w:r>
      </w:hyperlink>
      <w:r w:rsidDel="00000000" w:rsidR="00000000" w:rsidRPr="00000000">
        <w:rPr>
          <w:rtl w:val="0"/>
        </w:rPr>
        <w:t xml:space="preserve">. A theoretical estimand is a combination of a unit-specific quantity we may be interested in, and a population over which this quantity is defined.</w:t>
      </w:r>
      <w:r w:rsidDel="00000000" w:rsidR="00000000" w:rsidRPr="00000000">
        <w:rPr>
          <w:vertAlign w:val="superscript"/>
        </w:rPr>
        <w:footnoteReference w:customMarkFollows="0" w:id="0"/>
      </w:r>
      <w:r w:rsidDel="00000000" w:rsidR="00000000" w:rsidRPr="00000000">
        <w:rPr>
          <w:rtl w:val="0"/>
        </w:rPr>
        <w:t xml:space="preserve"> In terms of the latter, analysts who study generational effects on cultural consumption are usually interested in some national population, or in comparative analyses more than one national population </w:t>
      </w:r>
      <w:hyperlink r:id="rId8">
        <w:r w:rsidDel="00000000" w:rsidR="00000000" w:rsidRPr="00000000">
          <w:rPr>
            <w:b w:val="0"/>
            <w:bCs w:val="0"/>
            <w:color w:val="000000"/>
            <w:u w:val="none"/>
            <w:rtl w:val="0"/>
          </w:rPr>
          <w:t xml:space="preserve">(DiMaggio &amp; Mukhtar, 2004; Fishman &amp; Lizardo, 2013; Obukhova et al., 2014; Reeves, 2016)</w:t>
        </w:r>
      </w:hyperlink>
      <w:r w:rsidDel="00000000" w:rsidR="00000000" w:rsidRPr="00000000">
        <w:rPr>
          <w:rtl w:val="0"/>
        </w:rPr>
        <w:t xml:space="preserve">. In terms of the latter, analysts are not always clear. In what follows, we define the various sets of </w:t>
      </w:r>
      <w:r w:rsidDel="00000000" w:rsidR="00000000" w:rsidRPr="00000000">
        <w:rPr>
          <w:i w:val="1"/>
          <w:iCs w:val="1"/>
          <w:rtl w:val="0"/>
        </w:rPr>
        <w:t xml:space="preserve">theoretical estimands</w:t>
      </w:r>
      <w:r w:rsidDel="00000000" w:rsidR="00000000" w:rsidRPr="00000000">
        <w:rPr>
          <w:rtl w:val="0"/>
        </w:rPr>
        <w:t xml:space="preserve"> that analysts interested in generational effects on culture consumption could be interested in. We begin with the most basic ones and then move to more complex or involved ones. Along the way, we point to those theoretical estimands that define more complex or theoretical controversial notions, such as the idea of a “cohort effect.” As Lundberg et al. (2020) argue, the point of defining a theoretical estimand is to define the quantities we are interested in </w:t>
      </w:r>
      <w:r w:rsidDel="00000000" w:rsidR="00000000" w:rsidRPr="00000000">
        <w:rPr>
          <w:i w:val="1"/>
          <w:iCs w:val="1"/>
          <w:rtl w:val="0"/>
        </w:rPr>
        <w:t xml:space="preserve">independently</w:t>
      </w:r>
      <w:r w:rsidDel="00000000" w:rsidR="00000000" w:rsidRPr="00000000">
        <w:rPr>
          <w:rtl w:val="0"/>
        </w:rPr>
        <w:t xml:space="preserve"> of any particular estimation technique (e.g., some technique to “identify” cohort effects) or a set of (testable or non-testable) assumptions.</w:t>
      </w:r>
    </w:p>
    <w:p w:rsidR="00000000" w:rsidDel="00000000" w:rsidP="00000000" w:rsidRDefault="00000000" w:rsidRPr="00000000" w14:paraId="00000003">
      <w:pPr>
        <w:pStyle w:val="Heading2"/>
        <w:pageBreakBefore w:val="0"/>
        <w:rPr/>
      </w:pPr>
      <w:bookmarkStart w:colFirst="0" w:colLast="0" w:name="_mfs6wugum42x" w:id="1"/>
      <w:bookmarkEnd w:id="1"/>
      <w:r w:rsidDel="00000000" w:rsidR="00000000" w:rsidRPr="00000000">
        <w:rPr>
          <w:rtl w:val="0"/>
        </w:rPr>
        <w:t xml:space="preserve">The Participation Rate</w:t>
      </w:r>
    </w:p>
    <w:p w:rsidR="00000000" w:rsidDel="00000000" w:rsidP="00000000" w:rsidRDefault="00000000" w:rsidRPr="00000000" w14:paraId="00000004">
      <w:pPr>
        <w:pageBreakBefore w:val="0"/>
        <w:rPr/>
      </w:pPr>
      <w:r w:rsidDel="00000000" w:rsidR="00000000" w:rsidRPr="00000000">
        <w:rPr>
          <w:rtl w:val="0"/>
        </w:rPr>
        <w:t xml:space="preserve">If we are interested in finding out whether there are generational effects in arts participation the most basic theoretical estimand we will be interested in is the </w:t>
      </w:r>
      <w:r w:rsidDel="00000000" w:rsidR="00000000" w:rsidRPr="00000000">
        <w:rPr>
          <w:i w:val="1"/>
          <w:iCs w:val="1"/>
          <w:rtl w:val="0"/>
        </w:rPr>
        <w:t xml:space="preserve">Participation Rate</w:t>
      </w:r>
      <w:r w:rsidDel="00000000" w:rsidR="00000000" w:rsidRPr="00000000">
        <w:rPr>
          <w:rtl w:val="0"/>
        </w:rPr>
        <w:t xml:space="preserve"> (PR). This unit-specific quantity is defined as follows. Let </w:t>
      </w:r>
      <w:r w:rsidDel="00000000" w:rsidR="00000000" w:rsidRPr="00000000">
        <w:rPr>
          <w:i w:val="1"/>
          <w:iCs w:val="1"/>
          <w:rtl w:val="0"/>
        </w:rPr>
        <w:t xml:space="preserve">Y</w:t>
      </w:r>
      <w:r w:rsidDel="00000000" w:rsidR="00000000" w:rsidRPr="00000000">
        <w:rPr>
          <w:i w:val="1"/>
          <w:iCs w:val="1"/>
          <w:vertAlign w:val="subscript"/>
          <w:rtl w:val="0"/>
        </w:rPr>
        <w:t xml:space="preserve">ic</w:t>
      </w:r>
      <w:r w:rsidDel="00000000" w:rsidR="00000000" w:rsidRPr="00000000">
        <w:rPr>
          <w:rtl w:val="0"/>
        </w:rPr>
        <w:t xml:space="preserve"> be a binary indicator variable</w:t>
      </w:r>
      <w:r w:rsidDel="00000000" w:rsidR="00000000" w:rsidRPr="00000000">
        <w:rPr>
          <w:vertAlign w:val="superscript"/>
        </w:rPr>
        <w:footnoteReference w:customMarkFollows="0" w:id="1"/>
      </w:r>
      <w:r w:rsidDel="00000000" w:rsidR="00000000" w:rsidRPr="00000000">
        <w:rPr>
          <w:rtl w:val="0"/>
        </w:rPr>
        <w:t xml:space="preserve"> that equals 1 if individual </w:t>
      </w:r>
      <w:r w:rsidDel="00000000" w:rsidR="00000000" w:rsidRPr="00000000">
        <w:rPr>
          <w:i w:val="1"/>
          <w:iCs w:val="1"/>
          <w:rtl w:val="0"/>
        </w:rPr>
        <w:t xml:space="preserve">i</w:t>
      </w:r>
      <w:r w:rsidDel="00000000" w:rsidR="00000000" w:rsidRPr="00000000">
        <w:rPr>
          <w:rtl w:val="0"/>
        </w:rPr>
        <w:t xml:space="preserve"> participates in cultural activity </w:t>
      </w:r>
      <w:r w:rsidDel="00000000" w:rsidR="00000000" w:rsidRPr="00000000">
        <w:rPr>
          <w:i w:val="1"/>
          <w:iCs w:val="1"/>
          <w:rtl w:val="0"/>
        </w:rPr>
        <w:t xml:space="preserve">c</w:t>
      </w:r>
      <w:r w:rsidDel="00000000" w:rsidR="00000000" w:rsidRPr="00000000">
        <w:rPr>
          <w:rtl w:val="0"/>
        </w:rPr>
        <w:t xml:space="preserve">. In this case, then the participation rate corresponding to that cultural activity is the theoretical estimand given by:</w:t>
      </w:r>
    </w:p>
    <w:p w:rsidR="00000000" w:rsidDel="00000000" w:rsidP="00000000" w:rsidRDefault="00000000" w:rsidRPr="00000000" w14:paraId="00000005">
      <w:pPr>
        <w:pageBreakBefore w:val="0"/>
        <w:rPr/>
      </w:pPr>
      <w:r w:rsidDel="00000000" w:rsidR="00000000" w:rsidRPr="00000000">
        <w:rPr>
          <w:rtl w:val="0"/>
        </w:rPr>
        <w:tab/>
        <w:tab/>
      </w:r>
      <w:r w:rsidDel="00000000" w:rsidR="00000000" w:rsidRPr="00000000">
        <w:drawing>
          <wp:anchor allowOverlap="1" behindDoc="0" distB="19050" distT="19050" distL="19050" distR="19050" hidden="0" layoutInCell="1" locked="0" relativeHeight="0" simplePos="0">
            <wp:simplePos x="0" y="0"/>
            <wp:positionH relativeFrom="column">
              <wp:posOffset>1</wp:posOffset>
            </wp:positionH>
            <wp:positionV relativeFrom="paragraph">
              <wp:posOffset>56890</wp:posOffset>
            </wp:positionV>
            <wp:extent cx="3086100" cy="457200"/>
            <wp:effectExtent b="0" l="0" r="0" t="0"/>
            <wp:wrapSquare wrapText="bothSides" distB="19050" distT="19050" distL="19050" distR="19050"/>
            <wp:docPr descr="PR_{(c)} = \frac{1}{\mbox{Size of Population}} \sum_{\mbox{\scriptsize i in Population}} Y_{ic}" id="3" name="image4.gif"/>
            <a:graphic>
              <a:graphicData uri="http://schemas.openxmlformats.org/drawingml/2006/picture">
                <pic:pic>
                  <pic:nvPicPr>
                    <pic:cNvPr descr="PR_{(c)} = \frac{1}{\mbox{Size of Population}} \sum_{\mbox{\scriptsize i in Population}} Y_{ic}" id="0" name="image4.gif"/>
                    <pic:cNvPicPr preferRelativeResize="0"/>
                  </pic:nvPicPr>
                  <pic:blipFill>
                    <a:blip r:embed="rId9"/>
                    <a:srcRect b="0" l="0" r="0" t="0"/>
                    <a:stretch>
                      <a:fillRect/>
                    </a:stretch>
                  </pic:blipFill>
                  <pic:spPr>
                    <a:xfrm>
                      <a:off x="0" y="0"/>
                      <a:ext cx="3086100" cy="457200"/>
                    </a:xfrm>
                    <a:prstGeom prst="rect"/>
                    <a:ln/>
                  </pic:spPr>
                </pic:pic>
              </a:graphicData>
            </a:graphic>
          </wp:anchor>
        </w:drawing>
      </w:r>
    </w:p>
    <w:p w:rsidR="00000000" w:rsidDel="00000000" w:rsidP="00000000" w:rsidRDefault="00000000" w:rsidRPr="00000000" w14:paraId="00000006">
      <w:pPr>
        <w:pageBreakBefore w:val="0"/>
        <w:ind w:left="3600" w:firstLine="720"/>
        <w:rPr/>
      </w:pPr>
      <w:r w:rsidDel="00000000" w:rsidR="00000000" w:rsidRPr="00000000">
        <w:rPr>
          <w:rtl w:val="0"/>
        </w:rPr>
        <w:t xml:space="preserve">    </w:t>
        <w:tab/>
        <w:tab/>
        <w:tab/>
        <w:tab/>
        <w:tab/>
        <w:t xml:space="preserve">(1)</w:t>
      </w:r>
    </w:p>
    <w:p w:rsidR="00000000" w:rsidDel="00000000" w:rsidP="00000000" w:rsidRDefault="00000000" w:rsidRPr="00000000" w14:paraId="00000007">
      <w:pPr>
        <w:pStyle w:val="Heading2"/>
        <w:pageBreakBefore w:val="0"/>
        <w:rPr/>
      </w:pPr>
      <w:bookmarkStart w:colFirst="0" w:colLast="0" w:name="_crsv9qz5bfma" w:id="2"/>
      <w:bookmarkEnd w:id="2"/>
      <w:r w:rsidDel="00000000" w:rsidR="00000000" w:rsidRPr="00000000">
        <w:rPr>
          <w:rtl w:val="0"/>
        </w:rPr>
        <w:t xml:space="preserve">Period-Specific Participation Rate</w:t>
      </w:r>
    </w:p>
    <w:p w:rsidR="00000000" w:rsidDel="00000000" w:rsidP="00000000" w:rsidRDefault="00000000" w:rsidRPr="00000000" w14:paraId="00000008">
      <w:pPr>
        <w:pageBreakBefore w:val="0"/>
        <w:rPr/>
      </w:pPr>
      <w:r w:rsidDel="00000000" w:rsidR="00000000" w:rsidRPr="00000000">
        <w:rPr>
          <w:rtl w:val="0"/>
        </w:rPr>
        <w:t xml:space="preserve">Analysts interested in social change in arts participation are of course not just content with computing static PRs. They are instead, usually interested in checking for the existence of some sort of temporal trends in arts participation. This leads to a different theoretical estimand, which we refer to as the </w:t>
      </w:r>
      <w:r w:rsidDel="00000000" w:rsidR="00000000" w:rsidRPr="00000000">
        <w:rPr>
          <w:i w:val="1"/>
          <w:iCs w:val="1"/>
          <w:rtl w:val="0"/>
        </w:rPr>
        <w:t xml:space="preserve">Time-Specific</w:t>
      </w:r>
      <w:r w:rsidDel="00000000" w:rsidR="00000000" w:rsidRPr="00000000">
        <w:rPr>
          <w:rtl w:val="0"/>
        </w:rPr>
        <w:t xml:space="preserve"> </w:t>
      </w:r>
      <w:r w:rsidDel="00000000" w:rsidR="00000000" w:rsidRPr="00000000">
        <w:rPr>
          <w:i w:val="1"/>
          <w:iCs w:val="1"/>
          <w:rtl w:val="0"/>
        </w:rPr>
        <w:t xml:space="preserve">Participation Rate</w:t>
      </w:r>
      <w:r w:rsidDel="00000000" w:rsidR="00000000" w:rsidRPr="00000000">
        <w:rPr>
          <w:rtl w:val="0"/>
        </w:rPr>
        <w:t xml:space="preserve"> (TSPR). To compute the TSPR we need to observe the same population at multiple time points (</w:t>
      </w:r>
      <w:r w:rsidDel="00000000" w:rsidR="00000000" w:rsidRPr="00000000">
        <w:rPr>
          <w:i w:val="1"/>
          <w:iCs w:val="1"/>
          <w:rtl w:val="0"/>
        </w:rPr>
        <w:t xml:space="preserve">T= t</w:t>
      </w:r>
      <w:r w:rsidDel="00000000" w:rsidR="00000000" w:rsidRPr="00000000">
        <w:rPr>
          <w:rtl w:val="0"/>
        </w:rPr>
        <w:t xml:space="preserve">). In this case, the PSPR is given by:</w:t>
      </w:r>
    </w:p>
    <w:p w:rsidR="00000000" w:rsidDel="00000000" w:rsidP="00000000" w:rsidRDefault="00000000" w:rsidRPr="00000000" w14:paraId="00000009">
      <w:pPr>
        <w:pageBreakBefore w:val="0"/>
        <w:ind w:left="0" w:firstLine="0"/>
        <w:rPr/>
      </w:pPr>
      <w:r w:rsidDel="00000000" w:rsidR="00000000" w:rsidRPr="00000000">
        <w:rPr>
          <w:rtl w:val="0"/>
        </w:rPr>
      </w:r>
    </w:p>
    <w:p w:rsidR="00000000" w:rsidDel="00000000" w:rsidP="00000000" w:rsidRDefault="00000000" w:rsidRPr="00000000" w14:paraId="0000000A">
      <w:pPr>
        <w:pageBreakBefore w:val="0"/>
        <w:ind w:left="0" w:firstLine="0"/>
        <w:rPr/>
      </w:pPr>
      <w:r w:rsidDel="00000000" w:rsidR="00000000" w:rsidRPr="00000000">
        <w:rPr/>
        <w:drawing>
          <wp:inline distB="19050" distT="19050" distL="19050" distR="19050">
            <wp:extent cx="3848100" cy="457200"/>
            <wp:effectExtent b="0" l="0" r="0" t="0"/>
            <wp:docPr descr="TSPR_{(c)} = \frac{1}{\mbox{\scriptsize Size of Population at Time = t}} \sum_{\mbox{\scriptsize i in Population}} Y_{ic}(t)" id="1" name="image2.gif"/>
            <a:graphic>
              <a:graphicData uri="http://schemas.openxmlformats.org/drawingml/2006/picture">
                <pic:pic>
                  <pic:nvPicPr>
                    <pic:cNvPr descr="TSPR_{(c)} = \frac{1}{\mbox{\scriptsize Size of Population at Time = t}} \sum_{\mbox{\scriptsize i in Population}} Y_{ic}(t)" id="0" name="image2.gif"/>
                    <pic:cNvPicPr preferRelativeResize="0"/>
                  </pic:nvPicPr>
                  <pic:blipFill>
                    <a:blip r:embed="rId10"/>
                    <a:srcRect b="0" l="0" r="0" t="0"/>
                    <a:stretch>
                      <a:fillRect/>
                    </a:stretch>
                  </pic:blipFill>
                  <pic:spPr>
                    <a:xfrm>
                      <a:off x="0" y="0"/>
                      <a:ext cx="3848100" cy="457200"/>
                    </a:xfrm>
                    <a:prstGeom prst="rect"/>
                    <a:ln/>
                  </pic:spPr>
                </pic:pic>
              </a:graphicData>
            </a:graphic>
          </wp:inline>
        </w:drawing>
      </w:r>
      <w:r w:rsidDel="00000000" w:rsidR="00000000" w:rsidRPr="00000000">
        <w:rPr>
          <w:rtl w:val="0"/>
        </w:rPr>
        <w:t xml:space="preserve">    </w:t>
        <w:tab/>
        <w:tab/>
        <w:tab/>
        <w:tab/>
        <w:t xml:space="preserve">(2)</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Where Y</w:t>
      </w:r>
      <w:r w:rsidDel="00000000" w:rsidR="00000000" w:rsidRPr="00000000">
        <w:rPr>
          <w:vertAlign w:val="subscript"/>
          <w:rtl w:val="0"/>
        </w:rPr>
        <w:t xml:space="preserve">ic</w:t>
      </w:r>
      <w:r w:rsidDel="00000000" w:rsidR="00000000" w:rsidRPr="00000000">
        <w:rPr>
          <w:rtl w:val="0"/>
        </w:rPr>
        <w:t xml:space="preserve">(t) = 1 if individual </w:t>
      </w:r>
      <w:r w:rsidDel="00000000" w:rsidR="00000000" w:rsidRPr="00000000">
        <w:rPr>
          <w:i w:val="1"/>
          <w:iCs w:val="1"/>
          <w:rtl w:val="0"/>
        </w:rPr>
        <w:t xml:space="preserve">i</w:t>
      </w:r>
      <w:r w:rsidDel="00000000" w:rsidR="00000000" w:rsidRPr="00000000">
        <w:rPr>
          <w:rtl w:val="0"/>
        </w:rPr>
        <w:t xml:space="preserve"> participates in cultural activity </w:t>
      </w:r>
      <w:r w:rsidDel="00000000" w:rsidR="00000000" w:rsidRPr="00000000">
        <w:rPr>
          <w:i w:val="1"/>
          <w:iCs w:val="1"/>
          <w:rtl w:val="0"/>
        </w:rPr>
        <w:t xml:space="preserve">c</w:t>
      </w:r>
      <w:r w:rsidDel="00000000" w:rsidR="00000000" w:rsidRPr="00000000">
        <w:rPr>
          <w:rtl w:val="0"/>
        </w:rPr>
        <w:t xml:space="preserve"> at time </w:t>
      </w:r>
      <w:r w:rsidDel="00000000" w:rsidR="00000000" w:rsidRPr="00000000">
        <w:rPr>
          <w:i w:val="1"/>
          <w:iCs w:val="1"/>
          <w:rtl w:val="0"/>
        </w:rPr>
        <w:t xml:space="preserve">t</w:t>
      </w:r>
      <w:r w:rsidDel="00000000" w:rsidR="00000000" w:rsidRPr="00000000">
        <w:rPr>
          <w:rtl w:val="0"/>
        </w:rPr>
        <w:t xml:space="preserve">, and zero otherwise. Analysts could estimate PSPRs (e.g., from survey data of a probability sample) to see if there are secular trends (declines, increases, steady-states) in arts participation in a national population. For instance, DiMaggio and Mukhtar estimate PSPRs for the United States using data from the Survey for Public Participations in the Arts (SPPA). They find...</w:t>
      </w:r>
    </w:p>
    <w:p w:rsidR="00000000" w:rsidDel="00000000" w:rsidP="00000000" w:rsidRDefault="00000000" w:rsidRPr="00000000" w14:paraId="0000000D">
      <w:pPr>
        <w:pStyle w:val="Heading2"/>
        <w:pageBreakBefore w:val="0"/>
        <w:rPr/>
      </w:pPr>
      <w:bookmarkStart w:colFirst="0" w:colLast="0" w:name="_u7ahraabxql7" w:id="3"/>
      <w:bookmarkEnd w:id="3"/>
      <w:r w:rsidDel="00000000" w:rsidR="00000000" w:rsidRPr="00000000">
        <w:rPr>
          <w:rtl w:val="0"/>
        </w:rPr>
        <w:t xml:space="preserve">Age-Specific Arts Participation Rates</w:t>
      </w:r>
    </w:p>
    <w:p w:rsidR="00000000" w:rsidDel="00000000" w:rsidP="00000000" w:rsidRDefault="00000000" w:rsidRPr="00000000" w14:paraId="0000000E">
      <w:pPr>
        <w:pageBreakBefore w:val="0"/>
        <w:rPr/>
      </w:pPr>
      <w:r w:rsidDel="00000000" w:rsidR="00000000" w:rsidRPr="00000000">
        <w:rPr>
          <w:rtl w:val="0"/>
        </w:rPr>
        <w:t xml:space="preserve">A necessary (but hardly sufficient) condition for observing generational effects of arts participation is the existence of Age Heterogeneity in the participation rate. That is, sometimes we are interested in whether young people are more or less likely to participate in a given cultural activity than older adults or more senior people. This leads to the definition of a third theoretical estimand, which we refer to as the </w:t>
      </w:r>
      <w:r w:rsidDel="00000000" w:rsidR="00000000" w:rsidRPr="00000000">
        <w:rPr>
          <w:i w:val="1"/>
          <w:iCs w:val="1"/>
          <w:rtl w:val="0"/>
        </w:rPr>
        <w:t xml:space="preserve">Age-Specific Participation Rate</w:t>
      </w:r>
      <w:r w:rsidDel="00000000" w:rsidR="00000000" w:rsidRPr="00000000">
        <w:rPr>
          <w:rtl w:val="0"/>
        </w:rPr>
        <w:t xml:space="preserve"> (ASPR). This is just like the participation rate, but defined for </w:t>
      </w:r>
      <w:r w:rsidDel="00000000" w:rsidR="00000000" w:rsidRPr="00000000">
        <w:rPr>
          <w:i w:val="1"/>
          <w:iCs w:val="1"/>
          <w:rtl w:val="0"/>
        </w:rPr>
        <w:t xml:space="preserve">subpopulations</w:t>
      </w:r>
      <w:r w:rsidDel="00000000" w:rsidR="00000000" w:rsidRPr="00000000">
        <w:rPr>
          <w:rtl w:val="0"/>
        </w:rPr>
        <w:t xml:space="preserve"> within a larger population defined by a given value of the variable </w:t>
      </w:r>
      <w:r w:rsidDel="00000000" w:rsidR="00000000" w:rsidRPr="00000000">
        <w:rPr>
          <w:i w:val="1"/>
          <w:iCs w:val="1"/>
          <w:rtl w:val="0"/>
        </w:rPr>
        <w:t xml:space="preserve">age </w:t>
      </w:r>
      <w:r w:rsidDel="00000000" w:rsidR="00000000" w:rsidRPr="00000000">
        <w:rPr>
          <w:rtl w:val="0"/>
        </w:rPr>
        <w:t xml:space="preserve">(A); For instance, A = {18, 19, 20,...90}. It is thus given by:</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drawing>
          <wp:inline distB="19050" distT="19050" distL="19050" distR="19050">
            <wp:extent cx="3810000" cy="457200"/>
            <wp:effectExtent b="0" l="0" r="0" t="0"/>
            <wp:docPr descr="TSPR_{(c)} = \frac{1}{\mbox{\scriptsize Size of Population of Age = a}} \sum_{\mbox{\scriptsize i in Population}} Y_{ic}(a)" id="2" name="image1.gif"/>
            <a:graphic>
              <a:graphicData uri="http://schemas.openxmlformats.org/drawingml/2006/picture">
                <pic:pic>
                  <pic:nvPicPr>
                    <pic:cNvPr descr="TSPR_{(c)} = \frac{1}{\mbox{\scriptsize Size of Population of Age = a}} \sum_{\mbox{\scriptsize i in Population}} Y_{ic}(a)" id="0" name="image1.gif"/>
                    <pic:cNvPicPr preferRelativeResize="0"/>
                  </pic:nvPicPr>
                  <pic:blipFill>
                    <a:blip r:embed="rId11"/>
                    <a:srcRect b="0" l="0" r="0" t="0"/>
                    <a:stretch>
                      <a:fillRect/>
                    </a:stretch>
                  </pic:blipFill>
                  <pic:spPr>
                    <a:xfrm>
                      <a:off x="0" y="0"/>
                      <a:ext cx="3810000" cy="457200"/>
                    </a:xfrm>
                    <a:prstGeom prst="rect"/>
                    <a:ln/>
                  </pic:spPr>
                </pic:pic>
              </a:graphicData>
            </a:graphic>
          </wp:inline>
        </w:drawing>
      </w:r>
      <w:r w:rsidDel="00000000" w:rsidR="00000000" w:rsidRPr="00000000">
        <w:rPr>
          <w:rtl w:val="0"/>
        </w:rPr>
        <w:tab/>
        <w:tab/>
        <w:tab/>
        <w:t xml:space="preserve">(3)</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Where Y</w:t>
      </w:r>
      <w:r w:rsidDel="00000000" w:rsidR="00000000" w:rsidRPr="00000000">
        <w:rPr>
          <w:vertAlign w:val="subscript"/>
          <w:rtl w:val="0"/>
        </w:rPr>
        <w:t xml:space="preserve">ic</w:t>
      </w:r>
      <w:r w:rsidDel="00000000" w:rsidR="00000000" w:rsidRPr="00000000">
        <w:rPr>
          <w:rtl w:val="0"/>
        </w:rPr>
        <w:t xml:space="preserve">(a) = 1 if individual </w:t>
      </w:r>
      <w:r w:rsidDel="00000000" w:rsidR="00000000" w:rsidRPr="00000000">
        <w:rPr>
          <w:i w:val="1"/>
          <w:iCs w:val="1"/>
          <w:rtl w:val="0"/>
        </w:rPr>
        <w:t xml:space="preserve">i</w:t>
      </w:r>
      <w:r w:rsidDel="00000000" w:rsidR="00000000" w:rsidRPr="00000000">
        <w:rPr>
          <w:rtl w:val="0"/>
        </w:rPr>
        <w:t xml:space="preserve"> is of age </w:t>
      </w:r>
      <w:r w:rsidDel="00000000" w:rsidR="00000000" w:rsidRPr="00000000">
        <w:rPr>
          <w:i w:val="1"/>
          <w:iCs w:val="1"/>
          <w:rtl w:val="0"/>
        </w:rPr>
        <w:t xml:space="preserve">a </w:t>
      </w:r>
      <w:r w:rsidDel="00000000" w:rsidR="00000000" w:rsidRPr="00000000">
        <w:rPr>
          <w:rtl w:val="0"/>
        </w:rPr>
        <w:t xml:space="preserve">and participates in cultural activity </w:t>
      </w:r>
      <w:r w:rsidDel="00000000" w:rsidR="00000000" w:rsidRPr="00000000">
        <w:rPr>
          <w:i w:val="1"/>
          <w:iCs w:val="1"/>
          <w:rtl w:val="0"/>
        </w:rPr>
        <w:t xml:space="preserve">c</w:t>
      </w:r>
      <w:r w:rsidDel="00000000" w:rsidR="00000000" w:rsidRPr="00000000">
        <w:rPr>
          <w:rtl w:val="0"/>
        </w:rPr>
        <w:t xml:space="preserve">, and zero otherwise. For instance, Fishman and Lizardo (2013) estimate Age-Specific Participation Rates in Portugal and Spain using survey data from the 2001 Eurobarometer. They find substantial differences in the ASPRs for young people between countries (and null differences among older people), with Portuguese youth who in 2001 would have been born around the time of democratic transition in Portugal being more likely to engage a wider variety of musical genres than their Spanish counterparts. Fishman and Lizardo use this as (indirect) evidence to support the idea of a possible generational effect of the more radical and revolutionary transition (as mediated via a number of institutional pathways) in Portugal on the cultural activity of youth in comparison to Spain’s less disruptive transition.</w:t>
      </w:r>
    </w:p>
    <w:p w:rsidR="00000000" w:rsidDel="00000000" w:rsidP="00000000" w:rsidRDefault="00000000" w:rsidRPr="00000000" w14:paraId="00000013">
      <w:pPr>
        <w:pStyle w:val="Heading2"/>
        <w:pageBreakBefore w:val="0"/>
        <w:rPr/>
      </w:pPr>
      <w:bookmarkStart w:colFirst="0" w:colLast="0" w:name="_tfse7b2nlpzk" w:id="4"/>
      <w:bookmarkEnd w:id="4"/>
      <w:r w:rsidDel="00000000" w:rsidR="00000000" w:rsidRPr="00000000">
        <w:rPr>
          <w:rtl w:val="0"/>
        </w:rPr>
        <w:t xml:space="preserve">Age and Time-Specific Participation Rates</w:t>
      </w:r>
    </w:p>
    <w:p w:rsidR="00000000" w:rsidDel="00000000" w:rsidP="00000000" w:rsidRDefault="00000000" w:rsidRPr="00000000" w14:paraId="00000014">
      <w:pPr>
        <w:pageBreakBefore w:val="0"/>
        <w:rPr/>
      </w:pPr>
      <w:r w:rsidDel="00000000" w:rsidR="00000000" w:rsidRPr="00000000">
        <w:rPr>
          <w:rtl w:val="0"/>
        </w:rPr>
        <w:t xml:space="preserve">As already intimated, the holy-grail for analysts interested in generational effects on cultural participation is the identification of so-called “cohort-effects.” As Luo and Hodges </w:t>
      </w:r>
      <w:hyperlink r:id="rId12">
        <w:r w:rsidDel="00000000" w:rsidR="00000000" w:rsidRPr="00000000">
          <w:rPr>
            <w:b w:val="0"/>
            <w:bCs w:val="0"/>
            <w:color w:val="000000"/>
            <w:u w:val="none"/>
            <w:rtl w:val="0"/>
          </w:rPr>
          <w:t xml:space="preserve">(2020)</w:t>
        </w:r>
      </w:hyperlink>
      <w:r w:rsidDel="00000000" w:rsidR="00000000" w:rsidRPr="00000000">
        <w:rPr>
          <w:rtl w:val="0"/>
        </w:rPr>
        <w:t xml:space="preserve"> </w:t>
      </w:r>
      <w:r w:rsidDel="00000000" w:rsidR="00000000" w:rsidRPr="00000000">
        <w:rPr>
          <w:rtl w:val="0"/>
        </w:rPr>
        <w:t xml:space="preserve">have recently noted, the literature on the </w:t>
      </w:r>
      <w:r w:rsidDel="00000000" w:rsidR="00000000" w:rsidRPr="00000000">
        <w:rPr>
          <w:i w:val="1"/>
          <w:iCs w:val="1"/>
          <w:rtl w:val="0"/>
        </w:rPr>
        <w:t xml:space="preserve">statistical</w:t>
      </w:r>
      <w:r w:rsidDel="00000000" w:rsidR="00000000" w:rsidRPr="00000000">
        <w:rPr>
          <w:rtl w:val="0"/>
        </w:rPr>
        <w:t xml:space="preserve"> identification of cohort effects is large, technical and involved. While many methodological solutions have been proposed, none seem satisfactory. The only thing that everyone seems to agree on is that the age-period-cohort identification “problem” is not solvable purely via statistical means without making a number of arbitrary and ultimately untestable assumptions. </w:t>
      </w:r>
    </w:p>
    <w:p w:rsidR="00000000" w:rsidDel="00000000" w:rsidP="00000000" w:rsidRDefault="00000000" w:rsidRPr="00000000" w14:paraId="00000015">
      <w:pPr>
        <w:pageBreakBefore w:val="0"/>
        <w:rPr/>
      </w:pPr>
      <w:r w:rsidDel="00000000" w:rsidR="00000000" w:rsidRPr="00000000">
        <w:rPr>
          <w:rtl w:val="0"/>
        </w:rPr>
        <w:t xml:space="preserve">More importantly however, is that the progression of this literature has become more focused on technical and statistical fixes, but seems to have lost sight of the </w:t>
      </w:r>
      <w:r w:rsidDel="00000000" w:rsidR="00000000" w:rsidRPr="00000000">
        <w:rPr>
          <w:i w:val="1"/>
          <w:iCs w:val="1"/>
          <w:rtl w:val="0"/>
        </w:rPr>
        <w:t xml:space="preserve">theoretical</w:t>
      </w:r>
      <w:r w:rsidDel="00000000" w:rsidR="00000000" w:rsidRPr="00000000">
        <w:rPr>
          <w:rtl w:val="0"/>
        </w:rPr>
        <w:t xml:space="preserve"> reasons for why we might be interested in cohort effects, and even </w:t>
      </w:r>
      <w:r w:rsidDel="00000000" w:rsidR="00000000" w:rsidRPr="00000000">
        <w:rPr>
          <w:i w:val="1"/>
          <w:iCs w:val="1"/>
          <w:rtl w:val="0"/>
        </w:rPr>
        <w:t xml:space="preserve">what</w:t>
      </w:r>
      <w:r w:rsidDel="00000000" w:rsidR="00000000" w:rsidRPr="00000000">
        <w:rPr>
          <w:rtl w:val="0"/>
        </w:rPr>
        <w:t xml:space="preserve"> cohorts and cohorts effects are supposed to be conceptually </w:t>
      </w:r>
      <w:hyperlink r:id="rId13">
        <w:r w:rsidDel="00000000" w:rsidR="00000000" w:rsidRPr="00000000">
          <w:rPr>
            <w:b w:val="0"/>
            <w:bCs w:val="0"/>
            <w:color w:val="000000"/>
            <w:u w:val="none"/>
            <w:rtl w:val="0"/>
          </w:rPr>
          <w:t xml:space="preserve">(Ryder, 1965)</w:t>
        </w:r>
      </w:hyperlink>
      <w:r w:rsidDel="00000000" w:rsidR="00000000" w:rsidRPr="00000000">
        <w:rPr>
          <w:rtl w:val="0"/>
        </w:rPr>
        <w:t xml:space="preserve">. In Lundberg et al.’s (2020) terms, what is required is a clear statement of the </w:t>
      </w:r>
      <w:r w:rsidDel="00000000" w:rsidR="00000000" w:rsidRPr="00000000">
        <w:rPr>
          <w:i w:val="1"/>
          <w:iCs w:val="1"/>
          <w:rtl w:val="0"/>
        </w:rPr>
        <w:t xml:space="preserve">theoretical estimands</w:t>
      </w:r>
      <w:r w:rsidDel="00000000" w:rsidR="00000000" w:rsidRPr="00000000">
        <w:rPr>
          <w:rtl w:val="0"/>
        </w:rPr>
        <w:t xml:space="preserve"> we might be after when searching for cohort effects. Building on Luo and Hodges’s framework, in the context of generational effects on arts participation, the most important of these, is what we will here call the </w:t>
      </w:r>
      <w:r w:rsidDel="00000000" w:rsidR="00000000" w:rsidRPr="00000000">
        <w:rPr>
          <w:i w:val="1"/>
          <w:iCs w:val="1"/>
          <w:rtl w:val="0"/>
        </w:rPr>
        <w:t xml:space="preserve">Time-and-Age-Specific Participation Rate </w:t>
      </w:r>
      <w:r w:rsidDel="00000000" w:rsidR="00000000" w:rsidRPr="00000000">
        <w:rPr>
          <w:rtl w:val="0"/>
        </w:rPr>
        <w:t xml:space="preserve">(TASPR). This is given by the following:</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drawing>
          <wp:inline distB="19050" distT="19050" distL="19050" distR="19050">
            <wp:extent cx="4800600" cy="457200"/>
            <wp:effectExtent b="0" l="0" r="0" t="0"/>
            <wp:docPr descr="TASPR_{(c)} = \frac{1}{\mbox{\scriptsize Size of Population of Age = a, at Time = t}} \sum_{\mbox{\scriptsize i in Population}} Y_{ic}(a, t)" id="4" name="image3.gif"/>
            <a:graphic>
              <a:graphicData uri="http://schemas.openxmlformats.org/drawingml/2006/picture">
                <pic:pic>
                  <pic:nvPicPr>
                    <pic:cNvPr descr="TASPR_{(c)} = \frac{1}{\mbox{\scriptsize Size of Population of Age = a, at Time = t}} \sum_{\mbox{\scriptsize i in Population}} Y_{ic}(a, t)" id="0" name="image3.gif"/>
                    <pic:cNvPicPr preferRelativeResize="0"/>
                  </pic:nvPicPr>
                  <pic:blipFill>
                    <a:blip r:embed="rId14"/>
                    <a:srcRect b="0" l="0" r="0" t="0"/>
                    <a:stretch>
                      <a:fillRect/>
                    </a:stretch>
                  </pic:blipFill>
                  <pic:spPr>
                    <a:xfrm>
                      <a:off x="0" y="0"/>
                      <a:ext cx="4800600" cy="457200"/>
                    </a:xfrm>
                    <a:prstGeom prst="rect"/>
                    <a:ln/>
                  </pic:spPr>
                </pic:pic>
              </a:graphicData>
            </a:graphic>
          </wp:inline>
        </w:drawing>
      </w:r>
      <w:r w:rsidDel="00000000" w:rsidR="00000000" w:rsidRPr="00000000">
        <w:rPr>
          <w:rtl w:val="0"/>
        </w:rPr>
        <w:tab/>
        <w:t xml:space="preserve">(4)</w:t>
      </w: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As Luo and Hodges (2020) have recently argued, the theory of cohort effects first outlined by Rider (1965), when applied to arts consumption, implies the existence of specific patterns in the Time-and-Age-Specific Participation Rate. More accurately, there are TASPR patterns that mitigate against the existence of cohort-effects. For instance, suppose we estimate age-specific participation rates on representative samples taken from the same national population at different times (one possible way of linking the theoretical estimand shown in (4) to an empirical estimand) and observe no difference in the age-specific participation rates of the different age-groups across time. This would be negative evidence against the existence of cohort or generational effects within this population. In the same way, suppose we do the same thing and do observe differences in the age-specific participation rates across time, but this differences are unstructured or “trendlessly” fluctuate (e.g., in some years individuals of Age = a participate more in cultural activity </w:t>
      </w:r>
      <w:r w:rsidDel="00000000" w:rsidR="00000000" w:rsidRPr="00000000">
        <w:rPr>
          <w:i w:val="1"/>
          <w:iCs w:val="1"/>
          <w:rtl w:val="0"/>
        </w:rPr>
        <w:t xml:space="preserve">c</w:t>
      </w:r>
      <w:r w:rsidDel="00000000" w:rsidR="00000000" w:rsidRPr="00000000">
        <w:rPr>
          <w:rtl w:val="0"/>
        </w:rPr>
        <w:t xml:space="preserve"> in other years less with no discernible pattern). This would also count against the existence of generational and cohort effects since one key aspect of the theory is that a cohort is defined by generational experiences that affect people who were at that age in that year </w:t>
      </w:r>
      <w:r w:rsidDel="00000000" w:rsidR="00000000" w:rsidRPr="00000000">
        <w:rPr>
          <w:i w:val="1"/>
          <w:iCs w:val="1"/>
          <w:rtl w:val="0"/>
        </w:rPr>
        <w:t xml:space="preserve">only</w:t>
      </w:r>
      <w:r w:rsidDel="00000000" w:rsidR="00000000" w:rsidRPr="00000000">
        <w:rPr>
          <w:rtl w:val="0"/>
        </w:rPr>
        <w:t xml:space="preserve">, with this effect then carrying over for this age-time group as they get older (Ryder 1965). Trendless fluctuations in arts participation for a given age-group across time slices are inconsistent with this “temporal imprinting” pattern. </w:t>
      </w:r>
    </w:p>
    <w:p w:rsidR="00000000" w:rsidDel="00000000" w:rsidP="00000000" w:rsidRDefault="00000000" w:rsidRPr="00000000" w14:paraId="00000019">
      <w:pPr>
        <w:pStyle w:val="Heading1"/>
        <w:pageBreakBefore w:val="0"/>
        <w:pBdr>
          <w:top w:space="0" w:sz="0" w:val="nil"/>
          <w:left w:space="0" w:sz="0" w:val="nil"/>
          <w:bottom w:space="0" w:sz="0" w:val="nil"/>
          <w:right w:space="0" w:sz="0" w:val="nil"/>
          <w:between w:space="0" w:sz="0" w:val="nil"/>
        </w:pBdr>
        <w:spacing w:before="240" w:line="480" w:lineRule="auto"/>
        <w:ind w:left="480" w:hanging="480"/>
        <w:jc w:val="left"/>
        <w:rPr/>
      </w:pPr>
      <w:bookmarkStart w:colFirst="0" w:colLast="0" w:name="_auo4vz8aheaq" w:id="5"/>
      <w:bookmarkEnd w:id="5"/>
      <w:r w:rsidDel="00000000" w:rsidR="00000000" w:rsidRPr="00000000">
        <w:rPr>
          <w:rtl w:val="0"/>
        </w:rPr>
        <w:t xml:space="preserve">References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480" w:lineRule="auto"/>
        <w:ind w:left="440" w:right="0" w:hanging="440"/>
        <w:jc w:val="left"/>
        <w:rPr>
          <w:b w:val="0"/>
          <w:bCs w:val="0"/>
          <w:i w:val="0"/>
          <w:iCs w:val="0"/>
          <w:color w:val="000000"/>
          <w:sz w:val="22"/>
          <w:szCs w:val="22"/>
        </w:rPr>
      </w:pPr>
      <w:hyperlink r:id="rId15">
        <w:r w:rsidDel="00000000" w:rsidR="00000000" w:rsidRPr="00000000">
          <w:rPr>
            <w:b w:val="0"/>
            <w:bCs w:val="0"/>
            <w:i w:val="0"/>
            <w:iCs w:val="0"/>
            <w:color w:val="000000"/>
            <w:sz w:val="22"/>
            <w:szCs w:val="22"/>
            <w:u w:val="none"/>
            <w:rtl w:val="0"/>
          </w:rPr>
          <w:t xml:space="preserve">DiMaggio, P., &amp; Mukhtar, T. (2004). Arts participation as cultural capital in the United States, 1982–2002: Signs of decline? </w:t>
        </w:r>
      </w:hyperlink>
      <w:hyperlink r:id="rId16">
        <w:r w:rsidDel="00000000" w:rsidR="00000000" w:rsidRPr="00000000">
          <w:rPr>
            <w:b w:val="0"/>
            <w:bCs w:val="0"/>
            <w:i w:val="1"/>
            <w:iCs w:val="1"/>
            <w:color w:val="000000"/>
            <w:sz w:val="22"/>
            <w:szCs w:val="22"/>
            <w:u w:val="none"/>
            <w:rtl w:val="0"/>
          </w:rPr>
          <w:t xml:space="preserve">Poetics </w:t>
        </w:r>
      </w:hyperlink>
      <w:hyperlink r:id="rId17">
        <w:r w:rsidDel="00000000" w:rsidR="00000000" w:rsidRPr="00000000">
          <w:rPr>
            <w:b w:val="0"/>
            <w:bCs w:val="0"/>
            <w:i w:val="0"/>
            <w:iCs w:val="0"/>
            <w:color w:val="000000"/>
            <w:sz w:val="22"/>
            <w:szCs w:val="22"/>
            <w:u w:val="none"/>
            <w:rtl w:val="0"/>
          </w:rPr>
          <w:t xml:space="preserve">, </w:t>
        </w:r>
      </w:hyperlink>
      <w:hyperlink r:id="rId18">
        <w:r w:rsidDel="00000000" w:rsidR="00000000" w:rsidRPr="00000000">
          <w:rPr>
            <w:b w:val="0"/>
            <w:bCs w:val="0"/>
            <w:i w:val="1"/>
            <w:iCs w:val="1"/>
            <w:color w:val="000000"/>
            <w:sz w:val="22"/>
            <w:szCs w:val="22"/>
            <w:u w:val="none"/>
            <w:rtl w:val="0"/>
          </w:rPr>
          <w:t xml:space="preserve">32</w:t>
        </w:r>
      </w:hyperlink>
      <w:hyperlink r:id="rId19">
        <w:r w:rsidDel="00000000" w:rsidR="00000000" w:rsidRPr="00000000">
          <w:rPr>
            <w:b w:val="0"/>
            <w:bCs w:val="0"/>
            <w:i w:val="0"/>
            <w:iCs w:val="0"/>
            <w:color w:val="000000"/>
            <w:sz w:val="22"/>
            <w:szCs w:val="22"/>
            <w:u w:val="none"/>
            <w:rtl w:val="0"/>
          </w:rPr>
          <w:t xml:space="preserve">(2), 169–194.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20">
        <w:r w:rsidDel="00000000" w:rsidR="00000000" w:rsidRPr="00000000">
          <w:rPr>
            <w:b w:val="0"/>
            <w:bCs w:val="0"/>
            <w:i w:val="0"/>
            <w:iCs w:val="0"/>
            <w:color w:val="000000"/>
            <w:sz w:val="22"/>
            <w:szCs w:val="22"/>
            <w:u w:val="none"/>
            <w:rtl w:val="0"/>
          </w:rPr>
          <w:t xml:space="preserve">Fishman, R. M., &amp; Lizardo, O. (2013). How macro-historical change shapes cultural taste: legacies of democratization in Spain and Portugal. </w:t>
        </w:r>
      </w:hyperlink>
      <w:hyperlink r:id="rId21">
        <w:r w:rsidDel="00000000" w:rsidR="00000000" w:rsidRPr="00000000">
          <w:rPr>
            <w:b w:val="0"/>
            <w:bCs w:val="0"/>
            <w:i w:val="1"/>
            <w:iCs w:val="1"/>
            <w:color w:val="000000"/>
            <w:sz w:val="22"/>
            <w:szCs w:val="22"/>
            <w:u w:val="none"/>
            <w:rtl w:val="0"/>
          </w:rPr>
          <w:t xml:space="preserve">American Sociological Review</w:t>
        </w:r>
      </w:hyperlink>
      <w:hyperlink r:id="rId22">
        <w:r w:rsidDel="00000000" w:rsidR="00000000" w:rsidRPr="00000000">
          <w:rPr>
            <w:b w:val="0"/>
            <w:bCs w:val="0"/>
            <w:i w:val="0"/>
            <w:iCs w:val="0"/>
            <w:color w:val="000000"/>
            <w:sz w:val="22"/>
            <w:szCs w:val="22"/>
            <w:u w:val="none"/>
            <w:rtl w:val="0"/>
          </w:rPr>
          <w:t xml:space="preserve">. </w:t>
        </w:r>
      </w:hyperlink>
      <w:hyperlink r:id="rId23">
        <w:r w:rsidDel="00000000" w:rsidR="00000000" w:rsidRPr="00000000">
          <w:rPr>
            <w:b w:val="0"/>
            <w:bCs w:val="0"/>
            <w:i w:val="0"/>
            <w:iCs w:val="0"/>
            <w:color w:val="000000"/>
            <w:sz w:val="22"/>
            <w:szCs w:val="22"/>
            <w:u w:val="none"/>
            <w:rtl w:val="0"/>
          </w:rPr>
          <w:t xml:space="preserve">http://journals.sagepub.com/doi/abs/10.1177/0003122413478816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24">
        <w:r w:rsidDel="00000000" w:rsidR="00000000" w:rsidRPr="00000000">
          <w:rPr>
            <w:b w:val="0"/>
            <w:bCs w:val="0"/>
            <w:i w:val="0"/>
            <w:iCs w:val="0"/>
            <w:color w:val="000000"/>
            <w:sz w:val="22"/>
            <w:szCs w:val="22"/>
            <w:u w:val="none"/>
            <w:rtl w:val="0"/>
          </w:rPr>
          <w:t xml:space="preserve">Lundberg, I., Johnson, R., &amp; Stewart, B. M. (2020). </w:t>
        </w:r>
      </w:hyperlink>
      <w:hyperlink r:id="rId25">
        <w:r w:rsidDel="00000000" w:rsidR="00000000" w:rsidRPr="00000000">
          <w:rPr>
            <w:b w:val="0"/>
            <w:bCs w:val="0"/>
            <w:i w:val="1"/>
            <w:iCs w:val="1"/>
            <w:color w:val="000000"/>
            <w:sz w:val="22"/>
            <w:szCs w:val="22"/>
            <w:u w:val="none"/>
            <w:rtl w:val="0"/>
          </w:rPr>
          <w:t xml:space="preserve">What is Your Estimand? Defining the Target Quantity Connects Statistical Evidence to Theory</w:t>
        </w:r>
      </w:hyperlink>
      <w:hyperlink r:id="rId26">
        <w:r w:rsidDel="00000000" w:rsidR="00000000" w:rsidRPr="00000000">
          <w:rPr>
            <w:b w:val="0"/>
            <w:bCs w:val="0"/>
            <w:i w:val="0"/>
            <w:iCs w:val="0"/>
            <w:color w:val="000000"/>
            <w:sz w:val="22"/>
            <w:szCs w:val="22"/>
            <w:u w:val="none"/>
            <w:rtl w:val="0"/>
          </w:rPr>
          <w:t xml:space="preserve">. </w:t>
        </w:r>
      </w:hyperlink>
      <w:hyperlink r:id="rId27">
        <w:r w:rsidDel="00000000" w:rsidR="00000000" w:rsidRPr="00000000">
          <w:rPr>
            <w:b w:val="0"/>
            <w:bCs w:val="0"/>
            <w:i w:val="0"/>
            <w:iCs w:val="0"/>
            <w:color w:val="000000"/>
            <w:sz w:val="22"/>
            <w:szCs w:val="22"/>
            <w:u w:val="none"/>
            <w:rtl w:val="0"/>
          </w:rPr>
          <w:t xml:space="preserve">https://files.osf.io/v1/resources/ba67n/providers/osfstorage/5e14c7d0573419023a8059c7?action=download&amp;direct&amp;version=4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28">
        <w:r w:rsidDel="00000000" w:rsidR="00000000" w:rsidRPr="00000000">
          <w:rPr>
            <w:b w:val="0"/>
            <w:bCs w:val="0"/>
            <w:i w:val="0"/>
            <w:iCs w:val="0"/>
            <w:color w:val="000000"/>
            <w:sz w:val="22"/>
            <w:szCs w:val="22"/>
            <w:u w:val="none"/>
            <w:rtl w:val="0"/>
          </w:rPr>
          <w:t xml:space="preserve">Luo, L., &amp; Hodges, J. S. (2020). The Age-Period-Cohort-Interaction Model for Describing and Investigating Inter-cohort Deviations and Intra-cohort Life-course Dynamics. </w:t>
        </w:r>
      </w:hyperlink>
      <w:hyperlink r:id="rId29">
        <w:r w:rsidDel="00000000" w:rsidR="00000000" w:rsidRPr="00000000">
          <w:rPr>
            <w:b w:val="0"/>
            <w:bCs w:val="0"/>
            <w:i w:val="1"/>
            <w:iCs w:val="1"/>
            <w:color w:val="000000"/>
            <w:sz w:val="22"/>
            <w:szCs w:val="22"/>
            <w:u w:val="none"/>
            <w:rtl w:val="0"/>
          </w:rPr>
          <w:t xml:space="preserve">Sociological Methods &amp; Research</w:t>
        </w:r>
      </w:hyperlink>
      <w:hyperlink r:id="rId30">
        <w:r w:rsidDel="00000000" w:rsidR="00000000" w:rsidRPr="00000000">
          <w:rPr>
            <w:b w:val="0"/>
            <w:bCs w:val="0"/>
            <w:i w:val="0"/>
            <w:iCs w:val="0"/>
            <w:color w:val="000000"/>
            <w:sz w:val="22"/>
            <w:szCs w:val="22"/>
            <w:u w:val="none"/>
            <w:rtl w:val="0"/>
          </w:rPr>
          <w:t xml:space="preserve">, 0049124119882451.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31">
        <w:r w:rsidDel="00000000" w:rsidR="00000000" w:rsidRPr="00000000">
          <w:rPr>
            <w:b w:val="0"/>
            <w:bCs w:val="0"/>
            <w:i w:val="0"/>
            <w:iCs w:val="0"/>
            <w:color w:val="000000"/>
            <w:sz w:val="22"/>
            <w:szCs w:val="22"/>
            <w:u w:val="none"/>
            <w:rtl w:val="0"/>
          </w:rPr>
          <w:t xml:space="preserve">Obukhova, E., Zuckerman, E. W., &amp; Zhang, J. (2014). When Politics Froze Fashion: The Effect of the Cultural Revolution on Naming in Beijing. </w:t>
        </w:r>
      </w:hyperlink>
      <w:hyperlink r:id="rId32">
        <w:r w:rsidDel="00000000" w:rsidR="00000000" w:rsidRPr="00000000">
          <w:rPr>
            <w:b w:val="0"/>
            <w:bCs w:val="0"/>
            <w:i w:val="1"/>
            <w:iCs w:val="1"/>
            <w:color w:val="000000"/>
            <w:sz w:val="22"/>
            <w:szCs w:val="22"/>
            <w:u w:val="none"/>
            <w:rtl w:val="0"/>
          </w:rPr>
          <w:t xml:space="preserve">The American Journal of Sociology</w:t>
        </w:r>
      </w:hyperlink>
      <w:hyperlink r:id="rId33">
        <w:r w:rsidDel="00000000" w:rsidR="00000000" w:rsidRPr="00000000">
          <w:rPr>
            <w:b w:val="0"/>
            <w:bCs w:val="0"/>
            <w:i w:val="0"/>
            <w:iCs w:val="0"/>
            <w:color w:val="000000"/>
            <w:sz w:val="22"/>
            <w:szCs w:val="22"/>
            <w:u w:val="none"/>
            <w:rtl w:val="0"/>
          </w:rPr>
          <w:t xml:space="preserve">, </w:t>
        </w:r>
      </w:hyperlink>
      <w:hyperlink r:id="rId34">
        <w:r w:rsidDel="00000000" w:rsidR="00000000" w:rsidRPr="00000000">
          <w:rPr>
            <w:b w:val="0"/>
            <w:bCs w:val="0"/>
            <w:i w:val="1"/>
            <w:iCs w:val="1"/>
            <w:color w:val="000000"/>
            <w:sz w:val="22"/>
            <w:szCs w:val="22"/>
            <w:u w:val="none"/>
            <w:rtl w:val="0"/>
          </w:rPr>
          <w:t xml:space="preserve">120</w:t>
        </w:r>
      </w:hyperlink>
      <w:hyperlink r:id="rId35">
        <w:r w:rsidDel="00000000" w:rsidR="00000000" w:rsidRPr="00000000">
          <w:rPr>
            <w:b w:val="0"/>
            <w:bCs w:val="0"/>
            <w:i w:val="0"/>
            <w:iCs w:val="0"/>
            <w:color w:val="000000"/>
            <w:sz w:val="22"/>
            <w:szCs w:val="22"/>
            <w:u w:val="none"/>
            <w:rtl w:val="0"/>
          </w:rPr>
          <w:t xml:space="preserve">(2), 555–583.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hyperlink r:id="rId36">
        <w:r w:rsidDel="00000000" w:rsidR="00000000" w:rsidRPr="00000000">
          <w:rPr>
            <w:b w:val="0"/>
            <w:bCs w:val="0"/>
            <w:i w:val="0"/>
            <w:iCs w:val="0"/>
            <w:color w:val="000000"/>
            <w:sz w:val="22"/>
            <w:szCs w:val="22"/>
            <w:u w:val="none"/>
            <w:rtl w:val="0"/>
          </w:rPr>
          <w:t xml:space="preserve">Reeves, A. (2016). Age-period-cohort and cultural engagement. </w:t>
        </w:r>
      </w:hyperlink>
      <w:hyperlink r:id="rId37">
        <w:r w:rsidDel="00000000" w:rsidR="00000000" w:rsidRPr="00000000">
          <w:rPr>
            <w:b w:val="0"/>
            <w:bCs w:val="0"/>
            <w:i w:val="1"/>
            <w:iCs w:val="1"/>
            <w:color w:val="000000"/>
            <w:sz w:val="22"/>
            <w:szCs w:val="22"/>
            <w:u w:val="none"/>
            <w:rtl w:val="0"/>
          </w:rPr>
          <w:t xml:space="preserve">Routledge International Handbook of the Sociology of Art and Culture</w:t>
        </w:r>
      </w:hyperlink>
      <w:hyperlink r:id="rId38">
        <w:r w:rsidDel="00000000" w:rsidR="00000000" w:rsidRPr="00000000">
          <w:rPr>
            <w:b w:val="0"/>
            <w:bCs w:val="0"/>
            <w:i w:val="0"/>
            <w:iCs w:val="0"/>
            <w:color w:val="000000"/>
            <w:sz w:val="22"/>
            <w:szCs w:val="22"/>
            <w:u w:val="none"/>
            <w:rtl w:val="0"/>
          </w:rPr>
          <w:t xml:space="preserve">, 116–131.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480" w:lineRule="auto"/>
        <w:ind w:left="440" w:right="0" w:hanging="440"/>
        <w:jc w:val="left"/>
        <w:rPr>
          <w:b w:val="0"/>
          <w:bCs w:val="0"/>
          <w:i w:val="0"/>
          <w:iCs w:val="0"/>
          <w:color w:val="000000"/>
          <w:sz w:val="22"/>
          <w:szCs w:val="22"/>
        </w:rPr>
      </w:pPr>
      <w:hyperlink r:id="rId39">
        <w:r w:rsidDel="00000000" w:rsidR="00000000" w:rsidRPr="00000000">
          <w:rPr>
            <w:b w:val="0"/>
            <w:bCs w:val="0"/>
            <w:i w:val="0"/>
            <w:iCs w:val="0"/>
            <w:color w:val="000000"/>
            <w:sz w:val="22"/>
            <w:szCs w:val="22"/>
            <w:u w:val="none"/>
            <w:rtl w:val="0"/>
          </w:rPr>
          <w:t xml:space="preserve">Ryder, N. B. (1965). The cohort as a concept in the study of social change. </w:t>
        </w:r>
      </w:hyperlink>
      <w:hyperlink r:id="rId40">
        <w:r w:rsidDel="00000000" w:rsidR="00000000" w:rsidRPr="00000000">
          <w:rPr>
            <w:b w:val="0"/>
            <w:bCs w:val="0"/>
            <w:i w:val="1"/>
            <w:iCs w:val="1"/>
            <w:color w:val="000000"/>
            <w:sz w:val="22"/>
            <w:szCs w:val="22"/>
            <w:u w:val="none"/>
            <w:rtl w:val="0"/>
          </w:rPr>
          <w:t xml:space="preserve">American Sociological Review</w:t>
        </w:r>
      </w:hyperlink>
      <w:hyperlink r:id="rId41">
        <w:r w:rsidDel="00000000" w:rsidR="00000000" w:rsidRPr="00000000">
          <w:rPr>
            <w:b w:val="0"/>
            <w:bCs w:val="0"/>
            <w:i w:val="0"/>
            <w:iCs w:val="0"/>
            <w:color w:val="000000"/>
            <w:sz w:val="22"/>
            <w:szCs w:val="22"/>
            <w:u w:val="none"/>
            <w:rtl w:val="0"/>
          </w:rPr>
          <w:t xml:space="preserve">, 843–861.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42" w:type="default"/>
      <w:pgSz w:h="15840" w:w="12240" w:orient="portrait"/>
      <w:pgMar w:bottom="180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2">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quantity is unit-specific if it depends on aggregating (summing, averaging) the value of a given variable over individuals.</w:t>
      </w:r>
    </w:p>
  </w:footnote>
  <w:footnote w:id="1">
    <w:p w:rsidR="00000000" w:rsidDel="00000000" w:rsidP="00000000" w:rsidRDefault="00000000" w:rsidRPr="00000000" w14:paraId="00000024">
      <w:pPr>
        <w:pStyle w:val="Heading5"/>
        <w:pageBreakBefore w:val="0"/>
        <w:rPr/>
      </w:pPr>
      <w:bookmarkStart w:colFirst="0" w:colLast="0" w:name="_hq2m25iwwvun" w:id="6"/>
      <w:bookmarkEnd w:id="6"/>
      <w:r w:rsidDel="00000000" w:rsidR="00000000" w:rsidRPr="00000000">
        <w:rPr>
          <w:rStyle w:val="FootnoteReference"/>
          <w:vertAlign w:val="superscript"/>
        </w:rPr>
        <w:footnoteRef/>
      </w:r>
      <w:r w:rsidDel="00000000" w:rsidR="00000000" w:rsidRPr="00000000">
        <w:rPr>
          <w:rtl w:val="0"/>
        </w:rPr>
        <w:t xml:space="preserve"> This argument generalizes to the case of </w:t>
      </w:r>
      <w:r w:rsidDel="00000000" w:rsidR="00000000" w:rsidRPr="00000000">
        <w:rPr>
          <w:i w:val="1"/>
          <w:iCs w:val="1"/>
          <w:rtl w:val="0"/>
        </w:rPr>
        <w:t xml:space="preserve">Y</w:t>
      </w:r>
      <w:r w:rsidDel="00000000" w:rsidR="00000000" w:rsidRPr="00000000">
        <w:rPr>
          <w:vertAlign w:val="subscript"/>
          <w:rtl w:val="0"/>
        </w:rPr>
        <w:t xml:space="preserve">i</w:t>
      </w:r>
      <w:r w:rsidDel="00000000" w:rsidR="00000000" w:rsidRPr="00000000">
        <w:rPr>
          <w:i w:val="1"/>
          <w:iCs w:val="1"/>
          <w:vertAlign w:val="subscript"/>
          <w:rtl w:val="0"/>
        </w:rPr>
        <w:t xml:space="preserve">c</w:t>
      </w:r>
      <w:r w:rsidDel="00000000" w:rsidR="00000000" w:rsidRPr="00000000">
        <w:rPr>
          <w:rtl w:val="0"/>
        </w:rPr>
        <w:t xml:space="preserve"> being an ordinal, count, or interval level variable indicating degrees or intensity of participation.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Light" w:cs="Roboto Light" w:eastAsia="Roboto Light" w:hAnsi="Roboto Light"/>
        <w:color w:val="0e101a"/>
        <w:sz w:val="24"/>
        <w:szCs w:val="24"/>
        <w:lang w:val="en"/>
      </w:rPr>
    </w:rPrDefault>
    <w:pPrDefault>
      <w:pPr>
        <w:widowControl w:val="0"/>
        <w:pBdr>
          <w:top w:color="auto" w:space="0" w:sz="0" w:val="none"/>
          <w:left w:color="auto" w:space="0" w:sz="0" w:val="none"/>
          <w:bottom w:color="auto" w:space="0" w:sz="0" w:val="none"/>
          <w:right w:color="auto" w:space="0" w:sz="0" w:val="none"/>
          <w:between w:color="auto" w:space="0" w:sz="0" w:val="none"/>
        </w:pBdr>
        <w:spacing w:line="30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60" w:before="300" w:lineRule="auto"/>
      <w:ind w:firstLine="0"/>
      <w:jc w:val="left"/>
    </w:pPr>
    <w:rPr>
      <w:color w:val="943634"/>
      <w:sz w:val="32"/>
      <w:szCs w:val="32"/>
    </w:rPr>
  </w:style>
  <w:style w:type="paragraph" w:styleId="Heading2">
    <w:name w:val="heading 2"/>
    <w:basedOn w:val="Normal"/>
    <w:next w:val="Normal"/>
    <w:pPr>
      <w:pageBreakBefore w:val="0"/>
      <w:spacing w:before="200" w:lineRule="auto"/>
      <w:ind w:firstLine="0"/>
      <w:jc w:val="left"/>
    </w:pPr>
    <w:rPr>
      <w:color w:val="943634"/>
      <w:sz w:val="28"/>
      <w:szCs w:val="28"/>
    </w:rPr>
  </w:style>
  <w:style w:type="paragraph" w:styleId="Heading3">
    <w:name w:val="heading 3"/>
    <w:basedOn w:val="Normal"/>
    <w:next w:val="Normal"/>
    <w:pPr>
      <w:keepNext w:val="1"/>
      <w:keepLines w:val="1"/>
      <w:pageBreakBefore w:val="0"/>
      <w:spacing w:before="60" w:lineRule="auto"/>
      <w:ind w:firstLine="0"/>
      <w:jc w:val="left"/>
    </w:pPr>
    <w:rPr>
      <w:i w:val="1"/>
      <w:iCs w:val="1"/>
      <w:color w:val="943634"/>
    </w:rPr>
  </w:style>
  <w:style w:type="paragraph" w:styleId="Heading4">
    <w:name w:val="heading 4"/>
    <w:basedOn w:val="Normal"/>
    <w:next w:val="Normal"/>
    <w:pPr>
      <w:pageBreakBefore w:val="0"/>
      <w:spacing w:after="200" w:before="200" w:line="240" w:lineRule="auto"/>
      <w:ind w:firstLine="0"/>
    </w:pPr>
    <w:rPr>
      <w:sz w:val="22"/>
      <w:szCs w:val="22"/>
    </w:rPr>
  </w:style>
  <w:style w:type="paragraph" w:styleId="Heading5">
    <w:name w:val="heading 5"/>
    <w:basedOn w:val="Normal"/>
    <w:next w:val="Normal"/>
    <w:pPr>
      <w:keepNext w:val="1"/>
      <w:keepLines w:val="1"/>
      <w:pageBreakBefore w:val="0"/>
      <w:spacing w:line="240" w:lineRule="auto"/>
    </w:pPr>
    <w:rPr>
      <w:sz w:val="20"/>
      <w:szCs w:val="20"/>
    </w:rPr>
  </w:style>
  <w:style w:type="paragraph" w:styleId="Heading6">
    <w:name w:val="heading 6"/>
    <w:basedOn w:val="Normal"/>
    <w:next w:val="Normal"/>
    <w:pPr>
      <w:keepNext w:val="1"/>
      <w:keepLines w:val="1"/>
      <w:pageBreakBefore w:val="0"/>
      <w:spacing w:after="120" w:before="0" w:line="360" w:lineRule="auto"/>
      <w:ind w:left="0" w:right="0" w:firstLine="0"/>
      <w:jc w:val="center"/>
    </w:pPr>
    <w:rPr>
      <w:rFonts w:ascii="Lato" w:cs="Lato" w:eastAsia="Lato" w:hAnsi="Lato"/>
      <w:b w:val="0"/>
      <w:bCs w:val="0"/>
      <w:i w:val="0"/>
      <w:iCs w:val="0"/>
      <w:smallCaps w:val="0"/>
      <w:strike w:val="0"/>
      <w:color w:val="943634"/>
      <w:sz w:val="22"/>
      <w:szCs w:val="22"/>
      <w:u w:val="none"/>
      <w:shd w:fill="auto" w:val="clear"/>
      <w:vertAlign w:val="baseline"/>
    </w:rPr>
  </w:style>
  <w:style w:type="paragraph" w:styleId="Title">
    <w:name w:val="Title"/>
    <w:basedOn w:val="Normal"/>
    <w:next w:val="Normal"/>
    <w:pPr>
      <w:pageBreakBefore w:val="0"/>
      <w:spacing w:after="300" w:before="500" w:line="240" w:lineRule="auto"/>
      <w:ind w:firstLine="0"/>
      <w:jc w:val="center"/>
    </w:pPr>
    <w:rPr>
      <w:rFonts w:ascii="Roboto Medium" w:cs="Roboto Medium" w:eastAsia="Roboto Medium" w:hAnsi="Roboto Medium"/>
      <w:color w:val="943634"/>
      <w:sz w:val="44"/>
      <w:szCs w:val="44"/>
    </w:rPr>
  </w:style>
  <w:style w:type="paragraph" w:styleId="Subtitle">
    <w:name w:val="Subtitle"/>
    <w:basedOn w:val="Normal"/>
    <w:next w:val="Normal"/>
    <w:pPr>
      <w:pageBreakBefore w:val="0"/>
      <w:ind w:firstLine="0"/>
    </w:pPr>
    <w:rPr>
      <w:b w:val="1"/>
      <w:bCs w:val="1"/>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paperpile.com/b/SQiUq1/FjvY" TargetMode="External"/><Relationship Id="rId20" Type="http://schemas.openxmlformats.org/officeDocument/2006/relationships/hyperlink" Target="http://paperpile.com/b/SQiUq1/USfb" TargetMode="External"/><Relationship Id="rId42" Type="http://schemas.openxmlformats.org/officeDocument/2006/relationships/header" Target="header1.xml"/><Relationship Id="rId41" Type="http://schemas.openxmlformats.org/officeDocument/2006/relationships/hyperlink" Target="http://paperpile.com/b/SQiUq1/FjvY" TargetMode="External"/><Relationship Id="rId22" Type="http://schemas.openxmlformats.org/officeDocument/2006/relationships/hyperlink" Target="http://paperpile.com/b/SQiUq1/USfb" TargetMode="External"/><Relationship Id="rId21" Type="http://schemas.openxmlformats.org/officeDocument/2006/relationships/hyperlink" Target="http://paperpile.com/b/SQiUq1/USfb" TargetMode="External"/><Relationship Id="rId24" Type="http://schemas.openxmlformats.org/officeDocument/2006/relationships/hyperlink" Target="http://paperpile.com/b/SQiUq1/YUYb" TargetMode="External"/><Relationship Id="rId23" Type="http://schemas.openxmlformats.org/officeDocument/2006/relationships/hyperlink" Target="http://journals.sagepub.com/doi/abs/10.1177/000312241347881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gif"/><Relationship Id="rId26" Type="http://schemas.openxmlformats.org/officeDocument/2006/relationships/hyperlink" Target="http://paperpile.com/b/SQiUq1/YUYb" TargetMode="External"/><Relationship Id="rId25" Type="http://schemas.openxmlformats.org/officeDocument/2006/relationships/hyperlink" Target="http://paperpile.com/b/SQiUq1/YUYb" TargetMode="External"/><Relationship Id="rId28" Type="http://schemas.openxmlformats.org/officeDocument/2006/relationships/hyperlink" Target="http://paperpile.com/b/SQiUq1/kZeb" TargetMode="External"/><Relationship Id="rId27" Type="http://schemas.openxmlformats.org/officeDocument/2006/relationships/hyperlink" Target="https://files.osf.io/v1/resources/ba67n/providers/osfstorage/5e14c7d0573419023a8059c7?action=download&amp;direct&amp;version=4"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paperpile.com/b/SQiUq1/kZeb" TargetMode="External"/><Relationship Id="rId7" Type="http://schemas.openxmlformats.org/officeDocument/2006/relationships/hyperlink" Target="https://paperpile.com/c/SQiUq1/YUYb/?noauthor=1" TargetMode="External"/><Relationship Id="rId8" Type="http://schemas.openxmlformats.org/officeDocument/2006/relationships/hyperlink" Target="https://paperpile.com/c/SQiUq1/USfb+hV7z+8AWK+Ahgn" TargetMode="External"/><Relationship Id="rId31" Type="http://schemas.openxmlformats.org/officeDocument/2006/relationships/hyperlink" Target="http://paperpile.com/b/SQiUq1/hV7z" TargetMode="External"/><Relationship Id="rId30" Type="http://schemas.openxmlformats.org/officeDocument/2006/relationships/hyperlink" Target="http://paperpile.com/b/SQiUq1/kZeb" TargetMode="External"/><Relationship Id="rId11" Type="http://schemas.openxmlformats.org/officeDocument/2006/relationships/image" Target="media/image1.gif"/><Relationship Id="rId33" Type="http://schemas.openxmlformats.org/officeDocument/2006/relationships/hyperlink" Target="http://paperpile.com/b/SQiUq1/hV7z" TargetMode="External"/><Relationship Id="rId10" Type="http://schemas.openxmlformats.org/officeDocument/2006/relationships/image" Target="media/image2.gif"/><Relationship Id="rId32" Type="http://schemas.openxmlformats.org/officeDocument/2006/relationships/hyperlink" Target="http://paperpile.com/b/SQiUq1/hV7z" TargetMode="External"/><Relationship Id="rId13" Type="http://schemas.openxmlformats.org/officeDocument/2006/relationships/hyperlink" Target="https://paperpile.com/c/SQiUq1/FjvY" TargetMode="External"/><Relationship Id="rId35" Type="http://schemas.openxmlformats.org/officeDocument/2006/relationships/hyperlink" Target="http://paperpile.com/b/SQiUq1/hV7z" TargetMode="External"/><Relationship Id="rId12" Type="http://schemas.openxmlformats.org/officeDocument/2006/relationships/hyperlink" Target="https://paperpile.com/c/SQiUq1/kZeb/?noauthor=1" TargetMode="External"/><Relationship Id="rId34" Type="http://schemas.openxmlformats.org/officeDocument/2006/relationships/hyperlink" Target="http://paperpile.com/b/SQiUq1/hV7z" TargetMode="External"/><Relationship Id="rId15" Type="http://schemas.openxmlformats.org/officeDocument/2006/relationships/hyperlink" Target="http://paperpile.com/b/SQiUq1/Ahgn" TargetMode="External"/><Relationship Id="rId37" Type="http://schemas.openxmlformats.org/officeDocument/2006/relationships/hyperlink" Target="http://paperpile.com/b/SQiUq1/8AWK" TargetMode="External"/><Relationship Id="rId14" Type="http://schemas.openxmlformats.org/officeDocument/2006/relationships/image" Target="media/image3.gif"/><Relationship Id="rId36" Type="http://schemas.openxmlformats.org/officeDocument/2006/relationships/hyperlink" Target="http://paperpile.com/b/SQiUq1/8AWK" TargetMode="External"/><Relationship Id="rId17" Type="http://schemas.openxmlformats.org/officeDocument/2006/relationships/hyperlink" Target="http://paperpile.com/b/SQiUq1/Ahgn" TargetMode="External"/><Relationship Id="rId39" Type="http://schemas.openxmlformats.org/officeDocument/2006/relationships/hyperlink" Target="http://paperpile.com/b/SQiUq1/FjvY" TargetMode="External"/><Relationship Id="rId16" Type="http://schemas.openxmlformats.org/officeDocument/2006/relationships/hyperlink" Target="http://paperpile.com/b/SQiUq1/Ahgn" TargetMode="External"/><Relationship Id="rId38" Type="http://schemas.openxmlformats.org/officeDocument/2006/relationships/hyperlink" Target="http://paperpile.com/b/SQiUq1/8AWK" TargetMode="External"/><Relationship Id="rId19" Type="http://schemas.openxmlformats.org/officeDocument/2006/relationships/hyperlink" Target="http://paperpile.com/b/SQiUq1/Ahgn" TargetMode="External"/><Relationship Id="rId18" Type="http://schemas.openxmlformats.org/officeDocument/2006/relationships/hyperlink" Target="http://paperpile.com/b/SQiUq1/Ahg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11" Type="http://schemas.openxmlformats.org/officeDocument/2006/relationships/font" Target="fonts/RobotoLight-italic.ttf"/><Relationship Id="rId10" Type="http://schemas.openxmlformats.org/officeDocument/2006/relationships/font" Target="fonts/RobotoLight-bold.ttf"/><Relationship Id="rId12" Type="http://schemas.openxmlformats.org/officeDocument/2006/relationships/font" Target="fonts/RobotoLight-boldItalic.ttf"/><Relationship Id="rId9" Type="http://schemas.openxmlformats.org/officeDocument/2006/relationships/font" Target="fonts/RobotoLight-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