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2grqrue" w:id="0"/>
      <w:bookmarkEnd w:id="0"/>
      <w:r w:rsidDel="00000000" w:rsidR="00000000" w:rsidRPr="00000000">
        <w:rPr>
          <w:rtl w:val="0"/>
        </w:rPr>
        <w:t xml:space="preserve">1.0 Fixed Effects HAPC Estimator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way to check the robustness of the results is to examine their resilience when we relax a key assumption of the HAPC strategy: that the cohort and period “group” effects can be parsimoniously modeled as “random effects” (parametric deviations from an average effect assumed to follow a normal distribution with constant variance) rather than being specified directly (e.g. by entering vector dummy variables for each period and cohort group into the regression). As Yang and Land (2008) note, this latter “fixed effects” strategy is perfectly feasible, although they ultimately recommend the random-effects approach on the grounds of parsimony and computational efficiency. However, one possible drawback of the random-effects HAPC model is that certain results (e.g. large positive deviations for the 1930 to 1955 generations) may be produced by over-smoothing underlying non-linear cohort trends. Yang and Land (2008) thus recommend checking results from the two estimation strategies for consistency.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[Figure 4  About Here]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Estimates of cohort-specific levels of engagement (at 5-year intervals) estimated from the random-effects and fixed-effects estimation approaches are shown in Figure 3. As the figure shows, both estimation strategies reveal a reverse “U” shaped cohort trend peaking between 1930 and 1950 for all eight core SPPA activities. Significantly, this analysis demonstrates that the HAPC approach actually </w:t>
      </w:r>
      <w:r w:rsidDel="00000000" w:rsidR="00000000" w:rsidRPr="00000000">
        <w:rPr>
          <w:i w:val="1"/>
          <w:iCs w:val="1"/>
          <w:rtl w:val="0"/>
        </w:rPr>
        <w:t xml:space="preserve">underestimates </w:t>
      </w:r>
      <w:r w:rsidDel="00000000" w:rsidR="00000000" w:rsidRPr="00000000">
        <w:rPr>
          <w:rtl w:val="0"/>
        </w:rPr>
        <w:t xml:space="preserve">the differences between the cohorts born between 1930 and 1950 especially when it comes to the key contrast with their older</w:t>
      </w:r>
      <w:r w:rsidDel="00000000" w:rsidR="00000000" w:rsidRPr="00000000">
        <w:rPr>
          <w:i w:val="1"/>
          <w:iCs w:val="1"/>
          <w:rtl w:val="0"/>
        </w:rPr>
        <w:t xml:space="preserve"> </w:t>
      </w:r>
      <w:r w:rsidDel="00000000" w:rsidR="00000000" w:rsidRPr="00000000">
        <w:rPr>
          <w:rtl w:val="0"/>
        </w:rPr>
        <w:t xml:space="preserve">counterparts (successors). This is true for all activities except Jazz and Classical music concerts. This is indicated by the more pronounced “peak” in the fixed-effect, cohort-specific estimates in comparison to the random-effects estimates of culture consumption activity and the much lower fixed-effects predictions for those born before 1930. These differences are more pronounced for Musicals, Art Museums, Art Festivals, and Historic Monuments. As such, it is safe to say that the random-effects HAPC models revealed the presence of an omnivorous generation in spite of the fact that, in this particular application, they turned out to be a more conservative estimation strategy especially in “smoothing” the differences between the omnivorous generation and their immediate predecessors.</w:t>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x1227" w:id="1"/>
      <w:bookmarkEnd w:id="1"/>
      <w:r w:rsidDel="00000000" w:rsidR="00000000" w:rsidRPr="00000000">
        <w:rPr>
          <w:rtl w:val="0"/>
        </w:rPr>
        <w:t xml:space="preserve">2.0 Corroborating Omnivorous Generation Boundaries via the Graphical Method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relatively simple (and thus undemanding of these data) strategy is the “graphical” approach for disaggregating period and cohort effects advocated by Reeves (2015) in the context of arts participation data. This is an approach Voas and Chaves (2016) follow when identifying cohort changes in religious participation in the U.S. Here, we use it to validate the criterion validity of the cohort boundaries delimiting the omnivorous generation.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graphical approach consists of the visual inspection of plots with survey year on the x-axis and a given outcome on the y-axis, with separate lines (either theoretically or empirically determined) for cohort clusters. In Figure 5, we examine the probability of participation in the eight core activities for three 25-year cohort clusters: 1900 through 1925, 1930 through 1955 (the “Omnivorous Generation” according to the HAPC models), and 1960 through 1985. Note that no “estimation” is required here as these are descriptive plots, although the cohort cutoffs are derived from the HAPC estimates. The plots should be read as follows: any “horizontal” trends (e.g. upwards, downwards, flat, curvilinear) indicate the (cohort-specific) period effect; any “vertical” differences indicate a cohort effect net of period (e.g. a line standing atop another one indicates a positive effect for the first cohort).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[Figure 5 About Here]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 These results provide strong support for the claim that there is a significant break in culture consumption behavior separating people born before 1930 from those born between 1930 and 1955. Across all eight core activities, members of the latter group display substantially higher levels of engagement (thick, dotted line) than the earlier birth cohort (thin, solid line). In terms of the differences between this cohort and their generational successors (thin, dotted line), the results are more equivocal but still suggestive of strong levels of generational differentiation. Members of the Omnivorous Generation display higher levels of engagement with Classical, Musicals, and Opera than their younger counterparts across all six SPPA surveys. Considering Ballet, Art Festivals (and Craft Fairs), Historical Monuments, and Art Museums, we see generational differentiation favoring members of the 1930 to 1955 generation but only in surveys taken during the 1980s and 1990s, with convergence thereafter. Jazz is the only field for which members of the Omnivorous Generation report comparable levels of engagement with other cohorts. This pattern of results may be indicative of the fact that persons born in the earlier years of the Omnivorous Generation (e.g. 1930 - 1945) may have been more distinctive in their relatively avid culture consumption, and more likely to exit the survey via mortality (after the 1990s), in relation to persons born thereafter.</w:t>
      </w:r>
    </w:p>
    <w:sectPr>
      <w:pgSz w:h="15840" w:w="12240" w:orient="portrait"/>
      <w:pgMar w:bottom="1727.9999999999998"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6"/>
        <w:szCs w:val="26"/>
        <w:lang w:val="en"/>
      </w:rPr>
    </w:rPrDefault>
    <w:pPrDefault>
      <w:pPr>
        <w:widowControl w:val="0"/>
        <w:spacing w:before="6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ind w:firstLine="0"/>
      <w:jc w:val="left"/>
    </w:pPr>
    <w:rPr>
      <w:color w:val="632423"/>
      <w:sz w:val="32"/>
      <w:szCs w:val="32"/>
    </w:rPr>
  </w:style>
  <w:style w:type="paragraph" w:styleId="Heading2">
    <w:name w:val="heading 2"/>
    <w:basedOn w:val="Normal"/>
    <w:next w:val="Normal"/>
    <w:pPr>
      <w:pageBreakBefore w:val="0"/>
      <w:spacing w:before="200" w:lineRule="auto"/>
      <w:ind w:firstLine="0"/>
      <w:jc w:val="left"/>
    </w:pPr>
    <w:rPr>
      <w:color w:val="632423"/>
      <w:sz w:val="28"/>
      <w:szCs w:val="28"/>
    </w:rPr>
  </w:style>
  <w:style w:type="paragraph" w:styleId="Heading3">
    <w:name w:val="heading 3"/>
    <w:basedOn w:val="Normal"/>
    <w:next w:val="Normal"/>
    <w:pPr>
      <w:keepNext w:val="1"/>
      <w:keepLines w:val="1"/>
      <w:pageBreakBefore w:val="0"/>
      <w:spacing w:before="300" w:lineRule="auto"/>
      <w:ind w:firstLine="0"/>
      <w:jc w:val="left"/>
    </w:pPr>
    <w:rPr>
      <w:i w:val="1"/>
      <w:iCs w:val="1"/>
      <w:color w:val="622423"/>
    </w:rPr>
  </w:style>
  <w:style w:type="paragraph" w:styleId="Heading4">
    <w:name w:val="heading 4"/>
    <w:basedOn w:val="Normal"/>
    <w:next w:val="Normal"/>
    <w:pPr>
      <w:pageBreakBefore w:val="0"/>
      <w:spacing w:line="240" w:lineRule="auto"/>
      <w:ind w:firstLine="0"/>
    </w:pPr>
    <w:rPr>
      <w:sz w:val="22"/>
      <w:szCs w:val="22"/>
    </w:rPr>
  </w:style>
  <w:style w:type="paragraph" w:styleId="Heading5">
    <w:name w:val="heading 5"/>
    <w:basedOn w:val="Normal"/>
    <w:next w:val="Normal"/>
    <w:pPr>
      <w:keepNext w:val="1"/>
      <w:keepLines w:val="1"/>
      <w:pageBreakBefore w:val="0"/>
      <w:spacing w:after="120" w:before="320" w:line="360" w:lineRule="auto"/>
      <w:ind w:left="0" w:right="0" w:firstLine="0"/>
      <w:jc w:val="center"/>
    </w:pPr>
    <w:rPr>
      <w:rFonts w:ascii="Lato" w:cs="Lato" w:eastAsia="Lato" w:hAnsi="Lato"/>
      <w:b w:val="0"/>
      <w:bCs w:val="0"/>
      <w:i w:val="0"/>
      <w:iCs w:val="0"/>
      <w:smallCaps w:val="0"/>
      <w:strike w:val="0"/>
      <w:color w:val="622423"/>
      <w:sz w:val="22"/>
      <w:szCs w:val="22"/>
      <w:u w:val="none"/>
      <w:shd w:fill="auto" w:val="clear"/>
      <w:vertAlign w:val="baseline"/>
    </w:rPr>
  </w:style>
  <w:style w:type="paragraph" w:styleId="Heading6">
    <w:name w:val="heading 6"/>
    <w:basedOn w:val="Normal"/>
    <w:next w:val="Normal"/>
    <w:pPr>
      <w:keepNext w:val="1"/>
      <w:keepLines w:val="1"/>
      <w:pageBreakBefore w:val="0"/>
      <w:spacing w:after="120" w:before="0" w:line="360" w:lineRule="auto"/>
      <w:ind w:left="0" w:right="0" w:firstLine="0"/>
      <w:jc w:val="center"/>
    </w:pPr>
    <w:rPr>
      <w:rFonts w:ascii="Lato" w:cs="Lato" w:eastAsia="Lato" w:hAnsi="Lato"/>
      <w:b w:val="0"/>
      <w:bCs w:val="0"/>
      <w:i w:val="0"/>
      <w:iCs w:val="0"/>
      <w:smallCaps w:val="0"/>
      <w:strike w:val="0"/>
      <w:color w:val="943634"/>
      <w:sz w:val="22"/>
      <w:szCs w:val="22"/>
      <w:u w:val="none"/>
      <w:shd w:fill="auto" w:val="clear"/>
      <w:vertAlign w:val="baseline"/>
    </w:rPr>
  </w:style>
  <w:style w:type="paragraph" w:styleId="Title">
    <w:name w:val="Title"/>
    <w:basedOn w:val="Normal"/>
    <w:next w:val="Normal"/>
    <w:pPr>
      <w:pageBreakBefore w:val="0"/>
      <w:spacing w:after="300" w:before="500" w:line="240" w:lineRule="auto"/>
      <w:ind w:firstLine="0"/>
      <w:jc w:val="center"/>
    </w:pPr>
    <w:rPr>
      <w:color w:val="632423"/>
      <w:sz w:val="44"/>
      <w:szCs w:val="44"/>
    </w:rPr>
  </w:style>
  <w:style w:type="paragraph" w:styleId="Subtitle">
    <w:name w:val="Subtitle"/>
    <w:basedOn w:val="Normal"/>
    <w:next w:val="Normal"/>
    <w:pPr>
      <w:pageBreakBefore w:val="0"/>
      <w:ind w:firstLine="0"/>
    </w:pPr>
    <w:rPr>
      <w:b w:val="1"/>
      <w:bCs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