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2bn6wsx" w:id="0"/>
      <w:bookmarkEnd w:id="0"/>
      <w:r w:rsidDel="00000000" w:rsidR="00000000" w:rsidRPr="00000000">
        <w:rPr>
          <w:sz w:val="26"/>
          <w:szCs w:val="26"/>
          <w:rtl w:val="0"/>
        </w:rPr>
        <w:t xml:space="preserve">1.5 Uncovering Cohort Effects</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 simple conceptually, the estimation of cohort (generational) effects is not a straightforward exercise. The issue is the identification problem posed by the deterministic relationship between age, period, and cohort, as any one of the three factors is a linear combination of the other two (e.g., period = cohort + age; cohort = period - age; age = period - cohort); these three pieces of information are really only two pieces of information. This makes it impossible to separate the three effects in an unambiguous way within the context of a regression model. There are no magical solutions to this problem and no assumption-free ways of solving it. Yang and Land (2006) have proposed an approach that makes reasonable assumptions, grounded in a sociological conceptualization of the underlying substantive meaning of cohorts and periods as contextual </w:t>
      </w:r>
      <w:r w:rsidDel="00000000" w:rsidR="00000000" w:rsidRPr="00000000">
        <w:rPr>
          <w:i w:val="1"/>
          <w:iCs w:val="1"/>
          <w:rtl w:val="0"/>
        </w:rPr>
        <w:t xml:space="preserve">groupings</w:t>
      </w:r>
      <w:r w:rsidDel="00000000" w:rsidR="00000000" w:rsidRPr="00000000">
        <w:rPr>
          <w:rtl w:val="0"/>
        </w:rPr>
        <w:t xml:space="preserve"> of persons defined by a common event and experiences (Ryder 1965).</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Substantively, Yang and Land’s (2006) hierarchical age-period-cohort (HAPC) approach to breaking the linear dependency between age, period, and cohort relies on conceiving of age as an </w:t>
      </w:r>
      <w:r w:rsidDel="00000000" w:rsidR="00000000" w:rsidRPr="00000000">
        <w:rPr>
          <w:i w:val="1"/>
          <w:iCs w:val="1"/>
          <w:rtl w:val="0"/>
        </w:rPr>
        <w:t xml:space="preserve">individual</w:t>
      </w:r>
      <w:r w:rsidDel="00000000" w:rsidR="00000000" w:rsidRPr="00000000">
        <w:rPr>
          <w:rtl w:val="0"/>
        </w:rPr>
        <w:t xml:space="preserve"> characteristic that is specific to each sampled respondent. Consistent with our goal of uncovering omnivorous generations, an individual’s assignment to a given cohort (and period) is specified as a </w:t>
      </w:r>
      <w:r w:rsidDel="00000000" w:rsidR="00000000" w:rsidRPr="00000000">
        <w:rPr>
          <w:i w:val="1"/>
          <w:iCs w:val="1"/>
          <w:rtl w:val="0"/>
        </w:rPr>
        <w:t xml:space="preserve">contextual</w:t>
      </w:r>
      <w:r w:rsidDel="00000000" w:rsidR="00000000" w:rsidRPr="00000000">
        <w:rPr>
          <w:rtl w:val="0"/>
        </w:rPr>
        <w:t xml:space="preserve"> effect within a multilevel modelling framework. The partially overlapping nature of cohort and period memberships implies that, in the context of a repeated cross-sections survey design (such as the cumulative SPPA), time periods are not fully nested within cohorts or vice versa (as in standard multilevel models in which persons are embedded within fully overlapping contexts such as schools and neighborhoods). Rather, one obtains a “cross-classified” structure with individuals nested within cells defined by birth cohorts and time period.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Statistically, this yields the Cross-Classified Random Effects Models (CCREM;  see Yang and Land 2006, 2008 for technical details). The cohort effect thus captures that which is distinctive of each generation and is carried forward via historical encoding; period effects capture purely contemporaneous influences, while age is held constant as an individual level trait. Accordingly, we specify a crossed random-effects model for binary outcomes of the general form:</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hyperlink r:id="rId7">
        <w:r w:rsidDel="00000000" w:rsidR="00000000" w:rsidRPr="00000000">
          <w:rPr>
            <w:rtl w:val="0"/>
          </w:rPr>
          <w:t xml:space="preserve">   </w:t>
        </w:r>
      </w:hyperlink>
      <w:r w:rsidDel="00000000" w:rsidR="00000000" w:rsidRPr="00000000">
        <w:rPr>
          <w:rtl w:val="0"/>
        </w:rPr>
        <w:tab/>
      </w:r>
      <w:r w:rsidDel="00000000" w:rsidR="00000000" w:rsidRPr="00000000">
        <w:rPr/>
        <w:drawing>
          <wp:inline distB="19050" distT="19050" distL="19050" distR="19050">
            <wp:extent cx="3429000" cy="4826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9000" cy="482600"/>
                    </a:xfrm>
                    <a:prstGeom prst="rect"/>
                    <a:ln/>
                  </pic:spPr>
                </pic:pic>
              </a:graphicData>
            </a:graphic>
          </wp:inline>
        </w:drawing>
      </w:r>
      <w:r w:rsidDel="00000000" w:rsidR="00000000" w:rsidRPr="00000000">
        <w:rPr>
          <w:rtl w:val="0"/>
        </w:rPr>
        <w:tab/>
        <w:tab/>
        <w:t xml:space="preserve">(1)</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iCs w:val="1"/>
          <w:rtl w:val="0"/>
        </w:rPr>
        <w:t xml:space="preserve">Y</w:t>
      </w:r>
      <w:r w:rsidDel="00000000" w:rsidR="00000000" w:rsidRPr="00000000">
        <w:rPr>
          <w:i w:val="1"/>
          <w:iCs w:val="1"/>
          <w:vertAlign w:val="subscript"/>
          <w:rtl w:val="0"/>
        </w:rPr>
        <w:t xml:space="preserve">ijkl</w:t>
      </w:r>
      <w:r w:rsidDel="00000000" w:rsidR="00000000" w:rsidRPr="00000000">
        <w:rPr>
          <w:rtl w:val="0"/>
        </w:rPr>
        <w:t xml:space="preserve"> = 1 if individual </w:t>
      </w:r>
      <w:r w:rsidDel="00000000" w:rsidR="00000000" w:rsidRPr="00000000">
        <w:rPr>
          <w:i w:val="1"/>
          <w:iCs w:val="1"/>
          <w:rtl w:val="0"/>
        </w:rPr>
        <w:t xml:space="preserve">i</w:t>
      </w:r>
      <w:r w:rsidDel="00000000" w:rsidR="00000000" w:rsidRPr="00000000">
        <w:rPr>
          <w:rtl w:val="0"/>
        </w:rPr>
        <w:t xml:space="preserve">, assigned to cohort group </w:t>
      </w:r>
      <w:r w:rsidDel="00000000" w:rsidR="00000000" w:rsidRPr="00000000">
        <w:rPr>
          <w:i w:val="1"/>
          <w:iCs w:val="1"/>
          <w:rtl w:val="0"/>
        </w:rPr>
        <w:t xml:space="preserve">j</w:t>
      </w:r>
      <w:r w:rsidDel="00000000" w:rsidR="00000000" w:rsidRPr="00000000">
        <w:rPr>
          <w:rtl w:val="0"/>
        </w:rPr>
        <w:t xml:space="preserve">, interviewed at survey wave </w:t>
      </w:r>
      <w:r w:rsidDel="00000000" w:rsidR="00000000" w:rsidRPr="00000000">
        <w:rPr>
          <w:i w:val="1"/>
          <w:iCs w:val="1"/>
          <w:rtl w:val="0"/>
        </w:rPr>
        <w:t xml:space="preserve">k </w:t>
      </w:r>
      <w:r w:rsidDel="00000000" w:rsidR="00000000" w:rsidRPr="00000000">
        <w:rPr>
          <w:rtl w:val="0"/>
        </w:rPr>
        <w:t xml:space="preserve">reports having attended the </w:t>
      </w:r>
      <w:r w:rsidDel="00000000" w:rsidR="00000000" w:rsidRPr="00000000">
        <w:rPr>
          <w:i w:val="1"/>
          <w:iCs w:val="1"/>
          <w:rtl w:val="0"/>
        </w:rPr>
        <w:t xml:space="preserve">l</w:t>
      </w:r>
      <w:r w:rsidDel="00000000" w:rsidR="00000000" w:rsidRPr="00000000">
        <w:rPr>
          <w:i w:val="1"/>
          <w:iCs w:val="1"/>
          <w:vertAlign w:val="superscript"/>
          <w:rtl w:val="0"/>
        </w:rPr>
        <w:t xml:space="preserve">th </w:t>
      </w:r>
      <w:r w:rsidDel="00000000" w:rsidR="00000000" w:rsidRPr="00000000">
        <w:rPr>
          <w:rtl w:val="0"/>
        </w:rPr>
        <w:t xml:space="preserve">arts participation activity;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vertAlign w:val="subscript"/>
          <w:rtl w:val="0"/>
        </w:rPr>
        <w:t xml:space="preserve"> </w:t>
      </w:r>
      <w:r w:rsidDel="00000000" w:rsidR="00000000" w:rsidRPr="00000000">
        <w:rPr>
          <w:rtl w:val="0"/>
        </w:rPr>
        <w:t xml:space="preserve">is the random effect for the </w:t>
      </w:r>
      <w:r w:rsidDel="00000000" w:rsidR="00000000" w:rsidRPr="00000000">
        <w:rPr>
          <w:i w:val="1"/>
          <w:iCs w:val="1"/>
          <w:rtl w:val="0"/>
        </w:rPr>
        <w:t xml:space="preserve">jth</w:t>
      </w:r>
      <w:r w:rsidDel="00000000" w:rsidR="00000000" w:rsidRPr="00000000">
        <w:rPr>
          <w:rtl w:val="0"/>
        </w:rPr>
        <w:t xml:space="preserve"> cohort group (at 5 year intervals), </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0k</w:t>
      </w:r>
      <w:r w:rsidDel="00000000" w:rsidR="00000000" w:rsidRPr="00000000">
        <w:rPr>
          <w:rtl w:val="0"/>
        </w:rPr>
        <w:t xml:space="preserve"> is the random effect for </w:t>
      </w:r>
      <w:r w:rsidDel="00000000" w:rsidR="00000000" w:rsidRPr="00000000">
        <w:rPr>
          <w:i w:val="1"/>
          <w:iCs w:val="1"/>
          <w:rtl w:val="0"/>
        </w:rPr>
        <w:t xml:space="preserve">k</w:t>
      </w:r>
      <w:r w:rsidDel="00000000" w:rsidR="00000000" w:rsidRPr="00000000">
        <w:rPr>
          <w:i w:val="1"/>
          <w:iCs w:val="1"/>
          <w:vertAlign w:val="superscript"/>
          <w:rtl w:val="0"/>
        </w:rPr>
        <w:t xml:space="preserve">th </w:t>
      </w:r>
      <w:r w:rsidDel="00000000" w:rsidR="00000000" w:rsidRPr="00000000">
        <w:rPr>
          <w:rtl w:val="0"/>
        </w:rPr>
        <w:t xml:space="preserve">period group (survey year), </w:t>
      </w:r>
      <w:r w:rsidDel="00000000" w:rsidR="00000000" w:rsidRPr="00000000">
        <w:rPr>
          <w:i w:val="1"/>
          <w:iCs w:val="1"/>
          <w:rtl w:val="0"/>
        </w:rPr>
        <w:t xml:space="preserve">age </w:t>
      </w:r>
      <w:r w:rsidDel="00000000" w:rsidR="00000000" w:rsidRPr="00000000">
        <w:rPr>
          <w:rtl w:val="0"/>
        </w:rPr>
        <w:t xml:space="preserve">is a (possibly transformed) variable indicating the respondent’s age at the time of the survey, the betas are fixed regression weights, and X</w:t>
      </w:r>
      <w:r w:rsidDel="00000000" w:rsidR="00000000" w:rsidRPr="00000000">
        <w:rPr>
          <w:vertAlign w:val="subscript"/>
          <w:rtl w:val="0"/>
        </w:rPr>
        <w:t xml:space="preserve">i</w:t>
      </w:r>
      <w:r w:rsidDel="00000000" w:rsidR="00000000" w:rsidRPr="00000000">
        <w:rPr>
          <w:rtl w:val="0"/>
        </w:rPr>
        <w:t xml:space="preserve"> is a vector of individual level covariates. The result of interest in this model will be an estimate of the age-adjusted likelihood of the group level (cohort) effect for each arts participation activity. Positive (negative) </w:t>
      </w:r>
      <w:r w:rsidDel="00000000" w:rsidR="00000000" w:rsidRPr="00000000">
        <w:rPr>
          <w:i w:val="1"/>
          <w:iCs w:val="1"/>
          <w:rtl w:val="0"/>
        </w:rPr>
        <w:t xml:space="preserve">deviations</w:t>
      </w:r>
      <w:r w:rsidDel="00000000" w:rsidR="00000000" w:rsidRPr="00000000">
        <w:rPr>
          <w:rtl w:val="0"/>
        </w:rPr>
        <w:t xml:space="preserve"> from the expected baseline (represented by the sign of exp(</w:t>
      </w:r>
      <w:r w:rsidDel="00000000" w:rsidR="00000000" w:rsidRPr="00000000">
        <w:rPr>
          <w:rFonts w:ascii="Times New Roman" w:cs="Times New Roman" w:eastAsia="Times New Roman" w:hAnsi="Times New Roman"/>
          <w:i w:val="1"/>
          <w:iCs w:val="1"/>
          <w:rtl w:val="0"/>
        </w:rPr>
        <w:t xml:space="preserve">υ</w:t>
      </w:r>
      <w:r w:rsidDel="00000000" w:rsidR="00000000" w:rsidRPr="00000000">
        <w:rPr>
          <w:i w:val="1"/>
          <w:iCs w:val="1"/>
          <w:vertAlign w:val="subscript"/>
          <w:rtl w:val="0"/>
        </w:rPr>
        <w:t xml:space="preserve">0j</w:t>
      </w:r>
      <w:r w:rsidDel="00000000" w:rsidR="00000000" w:rsidRPr="00000000">
        <w:rPr>
          <w:rtl w:val="0"/>
        </w:rPr>
        <w:t xml:space="preserve">)) are taken as evidence of a </w:t>
      </w:r>
      <w:r w:rsidDel="00000000" w:rsidR="00000000" w:rsidRPr="00000000">
        <w:rPr>
          <w:i w:val="1"/>
          <w:iCs w:val="1"/>
          <w:rtl w:val="0"/>
        </w:rPr>
        <w:t xml:space="preserve">facilitating</w:t>
      </w:r>
      <w:r w:rsidDel="00000000" w:rsidR="00000000" w:rsidRPr="00000000">
        <w:rPr>
          <w:rtl w:val="0"/>
        </w:rPr>
        <w:t xml:space="preserve"> (</w:t>
      </w:r>
      <w:r w:rsidDel="00000000" w:rsidR="00000000" w:rsidRPr="00000000">
        <w:rPr>
          <w:i w:val="1"/>
          <w:iCs w:val="1"/>
          <w:rtl w:val="0"/>
        </w:rPr>
        <w:t xml:space="preserve">suppressing</w:t>
      </w:r>
      <w:r w:rsidDel="00000000" w:rsidR="00000000" w:rsidRPr="00000000">
        <w:rPr>
          <w:rtl w:val="0"/>
        </w:rPr>
        <w:t xml:space="preserve">) effect of cohort group membership on arts participation for the </w:t>
      </w:r>
      <w:r w:rsidDel="00000000" w:rsidR="00000000" w:rsidRPr="00000000">
        <w:rPr>
          <w:i w:val="1"/>
          <w:iCs w:val="1"/>
          <w:rtl w:val="0"/>
        </w:rPr>
        <w:t xml:space="preserve">l</w:t>
      </w:r>
      <w:r w:rsidDel="00000000" w:rsidR="00000000" w:rsidRPr="00000000">
        <w:rPr>
          <w:i w:val="1"/>
          <w:iCs w:val="1"/>
          <w:vertAlign w:val="superscript"/>
          <w:rtl w:val="0"/>
        </w:rPr>
        <w:t xml:space="preserve">th</w:t>
      </w:r>
      <w:r w:rsidDel="00000000" w:rsidR="00000000" w:rsidRPr="00000000">
        <w:rPr>
          <w:rtl w:val="0"/>
        </w:rPr>
        <w:t xml:space="preserve"> activity net of age and period influences.</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important to underscore that the goal of this analysis is to isolate and establish the existence of generational effects on arts participation and to chart their distribution across cohort groups. Our use of these statistical models is not meant to be “explanatory” in the sense in which this term is sometimes misused in variables-oriented analysis, but instead is </w:t>
      </w:r>
      <w:r w:rsidDel="00000000" w:rsidR="00000000" w:rsidRPr="00000000">
        <w:rPr>
          <w:i w:val="1"/>
          <w:iCs w:val="1"/>
          <w:rtl w:val="0"/>
        </w:rPr>
        <w:t xml:space="preserve">descriptive</w:t>
      </w:r>
      <w:r w:rsidDel="00000000" w:rsidR="00000000" w:rsidRPr="00000000">
        <w:rPr>
          <w:rtl w:val="0"/>
        </w:rPr>
        <w:t xml:space="preserve"> (Spillman 2014). Our strategy is to deploy this statistical framework to establish a broad, empirical pattern of generational effects on arts participation rates. The existence of this effect, as well as its specific patterning, become the phenomenon to be further elucidated. The goal is to then link cohorts distinguished by higher-than-expected participation rates to unique institutional experiences, using a complementary case-based methodological strategy that combines historical narrative, institutional analysis, and process-tracing (Schneiberg and Clemens 2006; Fishman and Lizardo 2013).</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qsh70q" w:id="1"/>
      <w:bookmarkEnd w:id="1"/>
      <w:r w:rsidDel="00000000" w:rsidR="00000000" w:rsidRPr="00000000">
        <w:rPr>
          <w:sz w:val="26"/>
          <w:szCs w:val="26"/>
          <w:rtl w:val="0"/>
        </w:rPr>
        <w:t xml:space="preserve">1.6 Exploratory Analyses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Bell and Jones (2014) have argued that HAPC models can sometimes fail to recover true cohort (or period effects). However, as a response drafted by some of the leading demographers in the field (Reither et al 2015) shows, HAPC will recover cohort and period effects in real data when these data are extensive enough to display variation across all three dimensions. As such, Reither et al (2015) recommend first testing for the presence of cohort and period effects in the data using standard models, as well as the inspection of graphical summaries displaying distinct age, period, and cohort patterns before fitting the full HAPC model. Implementing the first recommendation, table 2 shows the results of goodness of fitness test for logistic regression models predicting arts participation across all age activities using age, period, and cohort as predictor. In each model the age, cohort effects are specified non-parametrically as a series of dummy variables coding groups of respondents based on a five-year window (results are similar when we vary these windows). We used Akaike’s Information Criterion as our index of model fit. If period and cohort effects are present in the data, we should expect that models specifying all three dimensions should fit better than age only or age/period or age/cohort models. As the table shows, the models that specify all three effects outperform all the other models, suggesting that the correlational structure of the data is sufficiently rich to support the HAPC modeling strategy. Moreover, taking the age-only model as a baseline, the age/cohort specification always results in a more substantial improvement in model fit that then age/period one, suggesting that cohort effects dominate over period effects in these data, holding age-effects constant.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is the pattern of variation across the three dimensions? Figure 1 provides a descriptive plot of all age, period, and cohort trends. One thing to look for here is sufficient distinctiveness in the trends across dimensions, as HAPC models would not be able to disentangle two trends (e.g., age and cohort) displaying the same (e.g. linear) pattern. The figures reveal substantively significant differences in the trends across all three dimensions. As shown in the leftmost panel of the figure, age effects across all eight core arts participation items are either flat (e.g. Opera, Symphony) or negative (Art Festivals, Historical Monuments, Musicals) especially after crossing the retirement-age threshold. In contrast, period effects, as shown in the center panel, are mostly flat for all activities, excepting Art Festivals and Historical Monuments (which display a negative trending effect). Finally, as shown in the rightmost panel, cohort effects display a striking consistent “inverted U-shape” trend across all eight core activities, with participation rates peaking among persons born between 1930 and 1960. Note that the effect seems to be partially asymmetrical, with the contrast between people born around mid-century being stronger in relation to their older predecessors (pre-depression era cohorts) than their successors (post-1960 cohorts).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 2 shows period-specific plots of the cohort trends for all eight core activities. As Reeves (2014) has noted these plots are useful for providing preliminary evidence of cohort effects in the context of arts participation data. The results show that the seeming omnivorousness of the post-progressive era cohorts (1930-1960) is not a period specific artifact of any one survey wave, but instead it reappears across surveys separated by as much as two decades. Although we can observe evidence of the aging effect in the leftmost panel of figure 1 (downward movement in the y axis with in 2002 and 2012 in relation to 1982), the inverted u-shaped pattern favoring post-progressive era cohorts is robust. </w:t>
      </w:r>
    </w:p>
    <w:p w:rsidR="00000000" w:rsidDel="00000000" w:rsidP="00000000" w:rsidRDefault="00000000" w:rsidRPr="00000000" w14:paraId="0000000C">
      <w:pPr>
        <w:pStyle w:val="Heading2"/>
        <w:pageBreakBefore w:val="0"/>
        <w:pBdr>
          <w:top w:space="0" w:sz="0" w:val="nil"/>
          <w:left w:space="0" w:sz="0" w:val="nil"/>
          <w:bottom w:space="0" w:sz="0" w:val="nil"/>
          <w:right w:space="0" w:sz="0" w:val="nil"/>
          <w:between w:space="0" w:sz="0" w:val="nil"/>
        </w:pBdr>
        <w:shd w:fill="auto" w:val="clear"/>
        <w:jc w:val="both"/>
        <w:rPr/>
      </w:pPr>
      <w:bookmarkStart w:colFirst="0" w:colLast="0" w:name="_3as4poj" w:id="2"/>
      <w:bookmarkEnd w:id="2"/>
      <w:r w:rsidDel="00000000" w:rsidR="00000000" w:rsidRPr="00000000">
        <w:rPr>
          <w:sz w:val="26"/>
          <w:szCs w:val="26"/>
          <w:rtl w:val="0"/>
        </w:rPr>
        <w:t xml:space="preserve">1.7 Multivariate Analyses</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Results so far suggest that there are strong cohort dynamics in arts participation, and that they seem to share a generational patterning across all arts participation activities. This descriptive analysis suggests that if there is a generation worth referring to as most “omnivorous” with respect to arts participation, it is concentrated among persons who came of age in the immediate post-progressive and post-war period (1940s, 1950s). Here, we examine whether we can replicate the observed generational clustering result in a multivariate context, adjusting for possible confounders, and modeling the interplay of age, period, and cohort within the HAPC framework described earlier.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aware that the increased arts participation activity of the post-progressive era cohorts in relation to their predecessors could be a result of the gradual educational upgrading experienced by Americans throughout the twentieth century. This is important since education has been, and continues to be, the most important individual-level predictor of engagement with the arts (DiMaggio and Mukhtar 2004). Accordingly, our models include an ordinal variable indexing highest degree completed, ranging from high school to postgraduate or professional degree. In addition, our HAPC specification also holds constant other individual (and, at the cohort level, compositional) predictors of engagement with the arts: race (DiMaggio and Ostrower 1990 with dummy variables for white and black respondents), and gender (Lizardo 2006).</w:t>
      </w:r>
      <w:r w:rsidDel="00000000" w:rsidR="00000000" w:rsidRPr="00000000">
        <w:rPr>
          <w:vertAlign w:val="superscript"/>
        </w:rPr>
        <w:footnoteReference w:customMarkFollows="0" w:id="2"/>
      </w:r>
      <w:r w:rsidDel="00000000" w:rsidR="00000000" w:rsidRPr="00000000">
        <w:rPr>
          <w:rtl w:val="0"/>
        </w:rPr>
        <w:t xml:space="preserve"> Finally, in accord with the pattern of results shown in Figure 1, we specify the fixed effects of age as a quadratic function (results are similar with other specifications of the age effects).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Times" w:cs="Times" w:eastAsia="Times" w:hAnsi="Times"/>
          <w:sz w:val="20"/>
          <w:szCs w:val="20"/>
        </w:rPr>
      </w:pPr>
      <w:r w:rsidDel="00000000" w:rsidR="00000000" w:rsidRPr="00000000">
        <w:rPr>
          <w:rtl w:val="0"/>
        </w:rPr>
        <w:t xml:space="preserve">While the HAPC models produce fixed effects estimates of the effects of these covariates on cultural participation (</w:t>
      </w:r>
      <w:r w:rsidDel="00000000" w:rsidR="00000000" w:rsidRPr="00000000">
        <w:rPr>
          <w:rFonts w:ascii="Cambria" w:cs="Cambria" w:eastAsia="Cambria" w:hAnsi="Cambria"/>
          <w:i w:val="1"/>
          <w:iCs w:val="1"/>
          <w:rtl w:val="0"/>
        </w:rPr>
        <w:t xml:space="preserve">𝛽</w:t>
      </w:r>
      <w:r w:rsidDel="00000000" w:rsidR="00000000" w:rsidRPr="00000000">
        <w:rPr>
          <w:i w:val="1"/>
          <w:iCs w:val="1"/>
          <w:sz w:val="16"/>
          <w:szCs w:val="16"/>
          <w:vertAlign w:val="subscript"/>
          <w:rtl w:val="0"/>
        </w:rPr>
        <w:t xml:space="preserve">1</w:t>
      </w:r>
      <w:r w:rsidDel="00000000" w:rsidR="00000000" w:rsidRPr="00000000">
        <w:rPr>
          <w:rtl w:val="0"/>
        </w:rPr>
        <w:t xml:space="preserve">, </w:t>
      </w:r>
      <w:r w:rsidDel="00000000" w:rsidR="00000000" w:rsidRPr="00000000">
        <w:rPr>
          <w:rFonts w:ascii="Cambria" w:cs="Cambria" w:eastAsia="Cambria" w:hAnsi="Cambria"/>
          <w:i w:val="1"/>
          <w:iCs w:val="1"/>
          <w:rtl w:val="0"/>
        </w:rPr>
        <w:t xml:space="preserve">𝛽</w:t>
      </w:r>
      <w:r w:rsidDel="00000000" w:rsidR="00000000" w:rsidRPr="00000000">
        <w:rPr>
          <w:i w:val="1"/>
          <w:iCs w:val="1"/>
          <w:sz w:val="16"/>
          <w:szCs w:val="16"/>
          <w:vertAlign w:val="subscript"/>
          <w:rtl w:val="0"/>
        </w:rPr>
        <w:t xml:space="preserve">m</w:t>
      </w:r>
      <w:r w:rsidDel="00000000" w:rsidR="00000000" w:rsidRPr="00000000">
        <w:rPr>
          <w:i w:val="1"/>
          <w:iCs w:val="1"/>
          <w:vertAlign w:val="subscript"/>
          <w:rtl w:val="0"/>
        </w:rPr>
        <w:t xml:space="preserve"> </w:t>
      </w:r>
      <w:r w:rsidDel="00000000" w:rsidR="00000000" w:rsidRPr="00000000">
        <w:rPr>
          <w:rtl w:val="0"/>
        </w:rPr>
        <w:t xml:space="preserve">in equation 1), of more substantive interest are the random variance component estimates for the cohort (</w:t>
      </w:r>
      <w:r w:rsidDel="00000000" w:rsidR="00000000" w:rsidRPr="00000000">
        <w:rPr>
          <w:rFonts w:ascii="Cambria" w:cs="Cambria" w:eastAsia="Cambria" w:hAnsi="Cambria"/>
          <w:rtl w:val="0"/>
        </w:rPr>
        <w:t xml:space="preserve">𝜐</w:t>
      </w:r>
      <w:r w:rsidDel="00000000" w:rsidR="00000000" w:rsidRPr="00000000">
        <w:rPr>
          <w:vertAlign w:val="subscript"/>
          <w:rtl w:val="0"/>
        </w:rPr>
        <w:t xml:space="preserve">0j</w:t>
      </w:r>
      <w:r w:rsidDel="00000000" w:rsidR="00000000" w:rsidRPr="00000000">
        <w:rPr>
          <w:rtl w:val="0"/>
        </w:rPr>
        <w:t xml:space="preserve">) and period (</w:t>
      </w:r>
      <w:r w:rsidDel="00000000" w:rsidR="00000000" w:rsidRPr="00000000">
        <w:rPr>
          <w:rFonts w:ascii="Cambria" w:cs="Cambria" w:eastAsia="Cambria" w:hAnsi="Cambria"/>
          <w:rtl w:val="0"/>
        </w:rPr>
        <w:t xml:space="preserve">𝜐</w:t>
      </w:r>
      <w:r w:rsidDel="00000000" w:rsidR="00000000" w:rsidRPr="00000000">
        <w:rPr>
          <w:vertAlign w:val="subscript"/>
          <w:rtl w:val="0"/>
        </w:rPr>
        <w:t xml:space="preserve">0k</w:t>
      </w:r>
      <w:r w:rsidDel="00000000" w:rsidR="00000000" w:rsidRPr="00000000">
        <w:rPr>
          <w:rtl w:val="0"/>
        </w:rPr>
        <w:t xml:space="preserve">) group contexts for each outcome. These are shown in Table 2. These estimates give us a sense of whether we can identify cohort and period based on variation in art participation levels, above and beyond the effect of age. As suggested by the previous analysis, we find statistically significant cohort and period-based variance for all outcomes after adjusting for age fixed effects (results remain the same when including a more extensive set of covariates such as age, education, and current region of residence). Comparing the substantive magnitude of cohort and period variance component estimates across participation outcomes, we can see that the cohort effect rivals the period effect in size for all outcomes except Ballet attendance. For four outcomes, Jazz, Classical, Musicals, and Art Museums, the cohort-based variance is substantially larger than the period-based variance; in the case of Art Festivals both are of equal (substantively significant) magnitude.</w:t>
      </w: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Figure 3 shows the cohort-group deviations from the average for each activity. This quantity can be interpreted as the “boost” (or “suppression”) for cultural participation that the individual gets as a result of their </w:t>
      </w:r>
      <w:r w:rsidDel="00000000" w:rsidR="00000000" w:rsidRPr="00000000">
        <w:rPr>
          <w:i w:val="1"/>
          <w:iCs w:val="1"/>
          <w:rtl w:val="0"/>
        </w:rPr>
        <w:t xml:space="preserve">membership in a cohort group</w:t>
      </w:r>
      <w:r w:rsidDel="00000000" w:rsidR="00000000" w:rsidRPr="00000000">
        <w:rPr>
          <w:rtl w:val="0"/>
        </w:rPr>
        <w:t xml:space="preserve"> net of individual characteristics. The direction and magnitude of the cohort effects across different participation rates reveal a clear pattern of generational clustering. Across putatively distinct arts participation practices, we find that, with few exceptions, cohorts born between 1930 and 1950 have higher positive deviations in expected engagement than their earlier born counterparts. Because the distribution of age becomes truncated as we move to more recently born cohorts (or move back to the earliest cohorts), we are more cautious about interpreting the negative cohort deviations at the extreme boundaries (e.g. 1890-1900 and 1980 to 1990). We can say, however, that the concentration of substantively significant positive deviations within a narrow band of cohort groups born within a span of three decades, across a very diverse range of arts participation outcomes, holding constant key predictors of such engagement, does sanction the designation of these generations as (comparatively) “omnivorous” in this particular domain (DiMaggio and Mukhtar 2004). The cohort born between 1930 and 1950 appears to be an Omnivorous Generation. </w:t>
      </w:r>
    </w:p>
    <w:sectPr>
      <w:pgSz w:h="15840" w:w="12240" w:orient="portrait"/>
      <w:pgMar w:bottom="1727.9999999999998"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ime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1">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1idq7dh" w:id="3"/>
      <w:bookmarkEnd w:id="3"/>
      <w:r w:rsidDel="00000000" w:rsidR="00000000" w:rsidRPr="00000000">
        <w:rPr>
          <w:rStyle w:val="FootnoteReference"/>
          <w:vertAlign w:val="superscript"/>
        </w:rPr>
        <w:footnoteRef/>
      </w:r>
      <w:r w:rsidDel="00000000" w:rsidR="00000000" w:rsidRPr="00000000">
        <w:rPr>
          <w:sz w:val="20"/>
          <w:szCs w:val="20"/>
          <w:rtl w:val="0"/>
        </w:rPr>
        <w:t xml:space="preserve"> We estimate the CCRM models via maximum likelihood using the routine for multilevel logit regression modelling (</w:t>
      </w:r>
      <w:r w:rsidDel="00000000" w:rsidR="00000000" w:rsidRPr="00000000">
        <w:rPr>
          <w:rFonts w:ascii="Courier New" w:cs="Courier New" w:eastAsia="Courier New" w:hAnsi="Courier New"/>
          <w:sz w:val="16"/>
          <w:szCs w:val="16"/>
          <w:rtl w:val="0"/>
        </w:rPr>
        <w:t xml:space="preserve">xtmelogit</w:t>
      </w:r>
      <w:r w:rsidDel="00000000" w:rsidR="00000000" w:rsidRPr="00000000">
        <w:rPr>
          <w:sz w:val="20"/>
          <w:szCs w:val="20"/>
          <w:rtl w:val="0"/>
        </w:rPr>
        <w:t xml:space="preserve">) included in Stata 14.</w:t>
      </w:r>
      <w:r w:rsidDel="00000000" w:rsidR="00000000" w:rsidRPr="00000000">
        <w:rPr>
          <w:rtl w:val="0"/>
        </w:rPr>
      </w:r>
    </w:p>
  </w:footnote>
  <w:footnote w:id="1">
    <w:p w:rsidR="00000000" w:rsidDel="00000000" w:rsidP="00000000" w:rsidRDefault="00000000" w:rsidRPr="00000000" w14:paraId="00000012">
      <w:pPr>
        <w:pStyle w:val="Heading4"/>
        <w:pageBreakBefore w:val="0"/>
        <w:pBdr>
          <w:top w:space="0" w:sz="0" w:val="nil"/>
          <w:left w:space="0" w:sz="0" w:val="nil"/>
          <w:bottom w:space="0" w:sz="0" w:val="nil"/>
          <w:right w:space="0" w:sz="0" w:val="nil"/>
          <w:between w:space="0" w:sz="0" w:val="nil"/>
        </w:pBdr>
        <w:shd w:fill="auto" w:val="clear"/>
        <w:spacing w:before="0" w:lineRule="auto"/>
        <w:ind w:firstLine="720"/>
        <w:rPr/>
      </w:pPr>
      <w:bookmarkStart w:colFirst="0" w:colLast="0" w:name="_42ddq1a" w:id="4"/>
      <w:bookmarkEnd w:id="4"/>
      <w:r w:rsidDel="00000000" w:rsidR="00000000" w:rsidRPr="00000000">
        <w:rPr>
          <w:rStyle w:val="FootnoteReference"/>
          <w:vertAlign w:val="superscript"/>
        </w:rPr>
        <w:footnoteRef/>
      </w:r>
      <w:r w:rsidDel="00000000" w:rsidR="00000000" w:rsidRPr="00000000">
        <w:rPr>
          <w:sz w:val="20"/>
          <w:szCs w:val="20"/>
          <w:rtl w:val="0"/>
        </w:rPr>
        <w:t xml:space="preserve"> For a more elaborate outline of the analytical advantages of this mixed methods approach see Spillman (2014); for an application to the study of taste see Fishman and Lizardo (2013). </w:t>
      </w:r>
      <w:r w:rsidDel="00000000" w:rsidR="00000000" w:rsidRPr="00000000">
        <w:rPr>
          <w:rtl w:val="0"/>
        </w:rPr>
      </w:r>
    </w:p>
  </w:footnote>
  <w:footnote w:id="2">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Region of residence is not available in all years of the cumulative SPPA file.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6"/>
        <w:szCs w:val="26"/>
        <w:lang w:val="en"/>
      </w:rPr>
    </w:rPrDefault>
    <w:pPrDefault>
      <w:pPr>
        <w:widowControl w:val="0"/>
        <w:spacing w:before="6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ind w:firstLine="0"/>
      <w:jc w:val="left"/>
    </w:pPr>
    <w:rPr>
      <w:color w:val="632423"/>
      <w:sz w:val="32"/>
      <w:szCs w:val="32"/>
    </w:rPr>
  </w:style>
  <w:style w:type="paragraph" w:styleId="Heading2">
    <w:name w:val="heading 2"/>
    <w:basedOn w:val="Normal"/>
    <w:next w:val="Normal"/>
    <w:pPr>
      <w:pageBreakBefore w:val="0"/>
      <w:spacing w:before="200" w:lineRule="auto"/>
      <w:ind w:firstLine="0"/>
      <w:jc w:val="left"/>
    </w:pPr>
    <w:rPr>
      <w:color w:val="632423"/>
      <w:sz w:val="28"/>
      <w:szCs w:val="28"/>
    </w:rPr>
  </w:style>
  <w:style w:type="paragraph" w:styleId="Heading3">
    <w:name w:val="heading 3"/>
    <w:basedOn w:val="Normal"/>
    <w:next w:val="Normal"/>
    <w:pPr>
      <w:keepNext w:val="1"/>
      <w:keepLines w:val="1"/>
      <w:pageBreakBefore w:val="0"/>
      <w:spacing w:before="300" w:lineRule="auto"/>
      <w:ind w:firstLine="0"/>
      <w:jc w:val="left"/>
    </w:pPr>
    <w:rPr>
      <w:i w:val="1"/>
      <w:iCs w:val="1"/>
      <w:color w:val="622423"/>
    </w:rPr>
  </w:style>
  <w:style w:type="paragraph" w:styleId="Heading4">
    <w:name w:val="heading 4"/>
    <w:basedOn w:val="Normal"/>
    <w:next w:val="Normal"/>
    <w:pPr>
      <w:pageBreakBefore w:val="0"/>
      <w:spacing w:line="240" w:lineRule="auto"/>
      <w:ind w:firstLine="0"/>
    </w:pPr>
    <w:rPr>
      <w:sz w:val="22"/>
      <w:szCs w:val="22"/>
    </w:rPr>
  </w:style>
  <w:style w:type="paragraph" w:styleId="Heading5">
    <w:name w:val="heading 5"/>
    <w:basedOn w:val="Normal"/>
    <w:next w:val="Normal"/>
    <w:pPr>
      <w:keepNext w:val="1"/>
      <w:keepLines w:val="1"/>
      <w:pageBreakBefore w:val="0"/>
      <w:spacing w:after="120" w:before="320" w:line="360" w:lineRule="auto"/>
      <w:ind w:left="0" w:right="0" w:firstLine="0"/>
      <w:jc w:val="center"/>
    </w:pPr>
    <w:rPr>
      <w:rFonts w:ascii="Lato" w:cs="Lato" w:eastAsia="Lato" w:hAnsi="Lato"/>
      <w:b w:val="0"/>
      <w:bCs w:val="0"/>
      <w:i w:val="0"/>
      <w:iCs w:val="0"/>
      <w:smallCaps w:val="0"/>
      <w:strike w:val="0"/>
      <w:color w:val="622423"/>
      <w:sz w:val="22"/>
      <w:szCs w:val="22"/>
      <w:u w:val="none"/>
      <w:shd w:fill="auto" w:val="clear"/>
      <w:vertAlign w:val="baseline"/>
    </w:rPr>
  </w:style>
  <w:style w:type="paragraph" w:styleId="Heading6">
    <w:name w:val="heading 6"/>
    <w:basedOn w:val="Normal"/>
    <w:next w:val="Normal"/>
    <w:pPr>
      <w:keepNext w:val="1"/>
      <w:keepLines w:val="1"/>
      <w:pageBreakBefore w:val="0"/>
      <w:spacing w:after="120" w:before="0" w:line="360" w:lineRule="auto"/>
      <w:ind w:left="0" w:right="0" w:firstLine="0"/>
      <w:jc w:val="center"/>
    </w:pPr>
    <w:rPr>
      <w:rFonts w:ascii="Lato" w:cs="Lato" w:eastAsia="Lato" w:hAnsi="Lato"/>
      <w:b w:val="0"/>
      <w:bCs w:val="0"/>
      <w:i w:val="0"/>
      <w:iCs w:val="0"/>
      <w:smallCaps w:val="0"/>
      <w:strike w:val="0"/>
      <w:color w:val="943634"/>
      <w:sz w:val="22"/>
      <w:szCs w:val="22"/>
      <w:u w:val="none"/>
      <w:shd w:fill="auto" w:val="clear"/>
      <w:vertAlign w:val="baseline"/>
    </w:rPr>
  </w:style>
  <w:style w:type="paragraph" w:styleId="Title">
    <w:name w:val="Title"/>
    <w:basedOn w:val="Normal"/>
    <w:next w:val="Normal"/>
    <w:pPr>
      <w:pageBreakBefore w:val="0"/>
      <w:spacing w:after="300" w:before="500" w:line="240" w:lineRule="auto"/>
      <w:ind w:firstLine="0"/>
      <w:jc w:val="center"/>
    </w:pPr>
    <w:rPr>
      <w:color w:val="632423"/>
      <w:sz w:val="44"/>
      <w:szCs w:val="44"/>
    </w:rPr>
  </w:style>
  <w:style w:type="paragraph" w:styleId="Subtitle">
    <w:name w:val="Subtitle"/>
    <w:basedOn w:val="Normal"/>
    <w:next w:val="Normal"/>
    <w:pPr>
      <w:pageBreakBefore w:val="0"/>
      <w:ind w:firstLine="0"/>
    </w:pPr>
    <w:rPr>
      <w:b w:val="1"/>
      <w:bCs w:val="1"/>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codecogs.com/eqnedit.php?latex=P%5Cleft(Y_%7Bijkl%7D%5Cright)%20=%20%5Cgamma_0%20&amp;plus;%20%5Cbeta_1%20age%20&amp;plus;%20%5Cbeta_2%20age%5E2%20&amp;plus;%20v_%7Boj%7D%20&amp;plus;%20v_%7B0k%7D"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