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These quotes are from Hammer (</w:t>
      </w:r>
      <w:hyperlink r:id="rId6">
        <w:r w:rsidDel="00000000" w:rsidR="00000000" w:rsidRPr="00000000">
          <w:rPr>
            <w:rFonts w:ascii="Arial" w:cs="Arial" w:eastAsia="Arial" w:hAnsi="Arial"/>
            <w:color w:val="4263ab"/>
            <w:u w:val="single"/>
            <w:rtl w:val="0"/>
          </w:rPr>
          <w:t xml:space="preserve">1985</w:t>
        </w:r>
      </w:hyperlink>
      <w:r w:rsidDel="00000000" w:rsidR="00000000" w:rsidRPr="00000000">
        <w:rPr>
          <w:rFonts w:ascii="Arial" w:cs="Arial" w:eastAsia="Arial" w:hAnsi="Arial"/>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....the concept of symmetry or reciprocity may at first glance appear to be a dyadic concept, but in fact reciprocity can reflect the way a dyad is embedded in a set of relationships, rather than merely the characteristics of the dyad per se. </w:t>
      </w:r>
      <w:r w:rsidDel="00000000" w:rsidR="00000000" w:rsidRPr="00000000">
        <w:rPr>
          <w:rFonts w:ascii="Arial" w:cs="Arial" w:eastAsia="Arial" w:hAnsi="Arial"/>
          <w:b w:val="1"/>
          <w:bCs w:val="1"/>
          <w:rtl w:val="0"/>
        </w:rPr>
        <w:t xml:space="preserve">The interactional measure can itself be symmetrical in absolute value or not.</w:t>
      </w:r>
      <w:r w:rsidDel="00000000" w:rsidR="00000000" w:rsidRPr="00000000">
        <w:rPr>
          <w:rFonts w:ascii="Arial" w:cs="Arial" w:eastAsia="Arial" w:hAnsi="Arial"/>
          <w:rtl w:val="0"/>
        </w:rPr>
        <w:t xml:space="preserve"> For example, the amount of interaction between A and B is necessarily identical for A and B, while the amount of time A talks to B need not be the same as the amount of time B talks to A. For the data considered here, the former type of interactional measure was used - the amount of interaction observed for any dyad, regardless of direction. </w:t>
      </w:r>
      <w:r w:rsidDel="00000000" w:rsidR="00000000" w:rsidRPr="00000000">
        <w:rPr>
          <w:rFonts w:ascii="Arial" w:cs="Arial" w:eastAsia="Arial" w:hAnsi="Arial"/>
          <w:b w:val="1"/>
          <w:bCs w:val="1"/>
          <w:rtl w:val="0"/>
        </w:rPr>
        <w:t xml:space="preserve">However, even for such a measure, while A and B of necessity have the same absolute amount of interaction with each other in any observational period, that amount of interaction may be relatively high for A (who interacts little with C, D, E, etc.) and relatively low for B (who interacts much more with C, D, and E than with A)</w:t>
      </w:r>
      <w:r w:rsidDel="00000000" w:rsidR="00000000" w:rsidRPr="00000000">
        <w:rPr>
          <w:rFonts w:ascii="Arial" w:cs="Arial" w:eastAsia="Arial" w:hAnsi="Arial"/>
          <w:rtl w:val="0"/>
        </w:rPr>
        <w:t xml:space="preserve"> (191).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The proposition to be considered here is that </w:t>
      </w:r>
      <w:r w:rsidDel="00000000" w:rsidR="00000000" w:rsidRPr="00000000">
        <w:rPr>
          <w:rFonts w:ascii="Arial" w:cs="Arial" w:eastAsia="Arial" w:hAnsi="Arial"/>
          <w:b w:val="1"/>
          <w:bCs w:val="1"/>
          <w:rtl w:val="0"/>
        </w:rPr>
        <w:t xml:space="preserve">when individuals rate or rank their co-interactants in terms of relative amount of direct interaction, they integrate information on indirect connections, so that they are more likely to rate high those relatively frequent co-interactants for whom they, in turn, are relatively frequent co-interactants, than those who interact with others more than with them</w:t>
      </w:r>
      <w:r w:rsidDel="00000000" w:rsidR="00000000" w:rsidRPr="00000000">
        <w:rPr>
          <w:rFonts w:ascii="Arial" w:cs="Arial" w:eastAsia="Arial" w:hAnsi="Arial"/>
          <w:rtl w:val="0"/>
        </w:rPr>
        <w:t xml:space="preserve">. It might be pointed out that this proposition is opposite to the theoretically plausible proposition that cognitive social choices are biased towards high status, if behavioral social centrality in the group is taken as an index of status (Hammer 1985:  191).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summary, participants' reports of their interactions are systematically related to their interactions as observed by the investigator. Most simply, the likelihood of a participant rating someone as a high co-interactant is a regular function of the amount of interaction between the pair (Figure 1). However, the participants' cognitive reports are not a direct reflection of their behavior, but involve more complex processing. </w:t>
      </w:r>
      <w:r w:rsidDel="00000000" w:rsidR="00000000" w:rsidRPr="00000000">
        <w:rPr>
          <w:rFonts w:ascii="Arial" w:cs="Arial" w:eastAsia="Arial" w:hAnsi="Arial"/>
          <w:b w:val="1"/>
          <w:bCs w:val="1"/>
          <w:rtl w:val="0"/>
        </w:rPr>
        <w:t xml:space="preserve">For each participant's highest co-interactant, or highest set of co-interactants, the likelihood of rating them high cognitively is not only a function of their behavioral ranks, but also of their return ranks - i.e. the rater's relative behavioral position for the one being rated </w:t>
      </w:r>
      <w:r w:rsidDel="00000000" w:rsidR="00000000" w:rsidRPr="00000000">
        <w:rPr>
          <w:rFonts w:ascii="Arial" w:cs="Arial" w:eastAsia="Arial" w:hAnsi="Arial"/>
          <w:rtl w:val="0"/>
        </w:rPr>
        <w:t xml:space="preserve">(Figures 2-5). Moreover, this is true at all absolute levels of interaction (Figure 6). Similarly, reciprocally high cognitive ratings reflect behavior well, while non-reciprocally high cognitive ratings do not (Figure 7) (Hammer 1985:  200).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As the literature clearly shows, participant' reports on their interactions with each other are related to their observed interactions, but do not coincide with them. The analyses undertaken here indicate that the discrepancies between the two kinds of data are systematic, and that the cognitive data reflect an integration of the participants' direct relationships with each other into the set of relationships they observe as well as participate in. Participants tend to discount their relatively high frequency co-interactants for whom they, in turn, are relatively low frequency co-interactants, in favor of those with whom they are reciprocally high. Thus, in reporting their direct relationships, they are in effect codifying them in terms of indirect relationships - namely, the relationships their co-interactants have with thers in the set (Figures 2-6). In other words, when you ask people about their dyadic relationships, they give you instead their place in the system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(Hammer 1985:  200).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rPr>
      </w:pPr>
      <w:r w:rsidDel="00000000" w:rsidR="00000000" w:rsidRPr="00000000">
        <w:rPr>
          <w:rFonts w:ascii="Verdana" w:cs="Verdana" w:eastAsia="Verdana" w:hAnsi="Verdana"/>
          <w:rtl w:val="0"/>
        </w:rPr>
        <w:t xml:space="preserve">Both Rainio (1966) and Tuma and Hallinan (1978) find that similarity and status are major determinants of friendship formation and dissolution.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model of friendship to be adopted here assumes that friendship formation is a sequential process having four elements. First, P must desire to have 0 as a friend (attraction). Second, P must initiate a move to establish a friendship with 0. Third, 0 must recognize P’s overture of friendship. Fourth, 0 must reciprocate P’s offer of friendship (Hallinan 1978: 194).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Considerable theoretical support for this friendship model can be found in the literature. The process of making friends has been conceptualized as a series of tentative moves on the part of one person toward another. The initiator of the friendship offer generally has lower status than the recipient. Each response of the higher status person generates the next move in the process. A favorable response leads to another overture of friendship by the lower status person while an unfavorable response or series of responses results in a withdrawal of the friendship offer (Goffman 1963). Similarly, it is argued that friendship begins when a higher status person accepts an offer of friendship by a lower status person (Wailer 1938). Exchange theorists claim that the friendship process involves a cost benefit analysis: after a friendship offer is made the recipient compares the advantages and disadvantages of the possible friendship and responds positively if the relationship is perceived to be rewarding and negatively if it is viewed as too costly...(Hallinan 1978: 194).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These theoretical notions of friendship formation imply that establishing a friendship involves an offer and its acceptance. The dissolution of an existing friendship or the failure to make a new one involves the rejection of an offer followed by its withdrawal. This suggests that an asymmetric dyad represents an unfinished interaction that will change to a mutual or a nulldyad when the friendship offer is responded to.  Consequently, asymmetric dyads are expected to be relatively unstable and to have a short duration (Hallinan 1978: 194).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 friendship between two people can emerge only when their paths cross in the first place: they will have to ‘‘meet’’ before they can even ‘‘mate.’’ That they actually meet is more likely if there is opportunity, by sharing, for example, the same living, school, or work environment, or if their social networks overlap (Fehr, 1996). Once two people meet, whetheror not they decide to pursue a friendship, depends on many factors. The structural context not only determines whether individuals meet, but also influences other important factors such as visibility and propinquity: increased visibility and exposure increase the likelihood of becoming friends. Moreover, a friendship is more likely to come into existence if each individual perceives the other as attractive, responsive, and in particular, similar in a variety of ways (van Duijn et al 2003: 154).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Our main research question is: </w:t>
      </w:r>
      <w:r w:rsidDel="00000000" w:rsidR="00000000" w:rsidRPr="00000000">
        <w:rPr>
          <w:i w:val="1"/>
          <w:iCs w:val="1"/>
          <w:u w:val="single"/>
          <w:rtl w:val="0"/>
        </w:rPr>
        <w:t xml:space="preserve">What </w:t>
      </w:r>
      <w:r w:rsidDel="00000000" w:rsidR="00000000" w:rsidRPr="00000000">
        <w:rPr>
          <w:i w:val="1"/>
          <w:iCs w:val="1"/>
          <w:rtl w:val="0"/>
        </w:rPr>
        <w:t xml:space="preserve">kinds of individual and network variables explain changes over time within a friendship network? At what stages, and why, are these variables important? </w:t>
      </w:r>
      <w:r w:rsidDel="00000000" w:rsidR="00000000" w:rsidRPr="00000000">
        <w:rPr>
          <w:rtl w:val="0"/>
        </w:rPr>
        <w:t xml:space="preserve">We do not consider structure per se, but we are interested in changes in this structure and the relevance of different kinds of variables in explaining these changes, i.e., infriendships that emerge and disappear.We expect that different factors play different roles at different stages of the friendship development. Little is known about what drives changes at different stages. Friendship structures have been analyzed extensively whereas changes over time rarely. In this respect our study can be regarded as an extension of the work by Van de Bunt (1999), who collected and analyzed longitudinal friendship network data of both freshmen students and of hospital workers. For the freshmen students he found that the opportunity effects were more, and longer, important, than similarity effects. His findings on structural effects were inconclusive. Here, we try to fill in two major gaps in the study on friendship formation by explicitly distinguishing different stages in the friendship development process: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1. Little is known about the role of visible and invisible similarity at different stages of the friendship development, especially in relation with the effect of opportunity (or proximity) variables.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2. Little attention is given to the network structure itself. The development of a network of dyadic relationships provides opportunities for new relations to emerge (van Duijn et al 2003: 155).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Refs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Rainio, 1966. K. Rainio , A study of sociometric group structure: an application of a stochastic theory of social interaction. In: J. Berger, M. Zelditch and B. Anderson, Editors, </w:t>
      </w:r>
      <w:r w:rsidDel="00000000" w:rsidR="00000000" w:rsidRPr="00000000">
        <w:rPr>
          <w:i w:val="1"/>
          <w:iCs w:val="1"/>
          <w:rtl w:val="0"/>
        </w:rPr>
        <w:t xml:space="preserve">Sociological Theories in Progress</w:t>
      </w:r>
      <w:r w:rsidDel="00000000" w:rsidR="00000000" w:rsidRPr="00000000">
        <w:rPr>
          <w:rtl w:val="0"/>
        </w:rPr>
        <w:t xml:space="preserve"> Vol. 1, Houghton Mifflin, Boston (1966).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Davis, James A.  1970.  "Clustering and Hierarchy in Interpersonal Relations: Testing Two Graph Theoretical Models on 742 Sociomatrices." American Sociological Review 35: 843-851.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Tuma and Hallinan, 1978. N.B. Tuma and M.T. Hallinan , The effects of sex, race and achievement on schoolchildren's friendships. </w:t>
      </w:r>
      <w:r w:rsidDel="00000000" w:rsidR="00000000" w:rsidRPr="00000000">
        <w:rPr>
          <w:i w:val="1"/>
          <w:iCs w:val="1"/>
          <w:rtl w:val="0"/>
        </w:rPr>
        <w:t xml:space="preserve">Social Forces</w:t>
      </w:r>
      <w:r w:rsidDel="00000000" w:rsidR="00000000" w:rsidRPr="00000000">
        <w:rPr>
          <w:rtl w:val="0"/>
        </w:rPr>
        <w:t xml:space="preserve"> (1978).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Hays, R. B. 1984. “The development and maintenance of friendship</w:t>
      </w:r>
      <w:r w:rsidDel="00000000" w:rsidR="00000000" w:rsidRPr="00000000">
        <w:rPr>
          <w:i w:val="1"/>
          <w:iCs w:val="1"/>
          <w:rtl w:val="0"/>
        </w:rPr>
        <w:t xml:space="preserve">.</w:t>
      </w:r>
      <w:r w:rsidDel="00000000" w:rsidR="00000000" w:rsidRPr="00000000">
        <w:rPr>
          <w:rtl w:val="0"/>
        </w:rPr>
        <w:t xml:space="preserve">”</w:t>
      </w:r>
      <w:r w:rsidDel="00000000" w:rsidR="00000000" w:rsidRPr="00000000">
        <w:rPr>
          <w:i w:val="1"/>
          <w:iCs w:val="1"/>
          <w:rtl w:val="0"/>
        </w:rPr>
        <w:t xml:space="preserve"> Journal of Social and Personal Relationships </w:t>
      </w:r>
      <w:r w:rsidDel="00000000" w:rsidR="00000000" w:rsidRPr="00000000">
        <w:rPr>
          <w:rtl w:val="0"/>
        </w:rPr>
        <w:t xml:space="preserve">1:  75-98.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rPr>
      </w:pPr>
      <w:r w:rsidDel="00000000" w:rsidR="00000000" w:rsidRPr="00000000">
        <w:rPr>
          <w:rFonts w:ascii="Verdana" w:cs="Verdana" w:eastAsia="Verdana" w:hAnsi="Verdana"/>
          <w:rtl w:val="0"/>
        </w:rPr>
        <w:t xml:space="preserve">Hallinan, Maureen T., The process of friendship formation, Social Networks, Volume 1, Issue 2, 1978-1979, Pages 193-210.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i w:val="0"/>
          <w:iCs w:val="0"/>
        </w:rPr>
      </w:pPr>
      <w:r w:rsidDel="00000000" w:rsidR="00000000" w:rsidRPr="00000000">
        <w:rPr>
          <w:rFonts w:ascii="Verdana" w:cs="Verdana" w:eastAsia="Verdana" w:hAnsi="Verdana"/>
          <w:rtl w:val="0"/>
        </w:rPr>
        <w:t xml:space="preserve">van Duijn,  Marijtje J. A.,  Evelien P. H. Zeggelink,  Mark Huisman, Frans N. Stokman  and Frans W. Wasseur.  2003. “Evolution Of Sociology Freshmen Into A Friendship Network.” </w:t>
      </w:r>
      <w:r w:rsidDel="00000000" w:rsidR="00000000" w:rsidRPr="00000000">
        <w:rPr>
          <w:rFonts w:ascii="Verdana" w:cs="Verdana" w:eastAsia="Verdana" w:hAnsi="Verdana"/>
          <w:i w:val="1"/>
          <w:iCs w:val="1"/>
          <w:rtl w:val="0"/>
        </w:rPr>
        <w:t xml:space="preserve">Journal Of </w:t>
      </w:r>
      <w:r w:rsidDel="00000000" w:rsidR="00000000" w:rsidRPr="00000000">
        <w:rPr>
          <w:rFonts w:ascii="Verdana" w:cs="Verdana" w:eastAsia="Verdana" w:hAnsi="Verdana"/>
          <w:i w:val="0"/>
          <w:iCs w:val="0"/>
          <w:rtl w:val="0"/>
        </w:rPr>
        <w:t xml:space="preserve">Mathematical Sociology 27:  153-191.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i w:val="0"/>
          <w:iCs w:val="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Verdana" w:cs="Verdana" w:eastAsia="Verdana" w:hAnsi="Verdana"/>
          <w:i w:val="0"/>
          <w:iCs w:val="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i w:val="0"/>
          <w:iCs w:val="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i w:val="0"/>
          <w:iCs w:val="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i w:val="0"/>
          <w:iCs w:val="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i w:val="0"/>
          <w:iC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sz w:val="24"/>
      <w:szCs w:val="24"/>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x.doi.org/10.1016/0378-8733%2885%2990005-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