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Patriotism as a Choice Process: National Pride After 9/11\thanks{Direct correspondence to Omar Lizardo, Department of Sociology, University of California, Los Angeles, 264 Haines Hall, 375 Portola Plaza, Los Angeles, CA, 90095 (\href{mailto:olizardo@soc.ucla.edu</w:t>
      </w:r>
    </w:p>
    <w:p>
      <w:pPr>
        <w:jc w:val="center"/>
      </w:pPr>
      <w:r>
        <w:t>Omar Lizardo</w:t>
      </w:r>
    </w:p>
    <w:p/>
    <w:p>
      <w:pPr>
        <w:pStyle w:val="Heading2"/>
      </w:pPr>
      <w:r>
        <w:t>Abstract</w:t>
      </w:r>
    </w:p>
    <w:p>
      <w:r>
        <w:t>Which groups are more likely to experience increased national pride after a threat to the nation? Using survey data on a representative sample of Americans collected before and during the post-9/11 period in the United States---with the September 11 attacks serving as the catalyzing event for a broader climate of national mobilization that included the onset of the wars in Afghanistan and Iraq---this paper adjudicates between competing hypotheses regarding the socio-demographic distribution of national pride. Theories of ``irrational patriotism'' and needs-based attachment predict that lower-status individuals will experience the largest increase in national pride. In contrast, Lawler's choice-process approach suggests that higher-status individuals---who experience greater autonomy and are more likely to be embedded in nested voluntary associations---will be more likely to increase their affective attachment to the national collectivity under a ``distal'' attribution rule. Results from the General Social Survey (1996 and 2004) support choice-process theory, showing that educated individuals and members of specific nested subgroups experienced the largest increases in national pride after 9/11.</w:t>
      </w:r>
    </w:p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