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t>Response to Reviewers and Editors</w:t>
      </w:r>
    </w:p>
    <w:p>
      <w:r>
        <w:t>Manuscript Number: SPQ-26-0082</w:t>
      </w:r>
    </w:p>
    <w:p>
      <w:r>
        <w:t>Submitted: October 2026</w:t>
      </w:r>
    </w:p>
    <w:p/>
    <w:p>
      <w:pPr>
        <w:pStyle w:val="Heading1"/>
      </w:pPr>
      <w:r>
        <w:t>Overview and Letter to the Editors</w:t>
      </w:r>
    </w:p>
    <w:p>
      <w:r>
        <w:t>Dear Professors Walker and Dippong,</w:t>
      </w:r>
    </w:p>
    <w:p>
      <w:r>
        <w:t>Thank you for the opportunity to revise and resubmit my manuscript, retitled Affective Attachment to the U.S. as a Choice Process: National Pride After 9/11 (SPQ-26-0082), for publication in Social Psychology Quarterly. I am grateful to you and the two reviewers for the careful, constructive reading of the paper. Their comments pushed me to spell out the theoretical mechanisms underlying my two competing perspectives in much greater detail, justify and expand my empirical and modeling strategy, and substantially polish the manuscript's presentation and flow.</w:t>
      </w:r>
    </w:p>
    <w:p>
      <w:r>
        <w:t>In response to this feedback, I have thoroughly revised the manuscript. Below, I provide a point-by-point response to every issue raised by the editors and the two reviewers. In summary, my primary revisions include: (1) substantially expanding the theoretical mechanism sections to explain why 9/11 should weaken the proximal attribution rule and strengthen the distal rule, and why saliency should be stronger for individuals embedded in nested subgroups, grounding both claims in Lawler's (1992) own boundary conditions and in ; (2) adding a dedicated discussion of the 9/11 event itself, its national-scale character, and its relation to prior empirical work on 9/11 and comparable threat events ; (3) adding a full Analytic Strategy subsection justifying my modeling choices, including a heteroskedasticity-robust standard-error check; (4) completing the introduction and moving the descriptive statistics table into the main text; (5) integrating the treatment of Social Identity Theory into the main text and clarifying its relationship to the authoritarian-personality tradition, per Reviewer 2; (6) introducing the proximal/distal distinction earlier, in the Introduction; (7) a general copyediting and polish pass throughout; (8) removing the supplemental political-ideology appendix in favor of a footnote, per Reviewer 2; and (9) replacing the undefined term ``excessive'' attachment with Schatz, Staub, and Lavine's (1999) qualitative ``blind patriotism'' construct, per Reviewer 1.</w:t>
      </w:r>
    </w:p>
    <w:p>
      <w:r>
        <w:t>Below, I detail each editor and reviewer comment verbatim, followed by the precise location in the revised manuscript and my substantive response.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