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386"/>
      </w:tblGrid>
      <w:tr w:rsidR="00C54600" w:rsidRPr="00C02112" w:rsidTr="00CF3636">
        <w:tc>
          <w:tcPr>
            <w:tcW w:w="5529" w:type="dxa"/>
          </w:tcPr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№ 19-Б келісім</w:t>
            </w:r>
          </w:p>
          <w:p w:rsidR="00C54600" w:rsidRPr="00C02112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</w:t>
            </w: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C02112" w:rsidRDefault="001A1FE4" w:rsidP="004D6C2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AA0834" w:rsidRPr="00C02112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қоғамының 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 жылғы 1 қазандағы № 202-ө «Еңбек ресурстарын дамыту орталығы» АҚ Президентінің «Еңбек ресурстарын дамыту орталығы» акционерлік қоғамының П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 және басқарушы директорлары арасында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ғы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міндеттері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бөлу туралы» бұйрығы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ның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негізінде әрекет ететін басқарушы директор </w:t>
            </w:r>
            <w:r w:rsid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Тлеуов Нуркен Орынбекович</w:t>
            </w:r>
            <w:bookmarkStart w:id="0" w:name="_GoBack"/>
            <w:bookmarkEnd w:id="0"/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атынан бір жағынан және Положение негізінде әрекет ететін Государственные предприятия «FlowPort»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4D6C2A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321 атынан,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19-Б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C0211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город Нур-Султан                                                                «15» июня 2021 года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в лице управляющего директора выступает Тлеуов Нуркен Орынбекович,             действующий на основании приказа Президента АО «Центр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развития трудовых ресурсов» от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октября 2020 года № 202-ө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ресурсов», с одной стороны и Государственные предприятия «FlowPort» в лице  выступает 321, </w:t>
            </w:r>
            <w:bookmarkStart w:id="1" w:name="_Hlk68014966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1"/>
          </w:p>
          <w:p w:rsidR="00C54600" w:rsidRPr="00C02112" w:rsidRDefault="00DB4E22" w:rsidP="00DB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Положение, именуемый(-ая) в дальнейшем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с другой стороны, совместно именуемые как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 w:rsidRPr="00C0211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«ЕРДО» АҚ-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отырып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«ЕРДО» АҚ мен 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lastRenderedPageBreak/>
              <w:t>белгілі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C0211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C02112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C0211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C0211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C02112">
              <w:rPr>
                <w:sz w:val="24"/>
                <w:szCs w:val="24"/>
              </w:rPr>
              <w:t>обязуется</w:t>
            </w:r>
            <w:proofErr w:type="spellEnd"/>
            <w:r w:rsidRPr="00C02112">
              <w:rPr>
                <w:sz w:val="24"/>
                <w:szCs w:val="24"/>
              </w:rPr>
              <w:t>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C0211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C02112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C02112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3.4.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z2105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2"/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 этим, в срок, определенный АО «ЦРТР» в уведомлении.</w:t>
            </w:r>
          </w:p>
          <w:p w:rsidR="00C54600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02112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C02112"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C02112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4" w:name="z211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5" w:name="z2118"/>
            <w:bookmarkEnd w:id="4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3"/>
            <w:bookmarkEnd w:id="5"/>
          </w:p>
          <w:p w:rsidR="00C54600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Осы Келісім Тараптар қол қойған сәттен бастап күшіне енеді және 2021 жылғы 31 желтоқсанға дейін қолданылады.</w:t>
            </w:r>
          </w:p>
          <w:p w:rsidR="00C54600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2021 года.</w:t>
            </w:r>
          </w:p>
          <w:p w:rsidR="00C54600" w:rsidRPr="00C02112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6" w:name="z213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6"/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02112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z215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8" w:name="z1026"/>
            <w:bookmarkEnd w:id="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возникающие между ними по настоящему Соглашению или в связи с ним. 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8"/>
          </w:p>
          <w:p w:rsidR="005C2D5D" w:rsidRPr="00C02112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02112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170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02112" w:rsidTr="00CF3636">
        <w:trPr>
          <w:trHeight w:val="7075"/>
        </w:trPr>
        <w:tc>
          <w:tcPr>
            <w:tcW w:w="5529" w:type="dxa"/>
          </w:tcPr>
          <w:p w:rsidR="00C54600" w:rsidRPr="00C02112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C02112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C02112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«Еңбек ресурстарын дамыту орталығы»</w:t>
                  </w:r>
                </w:p>
                <w:p w:rsidR="00C20CF8" w:rsidRPr="00C02112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«Қазақстан халық банкі» АҚ</w:t>
                  </w:r>
                </w:p>
                <w:p w:rsidR="00C54600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1666C7" w:rsidRPr="00C02112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 басқарушы директоры»</w:t>
                  </w:r>
                  <w:r w:rsidR="006F2FF9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Н.О.Тлеуов</w:t>
                  </w:r>
                </w:p>
                <w:p w:rsidR="006F2FF9" w:rsidRPr="00C02112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__________________ </w:t>
                  </w:r>
                </w:p>
                <w:p w:rsidR="00C54600" w:rsidRPr="00C02112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қолы</w:t>
                  </w:r>
                  <w:proofErr w:type="spellEnd"/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1231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6528CD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Pr="00C02112" w:rsidRDefault="006F2FF9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C02112" w:rsidRPr="00C02112" w:rsidRDefault="00C02112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C02112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02112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02112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«Центр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02112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F76F9C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Управляющий директор </w:t>
                  </w:r>
                  <w:r w:rsidR="00F76F9C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6F2FF9" w:rsidRPr="00C02112" w:rsidRDefault="00F76F9C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Тлеуов Н.О.</w:t>
                  </w:r>
                </w:p>
                <w:p w:rsidR="00C02112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_________________</w:t>
                  </w:r>
                </w:p>
                <w:p w:rsidR="006528CD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C02112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1231 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F76F9C" w:rsidRPr="00C02112" w:rsidRDefault="00F76F9C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02112" w:rsidRDefault="006528CD">
                  <w:pPr>
                    <w:rPr>
                      <w:rFonts w:ascii="Times New Roman" w:hAnsi="Times New Roman" w:cs="Times New Roman"/>
                    </w:rPr>
                  </w:pP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C54600" w:rsidRPr="00C02112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Pr="00C02112" w:rsidRDefault="00E9466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527BC5" w:rsidRPr="00C02112" w:rsidRDefault="00527BC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156EDA" w:rsidRPr="00C02112" w:rsidRDefault="00156EDA">
      <w:pPr>
        <w:rPr>
          <w:rFonts w:ascii="Times New Roman" w:hAnsi="Times New Roman" w:cs="Times New Roman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02112" w:rsidTr="00387C53">
        <w:tc>
          <w:tcPr>
            <w:tcW w:w="5501" w:type="dxa"/>
          </w:tcPr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 </w:t>
            </w:r>
          </w:p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тегін курсқа қол </w:t>
            </w:r>
          </w:p>
          <w:p w:rsidR="006F2FF9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жеткізгісі келетін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  <w:r w:rsidR="00156EDA" w:rsidRP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19-Б келісімге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1A58A4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Pr="00C02112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C02112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зияткерлік меншік объектілері)  жиынтығын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қамтитын оқу материалдарының сапасына кепілдік береді.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C02112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19-Б </w:t>
            </w: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«15» июня 2021 года</w:t>
            </w:r>
          </w:p>
          <w:p w:rsidR="009D714A" w:rsidRPr="00C02112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Pr="00C02112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C02112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Pr="00C02112" w:rsidRDefault="009D714A" w:rsidP="009D71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көрсету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        </w:t>
            </w:r>
            <w:proofErr w:type="gram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«</w:t>
            </w:r>
            <w:proofErr w:type="gram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тарапынан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шығындарсыз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C02112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C02112" w:rsidRDefault="009D714A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 Автор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«112312» тақырыбы бойынша; 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«IT и телекоммуникации, HR и секретариат» </w:t>
            </w:r>
            <w:r w:rsidRPr="00C02112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«IT и телекоммуникации, HR и секретариат» мамандық (-тар)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келесі дағды (-лар) бойынша: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Оқу мазмұнының төмендегі сандық және сапалық көрсеткіштерін көрсете отырып, ұзақтығы 0 сағат курсты ұсыну: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Оқу мазмұны форматтарының саны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Бақылау-өлшеу материалдарының болуы Промежуточный тест или практическое задание разработаны по некоторым урокам;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деңгейі:0</w:t>
            </w:r>
          </w:p>
          <w:p w:rsidR="00387C53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_Нет;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Ерекше білім берілуіне қажеттілігі бар адамдар үшін бейімделу Учебный контент адаптирован только для лиц с нарушениями слуха или только для лиц с нарушениями зрения;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зды тұстары (200 таңбаға дейін): 
                <p>123123123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1231231</p>
              </w:t>
            </w:r>
          </w:p>
          <w:p w:rsidR="00203BD0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3.6 Басқа ресурстарда, оның ішінде Youtube-те орналастырылған курстың бейне, аудио материалдарына сілтемелер ұсыну </w:t>
            </w:r>
            <w:r w:rsidR="00203BD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https://www.youtube.com/watch?v=akimwg8k_3A, https://skills.test//users/user_51/courses/audios/609f781b2250c_file_example_MP3_1MG (1).mp3.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ұсыну: https://youtube.com, https://skills.test//users/user_51/courses/audios/60c3719324688_test.mp3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«112312»; 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0 часа(-ов) с указанием количественных и качественных показателей учебного контента: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Промежуточный тест или практическое задание разработаны по некоторым урокам;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4. Использование государственного языка: Нет;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Адаптированность для лиц с особыми образовательными потребностями: Учебный контент адаптирован только для лиц с нарушениями слуха или только для лиц с нарушениями зрения;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</p>
              </w:t>
            </w:r>
          </w:p>
          <w:p w:rsidR="009D714A" w:rsidRPr="00C02112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https://www.youtube.com/watch?v=akimwg8k_3A, https://skills.test//users/user_51/courses/audios/609f781b2250c_file_example_MP3_1MG (1).mp3.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https://youtube.com, https://skills.test//users/user_51/courses/audios/60c3719324688_test.mp3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Pr="00C02112" w:rsidRDefault="009D714A">
      <w:pPr>
        <w:rPr>
          <w:rFonts w:ascii="Times New Roman" w:hAnsi="Times New Roman" w:cs="Times New Roman"/>
        </w:rPr>
      </w:pPr>
    </w:p>
    <w:sectPr w:rsidR="009D714A" w:rsidRPr="00C02112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EB6397"/>
    <w:multiLevelType w:val="hybridMultilevel"/>
    <w:tmpl w:val="633EA856"/>
    <w:numStyleLink w:val="6"/>
  </w:abstractNum>
  <w:abstractNum w:abstractNumId="2">
    <w:nsid w:val="01FB2055"/>
    <w:multiLevelType w:val="multilevel"/>
    <w:tmpl w:val="CF70AB18"/>
    <w:numStyleLink w:val="1"/>
  </w:abstractNum>
  <w:abstractNum w:abstractNumId="3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240B8"/>
    <w:multiLevelType w:val="hybridMultilevel"/>
    <w:tmpl w:val="ECE0E6EC"/>
    <w:numStyleLink w:val="8"/>
  </w:abstractNum>
  <w:abstractNum w:abstractNumId="5">
    <w:nsid w:val="0DDB3F71"/>
    <w:multiLevelType w:val="hybridMultilevel"/>
    <w:tmpl w:val="D606411A"/>
    <w:numStyleLink w:val="7"/>
  </w:abstractNum>
  <w:abstractNum w:abstractNumId="6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15542C"/>
    <w:multiLevelType w:val="multilevel"/>
    <w:tmpl w:val="D96E08D8"/>
    <w:numStyleLink w:val="3"/>
  </w:abstractNum>
  <w:abstractNum w:abstractNumId="1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2A3703"/>
    <w:multiLevelType w:val="multilevel"/>
    <w:tmpl w:val="12E063EA"/>
    <w:numStyleLink w:val="4"/>
  </w:abstractNum>
  <w:abstractNum w:abstractNumId="19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A634362"/>
    <w:multiLevelType w:val="multilevel"/>
    <w:tmpl w:val="071AE162"/>
    <w:numStyleLink w:val="2"/>
  </w:abstractNum>
  <w:abstractNum w:abstractNumId="24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54024D2"/>
    <w:multiLevelType w:val="multilevel"/>
    <w:tmpl w:val="AE907D62"/>
    <w:numStyleLink w:val="5"/>
  </w:abstractNum>
  <w:abstractNum w:abstractNumId="26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9ACE6590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56EDA"/>
    <w:rsid w:val="001666C7"/>
    <w:rsid w:val="001753B7"/>
    <w:rsid w:val="001A1FE4"/>
    <w:rsid w:val="001A58A4"/>
    <w:rsid w:val="001D281F"/>
    <w:rsid w:val="00202023"/>
    <w:rsid w:val="00203BD0"/>
    <w:rsid w:val="00215AB1"/>
    <w:rsid w:val="003464B0"/>
    <w:rsid w:val="00370EE5"/>
    <w:rsid w:val="00387C53"/>
    <w:rsid w:val="003C622D"/>
    <w:rsid w:val="003E7FCD"/>
    <w:rsid w:val="00434960"/>
    <w:rsid w:val="004478DE"/>
    <w:rsid w:val="00447BE6"/>
    <w:rsid w:val="004A1C2E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D7CB7"/>
    <w:rsid w:val="007E10F7"/>
    <w:rsid w:val="00834B0A"/>
    <w:rsid w:val="008564C4"/>
    <w:rsid w:val="008B21A9"/>
    <w:rsid w:val="008D0E64"/>
    <w:rsid w:val="008F4BAC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D7686"/>
    <w:rsid w:val="00BE0466"/>
    <w:rsid w:val="00BF1CF8"/>
    <w:rsid w:val="00BF71DC"/>
    <w:rsid w:val="00C00541"/>
    <w:rsid w:val="00C02112"/>
    <w:rsid w:val="00C14D23"/>
    <w:rsid w:val="00C20CF8"/>
    <w:rsid w:val="00C40462"/>
    <w:rsid w:val="00C54600"/>
    <w:rsid w:val="00C90931"/>
    <w:rsid w:val="00CF3636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9C93-2326-43CA-BEB0-3C2D7123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Пользователь Windows</cp:lastModifiedBy>
  <cp:revision>10</cp:revision>
  <cp:lastPrinted>2021-03-01T03:46:00Z</cp:lastPrinted>
  <dcterms:created xsi:type="dcterms:W3CDTF">2021-06-15T05:37:00Z</dcterms:created>
  <dcterms:modified xsi:type="dcterms:W3CDTF">2021-06-15T11:19:00Z</dcterms:modified>
</cp:coreProperties>
</file>