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239-Б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2021 жылғы Шілде «1»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Ереже негізінде әрекет ететін Жедел басқару құқығындағы мемлекеттік кәсіпорын (қазыналық) «FlowPort2»,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Должность кз 321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239-Б</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июля 2021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Государственное предприятие на праве оперативного управления  (казенные) «FlowPort2» в лице Должность ру выступает 321, действующий (ая) на основании Положения,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2021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2021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2B53F1">
        <w:trPr>
          <w:trHeight w:val="654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Default="008835BF"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Жедел басқару құқығындағы мемлекеттік кәсіпорын (қазыналық) «FlowPort2»</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Адрес кз</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111112232323</w:t>
            </w:r>
          </w:p>
          <w:p w:rsidR="008835BF" w:rsidRPr="00863B61" w:rsidRDefault="008835BF" w:rsidP="00585A35">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ЖСК KZ122222222222222222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11</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"Kaspi Bank" АҚ</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232323232323DFDFDFDFDFFFG</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Должность кз</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321</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9F2E8E"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00234932" w:rsidRPr="00863B61">
              <w:rPr>
                <w:rFonts w:ascii="Times New Roman" w:eastAsia="Times New Roman" w:hAnsi="Times New Roman" w:cs="Times New Roman"/>
                <w:sz w:val="24"/>
                <w:szCs w:val="24"/>
              </w:rPr>
              <w:t>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Default="00234932"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Государственное предприятие на праве оперативного управления  (казенные) «FlowPort2»</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Адрес ру</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111112232323</w:t>
            </w:r>
          </w:p>
          <w:p w:rsidR="00234932" w:rsidRPr="00863B61" w:rsidRDefault="00585A35"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w:t>
            </w:r>
            <w:r w:rsidR="00234932" w:rsidRPr="00863B61">
              <w:rPr>
                <w:rFonts w:ascii="Times New Roman" w:eastAsia="Times New Roman" w:hAnsi="Times New Roman" w:cs="Times New Roman"/>
                <w:sz w:val="24"/>
                <w:szCs w:val="24"/>
              </w:rPr>
              <w:t xml:space="preserve"> KZ122222222222222222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11</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АО "Kaspi Bank"</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232323232323DFDFDFDFDFFFG</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Должность ру</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321</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2021 жылғы Шілде</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«1»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239-Б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239-Б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«1» июля 2021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bookmarkStart w:id="10" w:name="_GoBack"/>
            <w:bookmarkEnd w:id="10"/>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1.6</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2.1.</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w:t>
            </w:r>
            <w:r w:rsidR="002B53F1" w:rsidRPr="002B53F1">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«123123»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«IT және телекоммуникациялар, HR және хатшылық»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0609C7">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«Web-мастер, IT-дизайнер, Web-әзірлеуші»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«Бойынша талаптарды зерттеу және талдау, Web-ресурсты кодтау және іске асыру, Жүйелік талдау бойынша жұмыстардың орындалуын бақылау, Қосымшаларды тестілеу қателерін тіркеуді үйлестіру, Дизайнды әзірлеу үшін есептерді талдау және қою, Ақпаратты өңдеу және есептеу жұмыстарын жүргізу, Интерфейстің дизайн стратегиясын анықтау».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мазмұнының төмендегі сандық және сапалық көрсеткіштерін көрсете отырып, ұзақтығы 0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 ақпаратты ұсынудың тек 1 форматында берілген;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Аралық тест немесе практикалық тапсырма әрбір сабақ бойынша әзірленген;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Жоқ;</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Бейімделмеген;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құрылымын толтыру (2000 таңбаға дейін):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Басқа ресурстарда, оның ішінде Youtube-те орналастырылған курстың бейне, аудио </w:t>
            </w:r>
            <w:r w:rsidRPr="00863B61">
              <w:rPr>
                <w:rFonts w:ascii="Times New Roman" w:eastAsia="Times New Roman" w:hAnsi="Times New Roman" w:cs="Times New Roman"/>
                <w:sz w:val="24"/>
                <w:szCs w:val="24"/>
              </w:rPr>
              <w:lastRenderedPageBreak/>
              <w:t>материалдарына сілтемелер ұсыну (бар болса)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Youtube-те орналастырылған ерекше білім беру қажеттіліктері бар адамдар үшін курстың бейне, аудио материалдарына сілтеме ұсыну: .</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 сәтті аяқтағаннан кейін</w:t>
            </w:r>
            <w:r w:rsidR="00C46876">
              <w:rPr>
                <w:rFonts w:ascii="Times New Roman" w:eastAsia="Times New Roman" w:hAnsi="Times New Roman" w:cs="Times New Roman"/>
                <w:sz w:val="24"/>
                <w:szCs w:val="24"/>
              </w:rPr>
              <w:t xml:space="preserve"> білім алушыға сертификат беру.</w:t>
            </w: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«123123»;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«IT и телекоммуникации, HR и секретариат»;</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«Web-мастер, IT-дизайнер, Web-разработчик»;</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«Исследование и анализ требований к ПО, Кодирование и реализация web-ресурса, Контроль выполнения работ по системному анализу, Координация регистрации ошибок тестирования приложений, Анализ и постановка задачи для разработки дизайна ПО, Обработка информации и проведение вычислительных работ, Определение стратегии дизайна  пользовательского интерфейса относительно функциональности  ПО».</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курса длительностью 0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r w:rsidR="006C068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Учебный контент представлен только в 1 формате представления информации (текст, изображение, аудио, видео, презентация, интерактивный контент);</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Промежуточный тест или практическое задание разработаны по каждому уроку;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Нет;</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Не адаптирован;</w:t>
            </w:r>
          </w:p>
          <w:p w:rsidR="00277A79" w:rsidRPr="009F2E8E"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Заполнение структуры курса (до 2000 символов):</w:t>
            </w:r>
            <w:r w:rsidR="00D87E9B">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qweqwe</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w:t>
            </w:r>
            <w:r w:rsidRPr="00863B61">
              <w:rPr>
                <w:rFonts w:ascii="Times New Roman" w:eastAsia="Times New Roman" w:hAnsi="Times New Roman" w:cs="Times New Roman"/>
                <w:sz w:val="24"/>
                <w:szCs w:val="24"/>
              </w:rPr>
              <w:lastRenderedPageBreak/>
              <w:t>ресурсах, в том числе на Youtube (при наличии):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Выдача сертификата обучающемуся после успешного окончания курса.</w:t>
            </w:r>
          </w:p>
        </w:tc>
      </w:tr>
    </w:tbl>
    <w:p w:rsidR="00277A79" w:rsidRPr="00863B61" w:rsidRDefault="00277A79" w:rsidP="00C46876">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277A79"/>
    <w:rsid w:val="000609C7"/>
    <w:rsid w:val="000B446F"/>
    <w:rsid w:val="001C16AB"/>
    <w:rsid w:val="00234932"/>
    <w:rsid w:val="00277A79"/>
    <w:rsid w:val="002B2A06"/>
    <w:rsid w:val="002B53F1"/>
    <w:rsid w:val="003C5D58"/>
    <w:rsid w:val="0041179E"/>
    <w:rsid w:val="004B3F3F"/>
    <w:rsid w:val="00585A35"/>
    <w:rsid w:val="006C0687"/>
    <w:rsid w:val="00857E3C"/>
    <w:rsid w:val="00863B61"/>
    <w:rsid w:val="008835BF"/>
    <w:rsid w:val="009F2E8E"/>
    <w:rsid w:val="00A4581A"/>
    <w:rsid w:val="00A57F9C"/>
    <w:rsid w:val="00B050A3"/>
    <w:rsid w:val="00B14495"/>
    <w:rsid w:val="00C46876"/>
    <w:rsid w:val="00C51721"/>
    <w:rsid w:val="00D87E9B"/>
    <w:rsid w:val="00E00042"/>
    <w:rsid w:val="00E41D98"/>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3229</Words>
  <Characters>18409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17</cp:revision>
  <dcterms:created xsi:type="dcterms:W3CDTF">2021-06-23T14:38:00Z</dcterms:created>
  <dcterms:modified xsi:type="dcterms:W3CDTF">2021-06-29T09:25:00Z</dcterms:modified>
</cp:coreProperties>
</file>