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41-Б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41-Б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41-Б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41-Б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$adaptive;</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$adaptive;</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