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47-Б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47-Б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47-Б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47-Б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${duration}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${attachments_forms_count};</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${practice_status};</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_${lang};</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${poor_status};</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Курстың құрылымын толтыру (2000 таңбаға дейін): ${profit_desc}</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${attachments}.</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${attachments_poor}.</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${duration}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${attachments_forms_count};</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${practice_status};</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${lang};</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${poor_status};</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${teaser}</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${profit_desc}</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${attachments}.</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