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Pr="00243517">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негізінде әрекет ететін ${type_of_ownership</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rPr>
              <w:t xml:space="preserve">}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E47A34">
            <w:pPr>
              <w:spacing w:after="0" w:line="240" w:lineRule="auto"/>
              <w:ind w:left="5" w:right="34"/>
              <w:jc w:val="both"/>
              <w:rPr>
                <w:rFonts w:ascii="Times New Roman" w:eastAsia="Times New Roman" w:hAnsi="Times New Roman" w:cs="Times New Roman"/>
                <w:sz w:val="24"/>
                <w:szCs w:val="24"/>
              </w:rPr>
            </w:pPr>
            <w:bookmarkStart w:id="2" w:name="_heading=h.1fob9te" w:colFirst="0" w:colLast="0"/>
            <w:bookmarkEnd w:id="2"/>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 xml:space="preserve">} «${company_name}» в лице </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выступает ${fio_director}, действующий (ая) на основании ${base</w:t>
            </w:r>
            <w:r w:rsidR="00C77B81">
              <w:rPr>
                <w:rFonts w:ascii="Times New Roman" w:eastAsia="Times New Roman" w:hAnsi="Times New Roman" w:cs="Times New Roman"/>
                <w:sz w:val="24"/>
                <w:szCs w:val="24"/>
                <w:lang w:val="ru-RU"/>
              </w:rPr>
              <w:t>_</w:t>
            </w:r>
            <w:proofErr w:type="spellStart"/>
            <w:r w:rsidR="00C77B81">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 xml:space="preserv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w:t>
            </w:r>
            <w:r w:rsidR="0040098C" w:rsidRPr="00243517">
              <w:rPr>
                <w:rFonts w:ascii="Times New Roman" w:eastAsia="Times New Roman" w:hAnsi="Times New Roman" w:cs="Times New Roman"/>
                <w:color w:val="000000"/>
                <w:sz w:val="24"/>
                <w:szCs w:val="24"/>
              </w:rPr>
              <w:lastRenderedPageBreak/>
              <w:t>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w:t>
            </w:r>
            <w:r w:rsidR="0040098C" w:rsidRPr="00243517">
              <w:rPr>
                <w:rFonts w:ascii="Times New Roman" w:eastAsia="Times New Roman" w:hAnsi="Times New Roman" w:cs="Times New Roman"/>
                <w:color w:val="000000"/>
                <w:sz w:val="24"/>
                <w:szCs w:val="24"/>
              </w:rPr>
              <w:lastRenderedPageBreak/>
              <w:t>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3.2. Автор портал арқылы «ЕРДО» АҚ өкілдеріне </w:t>
            </w:r>
            <w:r w:rsidRPr="00243517">
              <w:rPr>
                <w:rFonts w:ascii="Times New Roman" w:eastAsia="Times New Roman" w:hAnsi="Times New Roman" w:cs="Times New Roman"/>
                <w:sz w:val="24"/>
                <w:szCs w:val="24"/>
              </w:rPr>
              <w:lastRenderedPageBreak/>
              <w:t>Қызмет көрсету процесіне қатысты мәселелер 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4) соблюдать нормы законодательства Республики Казахстан в части интеллектуальной </w:t>
            </w:r>
            <w:r w:rsidRPr="00243517">
              <w:rPr>
                <w:rFonts w:ascii="Times New Roman" w:eastAsia="Times New Roman" w:hAnsi="Times New Roman" w:cs="Times New Roman"/>
                <w:sz w:val="24"/>
                <w:szCs w:val="24"/>
              </w:rPr>
              <w:lastRenderedPageBreak/>
              <w:t>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sidRPr="00243517">
              <w:rPr>
                <w:rFonts w:ascii="Times New Roman" w:eastAsia="Times New Roman" w:hAnsi="Times New Roman" w:cs="Times New Roman"/>
                <w:sz w:val="24"/>
                <w:szCs w:val="24"/>
              </w:rPr>
              <w:t>4.1.</w:t>
            </w:r>
            <w:bookmarkStart w:id="4" w:name="bookmark=id.2et92p0" w:colFirst="0" w:colLast="0"/>
            <w:bookmarkEnd w:id="4"/>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w:t>
            </w:r>
            <w:r w:rsidRPr="00243517">
              <w:rPr>
                <w:rFonts w:ascii="Times New Roman" w:eastAsia="Times New Roman" w:hAnsi="Times New Roman" w:cs="Times New Roman"/>
                <w:sz w:val="24"/>
                <w:szCs w:val="24"/>
              </w:rPr>
              <w:lastRenderedPageBreak/>
              <w:t>көрсетілген қызметтердің сапасы үшін жауапты 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sidRPr="00243517">
              <w:rPr>
                <w:rFonts w:ascii="Times New Roman" w:eastAsia="Times New Roman" w:hAnsi="Times New Roman" w:cs="Times New Roman"/>
                <w:sz w:val="24"/>
                <w:szCs w:val="24"/>
              </w:rPr>
              <w:t xml:space="preserve">5.2. </w:t>
            </w:r>
            <w:bookmarkStart w:id="6" w:name="bookmark=id.3dy6vkm" w:colFirst="0" w:colLast="0"/>
            <w:bookmarkEnd w:id="6"/>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w:t>
            </w:r>
            <w:r w:rsidRPr="00243517">
              <w:rPr>
                <w:rFonts w:ascii="Times New Roman" w:eastAsia="Times New Roman" w:hAnsi="Times New Roman" w:cs="Times New Roman"/>
                <w:sz w:val="24"/>
                <w:szCs w:val="24"/>
              </w:rPr>
              <w:lastRenderedPageBreak/>
              <w:t>Республики Казахстан авторских и (или) 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Pr="00243517"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«ЕРДО» АҚ басқарушы директоры» Н.О.Тлеуов</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E47A34">
            <w:pPr>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E47A34">
            <w:pPr>
              <w:spacing w:after="0" w:line="240" w:lineRule="auto"/>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E47A34">
            <w:pPr>
              <w:spacing w:after="0" w:line="240" w:lineRule="auto"/>
              <w:ind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Управляющий директор АО «ЦРТР»</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p>
          <w:p w:rsidR="000308A2" w:rsidRPr="00243517" w:rsidRDefault="000308A2" w:rsidP="00E47A34">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E47A34">
            <w:pPr>
              <w:spacing w:after="0" w:line="240" w:lineRule="auto"/>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E47A34">
            <w:pPr>
              <w:spacing w:line="240" w:lineRule="auto"/>
              <w:contextualSpacing/>
              <w:rPr>
                <w:rFonts w:ascii="Times New Roman" w:eastAsia="Times New Roman" w:hAnsi="Times New Roman" w:cs="Times New Roman"/>
                <w:sz w:val="24"/>
                <w:szCs w:val="24"/>
              </w:rPr>
            </w:pPr>
          </w:p>
          <w:p w:rsidR="000308A2" w:rsidRPr="00243517" w:rsidRDefault="000308A2" w:rsidP="00E47A34">
            <w:pPr>
              <w:spacing w:after="0" w:line="240" w:lineRule="auto"/>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E47A34">
            <w:pPr>
              <w:spacing w:after="0" w:line="240" w:lineRule="auto"/>
              <w:ind w:left="-67"/>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bookmarkStart w:id="12" w:name="_GoBack"/>
            <w:bookmarkEnd w:id="12"/>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rsidP="00C77B81">
            <w:pPr>
              <w:spacing w:after="0" w:line="240" w:lineRule="auto"/>
              <w:ind w:left="-28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00E47A34" w:rsidRPr="002D6C30">
              <w:rPr>
                <w:rFonts w:ascii="Times New Roman" w:eastAsia="Times New Roman" w:hAnsi="Times New Roman" w:cs="Times New Roman"/>
                <w:sz w:val="24"/>
                <w:szCs w:val="24"/>
                <w:shd w:val="clear" w:color="auto" w:fill="FFFFFF"/>
              </w:rPr>
              <w:t>Автор Портал арқылы хабарлама алған күннен бастап 5 (</w:t>
            </w:r>
            <w:r w:rsidR="00E47A34">
              <w:rPr>
                <w:rFonts w:ascii="Times New Roman" w:eastAsia="Times New Roman" w:hAnsi="Times New Roman" w:cs="Times New Roman"/>
                <w:sz w:val="24"/>
                <w:szCs w:val="24"/>
                <w:shd w:val="clear" w:color="auto" w:fill="FFFFFF"/>
              </w:rPr>
              <w:t xml:space="preserve">бес) жұмыс күні ішінде </w:t>
            </w:r>
            <w:r w:rsidR="00E47A34" w:rsidRPr="002D6C30">
              <w:rPr>
                <w:rFonts w:ascii="Times New Roman" w:eastAsia="Times New Roman" w:hAnsi="Times New Roman" w:cs="Times New Roman"/>
                <w:sz w:val="24"/>
                <w:szCs w:val="24"/>
                <w:shd w:val="clear" w:color="auto" w:fill="FFFFFF"/>
              </w:rPr>
              <w:t>осы қосымшада көрсетілген талаптарға 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lastRenderedPageBreak/>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w:t>
            </w:r>
            <w:r w:rsidR="00E47A34" w:rsidRPr="007E5FF3">
              <w:rPr>
                <w:rFonts w:ascii="Times New Roman" w:eastAsia="Times New Roman" w:hAnsi="Times New Roman" w:cs="Times New Roman"/>
                <w:sz w:val="24"/>
                <w:szCs w:val="24"/>
                <w:shd w:val="clear" w:color="auto" w:fill="FFFFFF"/>
              </w:rPr>
              <w:t xml:space="preserve">Автор принимает меры по устранению </w:t>
            </w:r>
            <w:r w:rsidR="00E47A34" w:rsidRPr="007E5FF3">
              <w:rPr>
                <w:rFonts w:ascii="Times New Roman" w:eastAsia="Times New Roman" w:hAnsi="Times New Roman" w:cs="Times New Roman"/>
                <w:sz w:val="24"/>
                <w:szCs w:val="24"/>
                <w:shd w:val="clear" w:color="auto" w:fill="FFFFFF"/>
              </w:rPr>
              <w:lastRenderedPageBreak/>
              <w:t>несоответствий требованиям, указанным в настоящем приложении,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r w:rsidR="00C77B81">
              <w:rPr>
                <w:rFonts w:ascii="Times New Roman" w:hAnsi="Times New Roman" w:cs="Times New Roman"/>
                <w:color w:val="000000"/>
                <w:shd w:val="clear" w:color="auto" w:fill="FFFFFF"/>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r w:rsidR="00C77B81">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C77B81">
              <w:rPr>
                <w:rFonts w:ascii="Times New Roman" w:hAnsi="Times New Roman" w:cs="Times New Roman"/>
                <w:color w:val="000000"/>
                <w:shd w:val="clear" w:color="auto" w:fill="FFFFFF"/>
              </w:rPr>
              <w:t>_ru</w:t>
            </w:r>
            <w:r w:rsidRPr="00243517">
              <w:rPr>
                <w:rFonts w:ascii="Times New Roman" w:eastAsia="Times New Roman" w:hAnsi="Times New Roman" w:cs="Times New Roman"/>
                <w:sz w:val="24"/>
                <w:szCs w:val="24"/>
              </w:rPr>
              <w: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05166"/>
    <w:rsid w:val="000308A2"/>
    <w:rsid w:val="00126237"/>
    <w:rsid w:val="001770C0"/>
    <w:rsid w:val="00243517"/>
    <w:rsid w:val="0040098C"/>
    <w:rsid w:val="005C59E1"/>
    <w:rsid w:val="00603B46"/>
    <w:rsid w:val="00705166"/>
    <w:rsid w:val="007F17A3"/>
    <w:rsid w:val="00BF2183"/>
    <w:rsid w:val="00C77B81"/>
    <w:rsid w:val="00E47A34"/>
    <w:rsid w:val="00EE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3558</Words>
  <Characters>20283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8</cp:revision>
  <dcterms:created xsi:type="dcterms:W3CDTF">2021-06-29T10:30:00Z</dcterms:created>
  <dcterms:modified xsi:type="dcterms:W3CDTF">2021-08-10T12:41:00Z</dcterms:modified>
</cp:coreProperties>
</file>