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160-П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«21»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 негізінде әрекет ететін Государственные предприятия «Алматинский Областной колледж инновационных технологий в сфере сервиса и питания»,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160-П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«21»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«Алматинский Областной колледж инновационных технологий в сфере сервиса и питания» в лице ${position} выступает -, действующий (ая) на основании -,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«Алматинский Областной колледж инновационных технологий в сфере сервиса и питания»</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Алматинский Областной колледж инновационных технологий в сфере сервиса и питания</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«21»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160-П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160-П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«21»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«Әкірам Батыржан Бауыржанұлы»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«Тұру және тамақтану»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«Тамақ өнімдерін дайындау».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16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_Да;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3.5 Курстың құрылымын толтыру (2000 таңбаға дейін):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https://youtu.be/etF_qNcTROE.</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«Әкірам Батыржан Бауыржанұлы»;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«Проживание и питание»;</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«Проживание и питание»;</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«Изготовление пищевых продуктов».</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16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Да;</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Жармадан, бұршақтан және жұмыркеспе өнімдерінен тағамдар дайындау    Жарма, бұршақ және жұмыркеспе өнімдері туралы жалпы түсінік қалыптастыру.  Жарма, бұршақ және жұмыркеспе өнімдерінің сапасына қойылатын талаптарды ескере отырып тағамдар дайындау.    Қолданылған әдебиеттер  "Аспаздық" авторы: Бесімбаева Г.Е "Өндірісте оқытудың тағам даярлау технологиясы"  авторы: Павлова Л.В, Смирнова В.А "Кулинария" 1997ж авторы: Анфимава Н.А, Сборник рецептур.</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Ботқа түрлерін, жұмыркеспе өнімдерін дайындап олардан тағамдар әзірлейді.  Сапасын, химиялық құрамын, органолептикалық қасиеттерін анықтайды.   Тағамдарды дұрыс  ұсыну температурасы мен порциялық салмақ үлесін  білетін болады.   </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em>Жармадан, бұршақтан және жұмыркеспе өнімдерінен тағам дайындау кезіндегі шикізаттардың ерекшеліктерін ескере отырып аспаздық аспаздық өңлеуді жетік меңгереді.</em>
                </p>
              </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https://youtu.be/etF_qNcTROE.</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