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195-ГП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195-ГП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195-ГП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195-ГП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