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201-ГП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201-ГП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201-ГП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«ВИЗАЖИСТ»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«Жеке қызметтер және сервис»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«Жеке қызметтер және сервис»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«Макияж жасау, Косметика жағу үшін теріні дайындау және бет демакияжын орындау».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10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Біліктілік 050603  2 -" Визажист"                            Сағат саны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Макияж түрлері үйренедіБет коррекциялауды жасайдыБет күтімін көредіФантазиялық макияж түрлерін жасайдыТүстердің үйлесімділігін ажырата біледіСапалы косметиканы анықтай алады</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https://youtu.be/kwTPg9xQPS0.</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«ВИЗАЖИСТ»;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«Индивидуальные услуги и сервис»;</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«Индивидуальные услуги и сервис»;</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«Нанесение макияжа, Подготовка кожи для нанесения косметики и выполнение демакияжа лица».</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10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Біліктілік 050603  2 -" Визажист"                            Сағат саны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Өндірістік оқыту    21 сағат          1       Бет әлпетпен мойынға демакияжды орындау          2      Массаж қозғалыстарын меңгеру және үйрену          3      Бетті терең тазартуды орындау          4      Бетке арналған әр түрлі косметикалық маскаларды қолдану          5      Тұрмыстық жағдайда косметикалық маскаларды қолдану          6      Сәндік косметиканың керекті құралдарының көмегімен бет әлпет бөліктерін коррекциялау          7      Күндізгі макияж түрін орындау          8      Кешкі макияж түрін орындау          9      3Д макияж түрін орындау          10      Фантазиялық макияж  Ғаламшар           11      Фантазиялық макияж  Жапония           12      Фантазиялық макияж  Закат           13      Фантазиялық макияж  Қыс           14      Фантазиялық макияж  Күз           15      Фантазиялық макияж  Клеопатра           16      Фантазиялық макияж  Малифисента           17      Фантазиялық макияж  Поп Арт           18      Фантазиялық макияж  Ретро           19      Фантазиялық макияж  Эльф           20      Фантазиялық макияж  Бұғы           21      Кино қойылымға арналған макияж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Макияж түрлері үйренедіБет коррекциялауды жасайдыБет күтімін көредіФантазиялық макияж түрлерін жасайдыТүстердің үйлесімділігін ажырата біледіСапалы косметиканы анықтай алады</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https://youtu.be/kwTPg9xQPS0.</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