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HIPAA Compliance Policy and Procedures</w:t>
      </w:r>
    </w:p>
    <w:p>
      <w:r>
        <w:t>Effective Date: January 1, 2026</w:t>
      </w:r>
    </w:p>
    <w:p>
      <w:r>
        <w:t>Version: 3.2 | Last Reviewed: December 2025</w:t>
      </w:r>
    </w:p>
    <w:p>
      <w:r>
        <w:t>Approved by: Chief Compliance Officer, General Counsel</w:t>
      </w:r>
    </w:p>
    <w:p/>
    <w:p>
      <w:pPr>
        <w:pStyle w:val="Heading1"/>
      </w:pPr>
      <w:r>
        <w:t>1. Purpose and Scope</w:t>
      </w:r>
    </w:p>
    <w:p>
      <w:r>
        <w:t>This policy establishes the requirements for protecting Protected Health Information (PHI) in compliance with the Health Insurance Portability and Accountability Act of 1996 (HIPAA), the Health Information Technology for Economic and Clinical Health (HITECH) Act, and applicable state privacy laws. This policy applies to all workforce members including employees, contractors, volunteers, and business associates who create, receive, maintain, or transmit PHI in any form (electronic, paper, or oral).</w:t>
      </w:r>
    </w:p>
    <w:p>
      <w:pPr>
        <w:pStyle w:val="Heading1"/>
      </w:pPr>
      <w:r>
        <w:t>2. Definitions</w:t>
      </w:r>
    </w:p>
    <w:p>
      <w:r>
        <w:t>Protected Health Information (PHI): Any individually identifiable health information that is created, received, maintained, or transmitted by a covered entity. This includes demographic data, medical histories, test results, insurance information, and any other information that can be used to identify a patient.</w:t>
      </w:r>
    </w:p>
    <w:p>
      <w:r>
        <w:t>Electronic Protected Health Information (ePHI): PHI in electronic form, including data at rest (stored), data in motion (transmitted), and data in use (being processed).</w:t>
      </w:r>
    </w:p>
    <w:p>
      <w:r>
        <w:t>Minimum Necessary Standard: The principle that workforce members should only access, use, or disclose the minimum amount of PHI necessary to accomplish the intended purpose.</w:t>
      </w:r>
    </w:p>
    <w:p>
      <w:pPr>
        <w:pStyle w:val="Heading1"/>
      </w:pPr>
      <w:r>
        <w:t>3. Administrative Safeguards</w:t>
      </w:r>
    </w:p>
    <w:p>
      <w:r>
        <w:t>3.1 Security Officer: The organization shall designate a Security Officer responsible for developing and implementing security policies.</w:t>
      </w:r>
    </w:p>
    <w:p>
      <w:r>
        <w:t>3.2 Workforce Training: All workforce members must complete HIPAA privacy and security training within 30 days of hire and annually thereafter. Training records must be maintained for 6 years.</w:t>
      </w:r>
    </w:p>
    <w:p>
      <w:r>
        <w:t>3.3 Access Controls: Role-based access control (RBAC) must be implemented for all systems containing ePHI. Access must be reviewed quarterly and terminated within 24 hours upon workforce member separation.</w:t>
      </w:r>
    </w:p>
    <w:p>
      <w:r>
        <w:t>3.4 Risk Assessment: A comprehensive security risk assessment must be conducted annually, with remediation plans for identified vulnerabilities.</w:t>
      </w:r>
    </w:p>
    <w:p>
      <w:pPr>
        <w:pStyle w:val="Heading1"/>
      </w:pPr>
      <w:r>
        <w:t>4. Technical Safeguards</w:t>
      </w:r>
    </w:p>
    <w:p>
      <w:r>
        <w:t>4.1 Encryption: All ePHI must be encrypted using AES-256 at rest and TLS 1.3 in transit. Mobile devices must use full-disk encryption.</w:t>
      </w:r>
    </w:p>
    <w:p>
      <w:r>
        <w:t>4.2 Audit Controls: All access to ePHI must be logged, including user ID, timestamp, and action performed. Logs must be retained for 6 years and reviewed monthly.</w:t>
      </w:r>
    </w:p>
    <w:p>
      <w:r>
        <w:t>4.3 Authentication: Multi-factor authentication (MFA) is required for all systems containing ePHI. Password requirements: minimum 12 characters, complexity rules, 90-day rotation, no reuse of last 12 passwords.</w:t>
      </w:r>
    </w:p>
    <w:p>
      <w:r>
        <w:t>4.4 Automatic Logoff: Workstations must lock after 5 minutes of inactivity. Clinical application sessions must timeout after 15 minutes.</w:t>
      </w:r>
    </w:p>
    <w:p>
      <w:pPr>
        <w:pStyle w:val="Heading1"/>
      </w:pPr>
      <w:r>
        <w:t>5. Breach Notification Procedures</w:t>
      </w:r>
    </w:p>
    <w:p>
      <w:r>
        <w:t>5.1 In the event of a breach of unsecured PHI affecting 500 or more individuals, the organization must notify: (a) affected individuals within 60 days, (b) the HHS Secretary within 60 days, and (c) prominent media outlets serving the affected area.</w:t>
      </w:r>
    </w:p>
    <w:p>
      <w:r>
        <w:t>5.2 For breaches affecting fewer than 500 individuals, notification to HHS must be submitted annually (by March 1 for breaches in the prior calendar year).</w:t>
      </w:r>
    </w:p>
    <w:p>
      <w:r>
        <w:t>5.3 All suspected breaches must be reported internally within 24 hours to the Privacy Officer via the incident reporting system.</w:t>
      </w:r>
    </w:p>
    <w:p>
      <w:pPr>
        <w:pStyle w:val="Heading1"/>
      </w:pPr>
      <w:r>
        <w:t>6. Business Associate Agreements</w:t>
      </w:r>
    </w:p>
    <w:p>
      <w:r>
        <w:t>All business associates who create, receive, maintain, or transmit PHI on behalf of the organization must execute a Business Associate Agreement (BAA) prior to any PHI disclosure. BAAs must include: permitted uses and disclosures, safeguard requirements, breach notification obligations, and termination provisions. The compliance office maintains a registry of all active BAAs.</w:t>
      </w:r>
    </w:p>
    <w:p>
      <w:pPr>
        <w:pStyle w:val="Heading1"/>
      </w:pPr>
      <w:r>
        <w:t>7. Sanctions Policy</w:t>
      </w:r>
    </w:p>
    <w:p>
      <w:r>
        <w:t>Violations of this policy may result in disciplinary action up to and including termination of employment. Additionally, HIPAA violations may result in civil penalties ($100-$50,000 per violation, up to $1.5 million per year per violation category) and criminal penalties (up to $250,000 fine and 10 years imprisonment for intentional violations).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