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Empathy Framing and Call-to-Action Rates by Actor Type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Actor_Type_label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n_orgs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n_posts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empathy_pct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ask_pct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reportable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NGO/Foundation/Trust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Research/Academic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Conservancy/Protected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Umbrella/Network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Consultancy/Private/Other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Post-level rates over the 917 coded posts. empathy_pct = share of posts carrying the empathy frame. ask_pct = share of posts with a call to action other than None. reportable = FALSE marks the four categories held by a single organization, where a rate would describe that organization rather than the category.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2026-09-10T01:05:59Z</dcterms:modified>
  <cp:category/>
</cp:coreProperties>
</file>