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Internal Consistency (Cronbach's Alpha)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Pooled across messages; 95% CI via Feldt's method. n_obs = participant x message ratings.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2026-09-10T01:21:35Z</dcterms:modified>
  <cp:category/>
</cp:coreProperties>
</file>