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Empathy-Minus-Neutral CTR Contrast by Footage-Matched Variant and Round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pct_female_emp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ctr_emp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ctr_neu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ctr_diff_pp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Each row pairs an empathy advertisement with the neutral advertisement sharing its hook-footage variant within the same campaign round. pct_female_emp = female share of the empathy advertisement's impressions (%). CTR values in %; ctr_diff_pp = empathy minus neutral in percentage points. Gender breakdown covers female and male impressions only.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2026-09-10T01:25:52Z</dcterms:modified>
  <cp:category/>
</cp:coreProperties>
</file>