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7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H2a: Preregistered Empathy-Versus-Neutral Contrast and the Total-CTR Alternative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p_type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REGISTERED: % female (empathy ad) x empathy-minus-neutral CTR contrast (pp)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exact permutation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Sensitivity: % female (pair-pooled) x empathy-minus-neutral CTR contrast (pp)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exact permutation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Sensitivity: % female (empathy ad) x log(empathy CTR / neutral CTR)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exact permutation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PREVIOUSLY REPORTED: % female (empathy ad) x TOTAL CTR of that ad (no contrast)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exact permutation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Spearman rho; 95% CI from a percentile bootstrap with 5,000 resamples. n = 6 in every row (3 hook-footage variants x 2 campaign rounds), so all estimates are unstable and are reported descriptively, not as tests. The exit-survey gate of N &gt;= 20 for the family {H2a, H2b, H6} was not met (N = 13), so no row is confirmatory.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2026-09-10T01:25:54Z</dcterms:modified>
  <cp:category/>
</cp:coreProperties>
</file>