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590592" w:rsidP="00B00136">
      <w:pPr>
        <w:pStyle w:val="Title"/>
        <w:jc w:val="center"/>
      </w:pPr>
      <w:r>
        <w:t>Samuel Pell (57046549</w:t>
      </w:r>
      <w:r w:rsidR="009249D8">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C70283">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r w:rsidRPr="006B367E">
        <w:rPr>
          <w:rFonts w:ascii="Courier New" w:hAnsi="Courier New" w:cs="Courier New"/>
        </w:rPr>
        <w:t>magicno</w:t>
      </w:r>
      <w:r w:rsidRPr="006B367E">
        <w:t xml:space="preserve"> </w:t>
      </w:r>
      <w:r w:rsidR="009249D8">
        <w:t>field</w:t>
      </w:r>
    </w:p>
    <w:p w:rsidR="006B367E" w:rsidRPr="00B00136" w:rsidRDefault="009249D8" w:rsidP="00B00136">
      <w:pPr>
        <w:rPr>
          <w:sz w:val="24"/>
          <w:szCs w:val="24"/>
        </w:rPr>
      </w:pPr>
      <w:r>
        <w:t xml:space="preserve">The </w:t>
      </w:r>
      <w:r w:rsidRPr="009249D8">
        <w:rPr>
          <w:rFonts w:ascii="Courier New" w:hAnsi="Courier New" w:cs="Courier New"/>
        </w:rPr>
        <w:t>magicno</w:t>
      </w:r>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r w:rsidR="0065507B" w:rsidRPr="0065507B">
        <w:rPr>
          <w:rFonts w:ascii="Courier New" w:hAnsi="Courier New" w:cs="Courier New"/>
        </w:rPr>
        <w:t>select()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590592">
      <w:pPr>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C70283">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Packet Loss</w:t>
            </w:r>
          </w:p>
          <w:p w:rsidR="006B367E" w:rsidRPr="00791B1D" w:rsidRDefault="006B367E" w:rsidP="00C70283">
            <w:pPr>
              <w:spacing w:after="0"/>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0.3</w:t>
            </w:r>
          </w:p>
        </w:tc>
      </w:tr>
      <w:tr w:rsidR="006B367E" w:rsidRPr="00791B1D" w:rsidTr="00C70283">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C70283">
            <w:pPr>
              <w:spacing w:after="0"/>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C70283">
            <w:pPr>
              <w:spacing w:after="0"/>
              <w:jc w:val="center"/>
            </w:pPr>
            <w:r w:rsidRPr="00791B1D">
              <w:t>227</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191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293</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130</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167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115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156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208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269</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147</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219</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292</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145</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173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215</w:t>
            </w:r>
          </w:p>
        </w:tc>
      </w:tr>
      <w:tr w:rsidR="006B367E" w:rsidRPr="00791B1D" w:rsidTr="00C70283">
        <w:trPr>
          <w:trHeight w:val="315"/>
          <w:jc w:val="center"/>
        </w:trPr>
        <w:tc>
          <w:tcPr>
            <w:tcW w:w="2062" w:type="dxa"/>
            <w:vMerge/>
            <w:tcBorders>
              <w:top w:val="nil"/>
              <w:left w:val="nil"/>
              <w:bottom w:val="nil"/>
              <w:right w:val="nil"/>
            </w:tcBorders>
            <w:vAlign w:val="center"/>
            <w:hideMark/>
          </w:tcPr>
          <w:p w:rsidR="006B367E" w:rsidRPr="00791B1D" w:rsidRDefault="006B367E" w:rsidP="00C70283">
            <w:pPr>
              <w:spacing w:after="0"/>
              <w:jc w:val="center"/>
            </w:pP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126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142</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146</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183</w:t>
            </w:r>
          </w:p>
        </w:tc>
        <w:tc>
          <w:tcPr>
            <w:tcW w:w="960" w:type="dxa"/>
            <w:tcBorders>
              <w:top w:val="nil"/>
              <w:left w:val="nil"/>
              <w:bottom w:val="nil"/>
              <w:right w:val="nil"/>
            </w:tcBorders>
            <w:vAlign w:val="center"/>
            <w:hideMark/>
          </w:tcPr>
          <w:p w:rsidR="006B367E" w:rsidRPr="00791B1D" w:rsidRDefault="006B367E" w:rsidP="00C70283">
            <w:pPr>
              <w:spacing w:after="0"/>
              <w:jc w:val="center"/>
            </w:pPr>
            <w:r w:rsidRPr="00791B1D">
              <w:t>274</w:t>
            </w:r>
          </w:p>
        </w:tc>
      </w:tr>
      <w:tr w:rsidR="006B367E" w:rsidRPr="00791B1D" w:rsidTr="00C70283">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C70283">
            <w:pPr>
              <w:spacing w:after="0"/>
              <w:jc w:val="center"/>
            </w:pP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118</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136</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140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150</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179</w:t>
            </w:r>
          </w:p>
        </w:tc>
        <w:tc>
          <w:tcPr>
            <w:tcW w:w="960" w:type="dxa"/>
            <w:tcBorders>
              <w:top w:val="nil"/>
              <w:left w:val="nil"/>
              <w:bottom w:val="double" w:sz="4" w:space="0" w:color="auto"/>
              <w:right w:val="nil"/>
            </w:tcBorders>
            <w:vAlign w:val="center"/>
            <w:hideMark/>
          </w:tcPr>
          <w:p w:rsidR="006B367E" w:rsidRPr="00791B1D" w:rsidRDefault="006B367E" w:rsidP="00C70283">
            <w:pPr>
              <w:spacing w:after="0"/>
              <w:jc w:val="center"/>
            </w:pPr>
            <w:r w:rsidRPr="00791B1D">
              <w:t>253</w:t>
            </w:r>
          </w:p>
        </w:tc>
      </w:tr>
      <w:tr w:rsidR="006B367E" w:rsidRPr="00791B1D" w:rsidTr="00C70283">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C70283">
            <w:pPr>
              <w:spacing w:after="0"/>
              <w:jc w:val="center"/>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590592" w:rsidRDefault="00590592" w:rsidP="00B00136"/>
    <w:p w:rsidR="00590592" w:rsidRDefault="00590592" w:rsidP="00B00136"/>
    <w:p w:rsidR="00791B1D" w:rsidRPr="006B367E" w:rsidRDefault="006B367E" w:rsidP="00C70283">
      <w:pPr>
        <w:spacing w:after="0"/>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90592" w:rsidTr="00590592">
        <w:trPr>
          <w:trHeight w:val="70"/>
        </w:trPr>
        <w:tc>
          <w:tcPr>
            <w:tcW w:w="8541" w:type="dxa"/>
            <w:vAlign w:val="center"/>
          </w:tcPr>
          <w:p w:rsidR="00590592" w:rsidRPr="00535B30" w:rsidRDefault="00C70283" w:rsidP="00C70283">
            <w:pPr>
              <w:spacing w:after="120"/>
            </w:pPr>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485" w:type="dxa"/>
            <w:vAlign w:val="center"/>
          </w:tcPr>
          <w:p w:rsidR="00590592" w:rsidRPr="00791B1D" w:rsidRDefault="00590592" w:rsidP="00C70283">
            <w:pPr>
              <w:spacing w:after="120"/>
            </w:pPr>
            <w:r w:rsidRPr="00791B1D">
              <w:t>(1)</w:t>
            </w:r>
          </w:p>
        </w:tc>
      </w:tr>
    </w:tbl>
    <w:p w:rsidR="006B367E" w:rsidRDefault="00791B1D" w:rsidP="00C70283">
      <w:pPr>
        <w:spacing w:after="0"/>
      </w:pPr>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C70283">
        <w:trPr>
          <w:trHeight w:val="273"/>
        </w:trPr>
        <w:tc>
          <w:tcPr>
            <w:tcW w:w="8767" w:type="dxa"/>
            <w:vAlign w:val="center"/>
          </w:tcPr>
          <w:p w:rsidR="00791B1D" w:rsidRDefault="00791B1D" w:rsidP="00C70283">
            <w:pPr>
              <w:spacing w:after="120"/>
            </w:pPr>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C70283">
            <w:pPr>
              <w:spacing w:after="120"/>
            </w:pPr>
            <w:r w:rsidRPr="00791B1D">
              <w:t>(2)</w:t>
            </w:r>
          </w:p>
        </w:tc>
      </w:tr>
    </w:tbl>
    <w:p w:rsidR="006B367E" w:rsidRDefault="006B367E" w:rsidP="00C70283">
      <w:pPr>
        <w:spacing w:after="0"/>
      </w:pPr>
      <w:r w:rsidRPr="006B367E">
        <w:t xml:space="preserve">where </w:t>
      </w:r>
      <w:r w:rsidRPr="006B367E">
        <w:rPr>
          <w:i/>
          <w:iCs/>
        </w:rPr>
        <w:t>µ</w:t>
      </w:r>
      <w:r w:rsidRPr="006B367E">
        <w:t xml:space="preserve"> is the expected value (Pennsylvania State University, 2017), (Weisstein, nd).</w:t>
      </w:r>
    </w:p>
    <w:p w:rsidR="00C70283" w:rsidRPr="006B367E" w:rsidRDefault="00C70283" w:rsidP="00C70283">
      <w:pPr>
        <w:spacing w:after="0"/>
        <w:rPr>
          <w:sz w:val="24"/>
          <w:szCs w:val="24"/>
        </w:rPr>
      </w:pPr>
      <w:bookmarkStart w:id="0" w:name="_GoBack"/>
      <w:bookmarkEnd w:id="0"/>
    </w:p>
    <w:p w:rsidR="006B367E" w:rsidRDefault="006B367E" w:rsidP="00C70283">
      <w:pPr>
        <w:spacing w:after="0"/>
      </w:pPr>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C70283">
            <w:pPr>
              <w:spacing w:after="120"/>
            </w:pPr>
            <w:r>
              <w:t>(3)</w:t>
            </w:r>
          </w:p>
        </w:tc>
      </w:tr>
    </w:tbl>
    <w:p w:rsidR="006B367E" w:rsidRDefault="00756250" w:rsidP="00C70283">
      <w:pPr>
        <w:spacing w:after="0"/>
      </w:pPr>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C70283" w:rsidRDefault="00C70283" w:rsidP="00C70283">
      <w:pPr>
        <w:spacing w:after="0"/>
      </w:pPr>
    </w:p>
    <w:p w:rsidR="006B367E" w:rsidRDefault="006B367E" w:rsidP="00C70283">
      <w:pPr>
        <w:spacing w:after="0"/>
      </w:pPr>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C70283">
        <w:trPr>
          <w:trHeight w:val="475"/>
        </w:trPr>
        <w:tc>
          <w:tcPr>
            <w:tcW w:w="8541" w:type="dxa"/>
            <w:vAlign w:val="center"/>
          </w:tcPr>
          <w:p w:rsidR="00DF0452" w:rsidRDefault="00DF0452" w:rsidP="00C70283">
            <w:pPr>
              <w:spacing w:after="120"/>
            </w:pPr>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8" w:type="dxa"/>
            <w:vAlign w:val="center"/>
          </w:tcPr>
          <w:p w:rsidR="00DF0452" w:rsidRDefault="00DF0452" w:rsidP="00C70283">
            <w:pPr>
              <w:spacing w:after="120"/>
            </w:pPr>
            <w:r>
              <w:t>(4)</w:t>
            </w:r>
          </w:p>
        </w:tc>
      </w:tr>
    </w:tbl>
    <w:p w:rsidR="00DF0452" w:rsidRPr="00DF0452" w:rsidRDefault="006B367E" w:rsidP="00C70283">
      <w:pPr>
        <w:spacing w:after="0"/>
      </w:pPr>
      <w:r w:rsidRPr="006B367E">
        <w:t xml:space="preserve">This is because if the acknowledgement packet from receiver is lost then a retransmission also occurs. </w:t>
      </w:r>
      <w:r w:rsidR="00B61143" w:rsidRPr="006B367E">
        <w:t>Thus,</w:t>
      </w:r>
      <w:r w:rsidRPr="006B367E">
        <w:t xml:space="preserve"> the average number of packets needed to transmit a file that can be split into </w:t>
      </w:r>
      <w:r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C70283">
            <w:pPr>
              <w:spacing w:after="120"/>
            </w:pPr>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C70283">
            <w:pPr>
              <w:spacing w:after="120"/>
            </w:pPr>
            <w:r>
              <w:t>(5)</w:t>
            </w:r>
          </w:p>
        </w:tc>
      </w:tr>
    </w:tbl>
    <w:p w:rsidR="00766388" w:rsidRPr="006B367E" w:rsidRDefault="00B00136" w:rsidP="00C70283">
      <w:pPr>
        <w:spacing w:after="0"/>
      </w:pPr>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C70283">
        <w:tc>
          <w:tcPr>
            <w:tcW w:w="8541" w:type="dxa"/>
            <w:vAlign w:val="center"/>
          </w:tcPr>
          <w:p w:rsidR="00766388" w:rsidRDefault="00766388" w:rsidP="00C70283">
            <w:pPr>
              <w:spacing w:after="120"/>
            </w:pPr>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8" w:type="dxa"/>
            <w:vAlign w:val="center"/>
          </w:tcPr>
          <w:p w:rsidR="00766388" w:rsidRDefault="00766388" w:rsidP="00C70283">
            <w:pPr>
              <w:spacing w:after="120"/>
            </w:pPr>
            <w:r>
              <w:t>(6)</w:t>
            </w:r>
          </w:p>
        </w:tc>
      </w:tr>
    </w:tbl>
    <w:p w:rsidR="006B367E" w:rsidRDefault="00B96152" w:rsidP="00C70283">
      <w:pPr>
        <w:spacing w:after="0"/>
      </w:pPr>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C70283">
      <w:pPr>
        <w:spacing w:after="160" w:line="259" w:lineRule="auto"/>
        <w:jc w:val="center"/>
      </w:pPr>
      <w:r>
        <w:br w:type="page"/>
      </w:r>
      <w:r w:rsidR="00E92D74">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560"/>
      </w:tblGrid>
      <w:tr w:rsidR="00B61143" w:rsidTr="00C70283">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C70283">
            <w:pPr>
              <w:spacing w:after="0"/>
              <w:jc w:val="center"/>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C70283">
            <w:pPr>
              <w:spacing w:after="0"/>
              <w:jc w:val="center"/>
            </w:pPr>
            <w:r w:rsidRPr="00E92D74">
              <w:t>Predicted Average</w:t>
            </w:r>
          </w:p>
        </w:tc>
        <w:tc>
          <w:tcPr>
            <w:tcW w:w="1560" w:type="dxa"/>
            <w:tcBorders>
              <w:top w:val="single" w:sz="4" w:space="0" w:color="auto"/>
              <w:left w:val="nil"/>
              <w:bottom w:val="single" w:sz="4" w:space="0" w:color="auto"/>
              <w:right w:val="nil"/>
            </w:tcBorders>
            <w:vAlign w:val="center"/>
          </w:tcPr>
          <w:p w:rsidR="00B61143" w:rsidRPr="00E92D74" w:rsidRDefault="00C27CC6" w:rsidP="00C70283">
            <w:pPr>
              <w:spacing w:after="0"/>
              <w:jc w:val="center"/>
            </w:pPr>
            <w:r>
              <w:t xml:space="preserve">Experimental </w:t>
            </w:r>
            <w:r w:rsidR="00B61143" w:rsidRPr="00E92D74">
              <w:t>Average</w:t>
            </w:r>
          </w:p>
        </w:tc>
      </w:tr>
      <w:tr w:rsidR="00B61143" w:rsidTr="00C70283">
        <w:trPr>
          <w:jc w:val="center"/>
        </w:trPr>
        <w:tc>
          <w:tcPr>
            <w:tcW w:w="1592" w:type="dxa"/>
            <w:tcBorders>
              <w:top w:val="single" w:sz="4" w:space="0" w:color="auto"/>
              <w:left w:val="nil"/>
              <w:bottom w:val="nil"/>
              <w:right w:val="nil"/>
            </w:tcBorders>
            <w:vAlign w:val="center"/>
          </w:tcPr>
          <w:p w:rsidR="00B61143" w:rsidRDefault="00E92D74" w:rsidP="00C70283">
            <w:pPr>
              <w:spacing w:after="0"/>
              <w:jc w:val="center"/>
            </w:pPr>
            <w:r>
              <w:t>0</w:t>
            </w:r>
          </w:p>
        </w:tc>
        <w:tc>
          <w:tcPr>
            <w:tcW w:w="1810" w:type="dxa"/>
            <w:tcBorders>
              <w:top w:val="single" w:sz="4" w:space="0" w:color="auto"/>
              <w:left w:val="nil"/>
              <w:bottom w:val="nil"/>
              <w:right w:val="nil"/>
            </w:tcBorders>
            <w:vAlign w:val="center"/>
          </w:tcPr>
          <w:p w:rsidR="00B61143" w:rsidRDefault="00E92D74" w:rsidP="00C70283">
            <w:pPr>
              <w:spacing w:after="0"/>
              <w:jc w:val="center"/>
            </w:pPr>
            <w:r>
              <w:t>123</w:t>
            </w:r>
            <w:r w:rsidR="00C27CC6">
              <w:t>.5</w:t>
            </w:r>
          </w:p>
        </w:tc>
        <w:tc>
          <w:tcPr>
            <w:tcW w:w="1560" w:type="dxa"/>
            <w:tcBorders>
              <w:top w:val="single" w:sz="4" w:space="0" w:color="auto"/>
              <w:left w:val="nil"/>
              <w:bottom w:val="nil"/>
              <w:right w:val="nil"/>
            </w:tcBorders>
            <w:vAlign w:val="center"/>
          </w:tcPr>
          <w:p w:rsidR="00B61143" w:rsidRDefault="00E92D74" w:rsidP="00C70283">
            <w:pPr>
              <w:spacing w:after="0"/>
              <w:jc w:val="center"/>
            </w:pPr>
            <w:r>
              <w:t>123.4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0.01</w:t>
            </w:r>
          </w:p>
        </w:tc>
        <w:tc>
          <w:tcPr>
            <w:tcW w:w="1810" w:type="dxa"/>
            <w:tcBorders>
              <w:top w:val="nil"/>
              <w:left w:val="nil"/>
              <w:bottom w:val="nil"/>
              <w:right w:val="nil"/>
            </w:tcBorders>
            <w:vAlign w:val="center"/>
          </w:tcPr>
          <w:p w:rsidR="00B61143" w:rsidRDefault="00E92D74" w:rsidP="00C70283">
            <w:pPr>
              <w:spacing w:after="0"/>
              <w:jc w:val="center"/>
            </w:pPr>
            <w:r>
              <w:t>126</w:t>
            </w:r>
            <w:r w:rsidR="00C27CC6">
              <w:t>.0</w:t>
            </w:r>
          </w:p>
        </w:tc>
        <w:tc>
          <w:tcPr>
            <w:tcW w:w="1560" w:type="dxa"/>
            <w:tcBorders>
              <w:top w:val="nil"/>
              <w:left w:val="nil"/>
              <w:bottom w:val="nil"/>
              <w:right w:val="nil"/>
            </w:tcBorders>
            <w:vAlign w:val="center"/>
          </w:tcPr>
          <w:p w:rsidR="00B61143" w:rsidRDefault="00E92D74" w:rsidP="00C70283">
            <w:pPr>
              <w:spacing w:after="0"/>
              <w:jc w:val="center"/>
            </w:pPr>
            <w:r>
              <w:t>126.4</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0.05</w:t>
            </w:r>
          </w:p>
        </w:tc>
        <w:tc>
          <w:tcPr>
            <w:tcW w:w="1810" w:type="dxa"/>
            <w:tcBorders>
              <w:top w:val="nil"/>
              <w:left w:val="nil"/>
              <w:bottom w:val="nil"/>
              <w:right w:val="nil"/>
            </w:tcBorders>
            <w:vAlign w:val="center"/>
          </w:tcPr>
          <w:p w:rsidR="00B61143" w:rsidRDefault="00C27CC6" w:rsidP="00C70283">
            <w:pPr>
              <w:spacing w:after="0"/>
              <w:jc w:val="center"/>
            </w:pPr>
            <w:r>
              <w:t>136.8</w:t>
            </w:r>
          </w:p>
        </w:tc>
        <w:tc>
          <w:tcPr>
            <w:tcW w:w="1560" w:type="dxa"/>
            <w:tcBorders>
              <w:top w:val="nil"/>
              <w:left w:val="nil"/>
              <w:bottom w:val="nil"/>
              <w:right w:val="nil"/>
            </w:tcBorders>
            <w:vAlign w:val="center"/>
          </w:tcPr>
          <w:p w:rsidR="00B61143" w:rsidRDefault="00E92D74" w:rsidP="00C70283">
            <w:pPr>
              <w:spacing w:after="0"/>
              <w:jc w:val="center"/>
            </w:pPr>
            <w:r>
              <w:t>140.7</w:t>
            </w:r>
          </w:p>
        </w:tc>
      </w:tr>
      <w:tr w:rsidR="00B61143" w:rsidTr="00C70283">
        <w:trPr>
          <w:jc w:val="center"/>
        </w:trPr>
        <w:tc>
          <w:tcPr>
            <w:tcW w:w="1592" w:type="dxa"/>
            <w:tcBorders>
              <w:top w:val="nil"/>
              <w:left w:val="nil"/>
              <w:bottom w:val="nil"/>
              <w:right w:val="nil"/>
            </w:tcBorders>
            <w:vAlign w:val="center"/>
          </w:tcPr>
          <w:p w:rsidR="00B61143" w:rsidRDefault="00E92D74" w:rsidP="00C70283">
            <w:pPr>
              <w:spacing w:after="0"/>
              <w:jc w:val="center"/>
            </w:pPr>
            <w:r>
              <w:t>0.1</w:t>
            </w:r>
          </w:p>
        </w:tc>
        <w:tc>
          <w:tcPr>
            <w:tcW w:w="1810" w:type="dxa"/>
            <w:tcBorders>
              <w:top w:val="nil"/>
              <w:left w:val="nil"/>
              <w:bottom w:val="nil"/>
              <w:right w:val="nil"/>
            </w:tcBorders>
            <w:vAlign w:val="center"/>
          </w:tcPr>
          <w:p w:rsidR="00B61143" w:rsidRDefault="00E92D74" w:rsidP="00C70283">
            <w:pPr>
              <w:spacing w:after="0"/>
              <w:jc w:val="center"/>
            </w:pPr>
            <w:r>
              <w:t>152</w:t>
            </w:r>
            <w:r w:rsidR="00C27CC6">
              <w:t>.4</w:t>
            </w:r>
          </w:p>
        </w:tc>
        <w:tc>
          <w:tcPr>
            <w:tcW w:w="1560" w:type="dxa"/>
            <w:tcBorders>
              <w:top w:val="nil"/>
              <w:left w:val="nil"/>
              <w:bottom w:val="nil"/>
              <w:right w:val="nil"/>
            </w:tcBorders>
            <w:vAlign w:val="center"/>
          </w:tcPr>
          <w:p w:rsidR="00B61143" w:rsidRDefault="00E92D74" w:rsidP="00C70283">
            <w:pPr>
              <w:spacing w:after="0"/>
              <w:jc w:val="center"/>
            </w:pPr>
            <w:r>
              <w:t>150.1</w:t>
            </w:r>
          </w:p>
        </w:tc>
      </w:tr>
      <w:tr w:rsidR="00E92D74" w:rsidTr="00C70283">
        <w:trPr>
          <w:jc w:val="center"/>
        </w:trPr>
        <w:tc>
          <w:tcPr>
            <w:tcW w:w="1592" w:type="dxa"/>
            <w:tcBorders>
              <w:top w:val="nil"/>
              <w:left w:val="nil"/>
              <w:bottom w:val="nil"/>
              <w:right w:val="nil"/>
            </w:tcBorders>
            <w:vAlign w:val="center"/>
          </w:tcPr>
          <w:p w:rsidR="00E92D74" w:rsidRDefault="00E92D74" w:rsidP="00C70283">
            <w:pPr>
              <w:spacing w:after="0"/>
              <w:jc w:val="center"/>
            </w:pPr>
            <w:r>
              <w:t>0.2</w:t>
            </w:r>
          </w:p>
        </w:tc>
        <w:tc>
          <w:tcPr>
            <w:tcW w:w="1810" w:type="dxa"/>
            <w:tcBorders>
              <w:top w:val="nil"/>
              <w:left w:val="nil"/>
              <w:bottom w:val="nil"/>
              <w:right w:val="nil"/>
            </w:tcBorders>
            <w:vAlign w:val="center"/>
          </w:tcPr>
          <w:p w:rsidR="00E92D74" w:rsidRDefault="00C27CC6" w:rsidP="00C70283">
            <w:pPr>
              <w:spacing w:after="0"/>
              <w:jc w:val="center"/>
            </w:pPr>
            <w:r>
              <w:t>192.9</w:t>
            </w:r>
          </w:p>
        </w:tc>
        <w:tc>
          <w:tcPr>
            <w:tcW w:w="1560" w:type="dxa"/>
            <w:tcBorders>
              <w:top w:val="nil"/>
              <w:left w:val="nil"/>
              <w:bottom w:val="nil"/>
              <w:right w:val="nil"/>
            </w:tcBorders>
            <w:vAlign w:val="center"/>
          </w:tcPr>
          <w:p w:rsidR="00E92D74" w:rsidRDefault="00E92D74" w:rsidP="00C70283">
            <w:pPr>
              <w:spacing w:after="0"/>
              <w:jc w:val="center"/>
            </w:pPr>
            <w:r>
              <w:t>187.1</w:t>
            </w:r>
          </w:p>
        </w:tc>
      </w:tr>
      <w:tr w:rsidR="00E92D74" w:rsidTr="00C70283">
        <w:trPr>
          <w:jc w:val="center"/>
        </w:trPr>
        <w:tc>
          <w:tcPr>
            <w:tcW w:w="1592" w:type="dxa"/>
            <w:tcBorders>
              <w:top w:val="nil"/>
              <w:left w:val="nil"/>
              <w:bottom w:val="single" w:sz="4" w:space="0" w:color="auto"/>
              <w:right w:val="nil"/>
            </w:tcBorders>
            <w:vAlign w:val="center"/>
          </w:tcPr>
          <w:p w:rsidR="00E92D74" w:rsidRDefault="00E92D74" w:rsidP="00C70283">
            <w:pPr>
              <w:spacing w:after="0"/>
              <w:jc w:val="center"/>
            </w:pPr>
            <w:r>
              <w:t>0.3</w:t>
            </w:r>
          </w:p>
        </w:tc>
        <w:tc>
          <w:tcPr>
            <w:tcW w:w="1810" w:type="dxa"/>
            <w:tcBorders>
              <w:top w:val="nil"/>
              <w:left w:val="nil"/>
              <w:bottom w:val="single" w:sz="4" w:space="0" w:color="auto"/>
              <w:right w:val="nil"/>
            </w:tcBorders>
            <w:vAlign w:val="center"/>
          </w:tcPr>
          <w:p w:rsidR="00C27CC6" w:rsidRDefault="00E92D74" w:rsidP="00C70283">
            <w:pPr>
              <w:spacing w:after="0"/>
              <w:jc w:val="center"/>
            </w:pPr>
            <w:r>
              <w:t>252</w:t>
            </w:r>
            <w:r w:rsidR="00C27CC6">
              <w:t>.0</w:t>
            </w:r>
          </w:p>
        </w:tc>
        <w:tc>
          <w:tcPr>
            <w:tcW w:w="1560" w:type="dxa"/>
            <w:tcBorders>
              <w:top w:val="nil"/>
              <w:left w:val="nil"/>
              <w:bottom w:val="single" w:sz="4" w:space="0" w:color="auto"/>
              <w:right w:val="nil"/>
            </w:tcBorders>
            <w:vAlign w:val="center"/>
          </w:tcPr>
          <w:p w:rsidR="00E92D74" w:rsidRDefault="00E92D74" w:rsidP="00C70283">
            <w:pPr>
              <w:spacing w:after="0"/>
              <w:jc w:val="center"/>
            </w:pPr>
            <w:r>
              <w:t>256.6</w:t>
            </w:r>
          </w:p>
        </w:tc>
      </w:tr>
    </w:tbl>
    <w:p w:rsidR="006B367E" w:rsidRPr="00C27CC6" w:rsidRDefault="00791B1D" w:rsidP="00B00136">
      <w:pPr>
        <w:pStyle w:val="Heading1"/>
        <w:rPr>
          <w:sz w:val="28"/>
          <w:szCs w:val="24"/>
        </w:rPr>
      </w:pPr>
      <w:r w:rsidRPr="00C27CC6">
        <w:t>References</w:t>
      </w:r>
    </w:p>
    <w:p w:rsidR="006B367E" w:rsidRPr="00C70283" w:rsidRDefault="006B367E" w:rsidP="00B00136">
      <w:pPr>
        <w:rPr>
          <w:i/>
          <w:iCs/>
        </w:rPr>
      </w:pPr>
      <w:r w:rsidRPr="006B367E">
        <w:t xml:space="preserve">Pennsylvania State University (2017). </w:t>
      </w:r>
      <w:r w:rsidRPr="00C70283">
        <w:rPr>
          <w:i/>
        </w:rPr>
        <w:t>Key Properties of a Negative Binomial Random</w:t>
      </w:r>
      <w:r w:rsidR="00365A3F">
        <w:t xml:space="preserve"> </w:t>
      </w:r>
      <w:r w:rsidR="00590592">
        <w:rPr>
          <w:i/>
          <w:iCs/>
        </w:rPr>
        <w:t>Va</w:t>
      </w:r>
      <w:r w:rsidRPr="006B367E">
        <w:rPr>
          <w:i/>
          <w:iCs/>
        </w:rPr>
        <w:t>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__init__()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__repr__()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__str__()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__len__()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is_valid_ack()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__init__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color w:val="008000"/>
          <w:sz w:val="20"/>
          <w:szCs w:val="20"/>
          <w:highlight w:val="white"/>
          <w:lang w:eastAsia="en-US"/>
        </w:rPr>
        <w:t>#either dataPacket or acknowledgementPacket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data_len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checksum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__repr__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elif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'Seq no: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len: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__len__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decoding data ({}). Packet is 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local_port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local_port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remote_port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local_port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a bit error by random chance (increase data len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recieve packets on sender_in and recv_in.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recv_out or sender_out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'\nChannel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of the sender and reciver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drop_rate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non-ints/floats,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&lt;sender_in_port&gt; &lt;sender_out_port&gt; &lt;recv_in_port&gt; &lt;recv_out_port&gt; &lt;sender&gt; &lt;recv&gt; &lt;drop_rate&gt;"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"drop_rate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incomming connections to sender_in and recv_in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connecting sender_in or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four port numbers to use for the sockets c_s_in, c_s_out, c_r_in, and c_r_out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s_in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r_in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already 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receiver sockets r_in and r_out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c_r_in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bytes_to_send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packets_sent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does not 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exit_flag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bytes_to_send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packets_used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packets_used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sent.\nPackets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packets_sent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sender sockets s_in and s_out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c_s_in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A39A4"/>
    <w:rsid w:val="0012367B"/>
    <w:rsid w:val="00143702"/>
    <w:rsid w:val="001451DF"/>
    <w:rsid w:val="001E61A5"/>
    <w:rsid w:val="0029302D"/>
    <w:rsid w:val="002A15A3"/>
    <w:rsid w:val="002B48F1"/>
    <w:rsid w:val="00352BF8"/>
    <w:rsid w:val="00365A3F"/>
    <w:rsid w:val="00590592"/>
    <w:rsid w:val="0065507B"/>
    <w:rsid w:val="006B367E"/>
    <w:rsid w:val="006B55F7"/>
    <w:rsid w:val="006E42AB"/>
    <w:rsid w:val="00756250"/>
    <w:rsid w:val="00766388"/>
    <w:rsid w:val="00791B1D"/>
    <w:rsid w:val="00904058"/>
    <w:rsid w:val="009249D8"/>
    <w:rsid w:val="009C5581"/>
    <w:rsid w:val="009F0A01"/>
    <w:rsid w:val="00A24041"/>
    <w:rsid w:val="00A27CFA"/>
    <w:rsid w:val="00A32066"/>
    <w:rsid w:val="00A35280"/>
    <w:rsid w:val="00AD2D43"/>
    <w:rsid w:val="00B00136"/>
    <w:rsid w:val="00B12C6C"/>
    <w:rsid w:val="00B27364"/>
    <w:rsid w:val="00B61143"/>
    <w:rsid w:val="00B96152"/>
    <w:rsid w:val="00BF4E00"/>
    <w:rsid w:val="00C27CC6"/>
    <w:rsid w:val="00C70283"/>
    <w:rsid w:val="00DF0452"/>
    <w:rsid w:val="00DF38D1"/>
    <w:rsid w:val="00E56BC0"/>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B27A"/>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A26ED-F020-4102-897A-24B61243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Sam Pell</cp:lastModifiedBy>
  <cp:revision>3</cp:revision>
  <cp:lastPrinted>2017-09-09T02:44:00Z</cp:lastPrinted>
  <dcterms:created xsi:type="dcterms:W3CDTF">2017-09-09T02:59:00Z</dcterms:created>
  <dcterms:modified xsi:type="dcterms:W3CDTF">2017-09-09T03:05:00Z</dcterms:modified>
</cp:coreProperties>
</file>