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8pue2y799t8q" w:id="0"/>
      <w:bookmarkEnd w:id="0"/>
      <w:r w:rsidDel="00000000" w:rsidR="00000000" w:rsidRPr="00000000">
        <w:rPr>
          <w:b w:val="1"/>
          <w:color w:val="366091"/>
          <w:sz w:val="28"/>
          <w:szCs w:val="28"/>
          <w:rtl w:val="0"/>
        </w:rPr>
        <w:t xml:space="preserve">Quarterly Covenant Compliance Certificate – June 30,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Borrower: BB.Borrower</w:t>
        <w:br w:type="textWrapping"/>
        <w:br w:type="textWrapping"/>
        <w:t xml:space="preserve">Facility: USD 150,000,000 Senior Secured Term Loan</w:t>
        <w:br w:type="textWrapping"/>
        <w:br w:type="textWrapping"/>
        <w:t xml:space="preserve">Reporting Period Ending: June 30, 2025</w:t>
        <w:br w:type="textWrapping"/>
        <w:br w:type="textWrapping"/>
        <w:t xml:space="preserve">Total Drawdown to Date: USD 75,000,000 (50% of Facility)</w:t>
        <w:br w:type="textWrapping"/>
        <w:br w:type="textWrapping"/>
        <w:t xml:space="preserve">Financial Covenant Compliance:</w:t>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rHeight w:val="466.60791015624994" w:hRule="atLeast"/>
          <w:tblHeader w:val="0"/>
        </w:trPr>
        <w:tc>
          <w:tcPr>
            <w:shd w:fill="f3f3f3" w:val="clear"/>
          </w:tcPr>
          <w:p w:rsidR="00000000" w:rsidDel="00000000" w:rsidP="00000000" w:rsidRDefault="00000000" w:rsidRPr="00000000" w14:paraId="00000004">
            <w:pPr>
              <w:rPr/>
            </w:pPr>
            <w:r w:rsidDel="00000000" w:rsidR="00000000" w:rsidRPr="00000000">
              <w:rPr>
                <w:rtl w:val="0"/>
              </w:rPr>
              <w:t xml:space="preserve">Covenant</w:t>
            </w:r>
          </w:p>
        </w:tc>
        <w:tc>
          <w:tcPr>
            <w:shd w:fill="f3f3f3" w:val="clear"/>
          </w:tcPr>
          <w:p w:rsidR="00000000" w:rsidDel="00000000" w:rsidP="00000000" w:rsidRDefault="00000000" w:rsidRPr="00000000" w14:paraId="00000005">
            <w:pPr>
              <w:rPr/>
            </w:pPr>
            <w:r w:rsidDel="00000000" w:rsidR="00000000" w:rsidRPr="00000000">
              <w:rPr>
                <w:rtl w:val="0"/>
              </w:rPr>
              <w:t xml:space="preserve">Required</w:t>
            </w:r>
          </w:p>
        </w:tc>
        <w:tc>
          <w:tcPr>
            <w:shd w:fill="f3f3f3" w:val="clear"/>
          </w:tcPr>
          <w:p w:rsidR="00000000" w:rsidDel="00000000" w:rsidP="00000000" w:rsidRDefault="00000000" w:rsidRPr="00000000" w14:paraId="00000006">
            <w:pPr>
              <w:rPr/>
            </w:pPr>
            <w:r w:rsidDel="00000000" w:rsidR="00000000" w:rsidRPr="00000000">
              <w:rPr>
                <w:rtl w:val="0"/>
              </w:rPr>
              <w:t xml:space="preserve">Actual</w:t>
            </w:r>
          </w:p>
        </w:tc>
        <w:tc>
          <w:tcPr>
            <w:shd w:fill="f3f3f3" w:val="clear"/>
          </w:tcPr>
          <w:p w:rsidR="00000000" w:rsidDel="00000000" w:rsidP="00000000" w:rsidRDefault="00000000" w:rsidRPr="00000000" w14:paraId="00000007">
            <w:pPr>
              <w:rPr/>
            </w:pPr>
            <w:r w:rsidDel="00000000" w:rsidR="00000000" w:rsidRPr="00000000">
              <w:rPr>
                <w:rtl w:val="0"/>
              </w:rPr>
              <w:t xml:space="preserve">Compliant</w:t>
            </w:r>
          </w:p>
        </w:tc>
      </w:tr>
      <w:tr>
        <w:trPr>
          <w:cantSplit w:val="0"/>
          <w:tblHeader w:val="0"/>
        </w:trPr>
        <w:tc>
          <w:tcPr>
            <w:shd w:fill="f3f3f3" w:val="clear"/>
          </w:tcPr>
          <w:p w:rsidR="00000000" w:rsidDel="00000000" w:rsidP="00000000" w:rsidRDefault="00000000" w:rsidRPr="00000000" w14:paraId="00000008">
            <w:pPr>
              <w:rPr/>
            </w:pPr>
            <w:r w:rsidDel="00000000" w:rsidR="00000000" w:rsidRPr="00000000">
              <w:rPr>
                <w:rtl w:val="0"/>
              </w:rPr>
              <w:t xml:space="preserve">Debt / Equity</w:t>
            </w:r>
          </w:p>
        </w:tc>
        <w:tc>
          <w:tcPr>
            <w:shd w:fill="f3f3f3" w:val="clear"/>
          </w:tcPr>
          <w:p w:rsidR="00000000" w:rsidDel="00000000" w:rsidP="00000000" w:rsidRDefault="00000000" w:rsidRPr="00000000" w14:paraId="00000009">
            <w:pPr>
              <w:rPr/>
            </w:pPr>
            <w:r w:rsidDel="00000000" w:rsidR="00000000" w:rsidRPr="00000000">
              <w:rPr>
                <w:rtl w:val="0"/>
              </w:rPr>
              <w:t xml:space="preserve">≤ 2.25x</w:t>
            </w:r>
          </w:p>
        </w:tc>
        <w:tc>
          <w:tcPr>
            <w:shd w:fill="f3f3f3" w:val="clear"/>
          </w:tcPr>
          <w:p w:rsidR="00000000" w:rsidDel="00000000" w:rsidP="00000000" w:rsidRDefault="00000000" w:rsidRPr="00000000" w14:paraId="0000000A">
            <w:pPr>
              <w:rPr/>
            </w:pPr>
            <w:r w:rsidDel="00000000" w:rsidR="00000000" w:rsidRPr="00000000">
              <w:rPr>
                <w:rtl w:val="0"/>
              </w:rPr>
              <w:t xml:space="preserve">1.88x</w:t>
            </w:r>
          </w:p>
        </w:tc>
        <w:tc>
          <w:tcPr>
            <w:shd w:fill="f3f3f3" w:val="clear"/>
          </w:tcPr>
          <w:p w:rsidR="00000000" w:rsidDel="00000000" w:rsidP="00000000" w:rsidRDefault="00000000" w:rsidRPr="00000000" w14:paraId="0000000B">
            <w:pPr>
              <w:rPr/>
            </w:pPr>
            <w:r w:rsidDel="00000000" w:rsidR="00000000" w:rsidRPr="00000000">
              <w:rPr>
                <w:rtl w:val="0"/>
              </w:rPr>
              <w:t xml:space="preserve">Yes</w:t>
            </w:r>
          </w:p>
        </w:tc>
      </w:tr>
      <w:tr>
        <w:trPr>
          <w:cantSplit w:val="0"/>
          <w:tblHeader w:val="0"/>
        </w:trPr>
        <w:tc>
          <w:tcPr>
            <w:shd w:fill="f3f3f3" w:val="clear"/>
          </w:tcPr>
          <w:p w:rsidR="00000000" w:rsidDel="00000000" w:rsidP="00000000" w:rsidRDefault="00000000" w:rsidRPr="00000000" w14:paraId="0000000C">
            <w:pPr>
              <w:rPr/>
            </w:pPr>
            <w:r w:rsidDel="00000000" w:rsidR="00000000" w:rsidRPr="00000000">
              <w:rPr>
                <w:rtl w:val="0"/>
              </w:rPr>
              <w:t xml:space="preserve">Portfolio PAR30</w:t>
            </w:r>
          </w:p>
        </w:tc>
        <w:tc>
          <w:tcPr>
            <w:shd w:fill="f3f3f3" w:val="clear"/>
          </w:tcPr>
          <w:p w:rsidR="00000000" w:rsidDel="00000000" w:rsidP="00000000" w:rsidRDefault="00000000" w:rsidRPr="00000000" w14:paraId="0000000D">
            <w:pPr>
              <w:rPr/>
            </w:pPr>
            <w:r w:rsidDel="00000000" w:rsidR="00000000" w:rsidRPr="00000000">
              <w:rPr>
                <w:rtl w:val="0"/>
              </w:rPr>
              <w:t xml:space="preserve">≤ 20%</w:t>
            </w:r>
          </w:p>
        </w:tc>
        <w:tc>
          <w:tcPr>
            <w:shd w:fill="f3f3f3" w:val="clear"/>
          </w:tcPr>
          <w:p w:rsidR="00000000" w:rsidDel="00000000" w:rsidP="00000000" w:rsidRDefault="00000000" w:rsidRPr="00000000" w14:paraId="0000000E">
            <w:pPr>
              <w:rPr/>
            </w:pPr>
            <w:r w:rsidDel="00000000" w:rsidR="00000000" w:rsidRPr="00000000">
              <w:rPr>
                <w:rtl w:val="0"/>
              </w:rPr>
              <w:t xml:space="preserve">19.2%</w:t>
            </w:r>
          </w:p>
        </w:tc>
        <w:tc>
          <w:tcPr>
            <w:shd w:fill="f3f3f3" w:val="clear"/>
          </w:tcPr>
          <w:p w:rsidR="00000000" w:rsidDel="00000000" w:rsidP="00000000" w:rsidRDefault="00000000" w:rsidRPr="00000000" w14:paraId="0000000F">
            <w:pPr>
              <w:rPr/>
            </w:pPr>
            <w:r w:rsidDel="00000000" w:rsidR="00000000" w:rsidRPr="00000000">
              <w:rPr>
                <w:rtl w:val="0"/>
              </w:rPr>
              <w:t xml:space="preserve">Yes</w:t>
            </w:r>
          </w:p>
        </w:tc>
      </w:tr>
      <w:tr>
        <w:trPr>
          <w:cantSplit w:val="0"/>
          <w:tblHeader w:val="0"/>
        </w:trPr>
        <w:tc>
          <w:tcPr>
            <w:shd w:fill="ff0000" w:val="clear"/>
          </w:tcPr>
          <w:p w:rsidR="00000000" w:rsidDel="00000000" w:rsidP="00000000" w:rsidRDefault="00000000" w:rsidRPr="00000000" w14:paraId="00000010">
            <w:pPr>
              <w:rPr/>
            </w:pPr>
            <w:r w:rsidDel="00000000" w:rsidR="00000000" w:rsidRPr="00000000">
              <w:rPr>
                <w:rtl w:val="0"/>
              </w:rPr>
              <w:t xml:space="preserve">Loan-to-Value (LTV)</w:t>
            </w:r>
          </w:p>
        </w:tc>
        <w:tc>
          <w:tcPr>
            <w:shd w:fill="ff0000" w:val="clear"/>
          </w:tcPr>
          <w:p w:rsidR="00000000" w:rsidDel="00000000" w:rsidP="00000000" w:rsidRDefault="00000000" w:rsidRPr="00000000" w14:paraId="00000011">
            <w:pPr>
              <w:rPr/>
            </w:pPr>
            <w:r w:rsidDel="00000000" w:rsidR="00000000" w:rsidRPr="00000000">
              <w:rPr>
                <w:rtl w:val="0"/>
              </w:rPr>
              <w:t xml:space="preserve">≤ 80%</w:t>
            </w:r>
          </w:p>
        </w:tc>
        <w:tc>
          <w:tcPr>
            <w:shd w:fill="ff0000" w:val="clear"/>
          </w:tcPr>
          <w:p w:rsidR="00000000" w:rsidDel="00000000" w:rsidP="00000000" w:rsidRDefault="00000000" w:rsidRPr="00000000" w14:paraId="00000012">
            <w:pPr>
              <w:rPr/>
            </w:pPr>
            <w:r w:rsidDel="00000000" w:rsidR="00000000" w:rsidRPr="00000000">
              <w:rPr>
                <w:rtl w:val="0"/>
              </w:rPr>
              <w:t xml:space="preserve">87%</w:t>
            </w:r>
          </w:p>
        </w:tc>
        <w:tc>
          <w:tcPr>
            <w:shd w:fill="ff0000" w:val="clear"/>
          </w:tcPr>
          <w:p w:rsidR="00000000" w:rsidDel="00000000" w:rsidP="00000000" w:rsidRDefault="00000000" w:rsidRPr="00000000" w14:paraId="00000013">
            <w:pPr>
              <w:rPr/>
            </w:pPr>
            <w:r w:rsidDel="00000000" w:rsidR="00000000" w:rsidRPr="00000000">
              <w:rPr>
                <w:rtl w:val="0"/>
              </w:rPr>
              <w:t xml:space="preserve">No</w:t>
            </w:r>
          </w:p>
        </w:tc>
      </w:tr>
      <w:tr>
        <w:trPr>
          <w:cantSplit w:val="0"/>
          <w:tblHeader w:val="0"/>
        </w:trPr>
        <w:tc>
          <w:tcPr>
            <w:shd w:fill="f3f3f3" w:val="clear"/>
          </w:tcPr>
          <w:p w:rsidR="00000000" w:rsidDel="00000000" w:rsidP="00000000" w:rsidRDefault="00000000" w:rsidRPr="00000000" w14:paraId="00000014">
            <w:pPr>
              <w:rPr/>
            </w:pPr>
            <w:r w:rsidDel="00000000" w:rsidR="00000000" w:rsidRPr="00000000">
              <w:rPr>
                <w:rtl w:val="0"/>
              </w:rPr>
              <w:t xml:space="preserve">Women Clients</w:t>
            </w:r>
          </w:p>
        </w:tc>
        <w:tc>
          <w:tcPr>
            <w:shd w:fill="f3f3f3" w:val="clear"/>
          </w:tcPr>
          <w:p w:rsidR="00000000" w:rsidDel="00000000" w:rsidP="00000000" w:rsidRDefault="00000000" w:rsidRPr="00000000" w14:paraId="00000015">
            <w:pPr>
              <w:rPr/>
            </w:pPr>
            <w:r w:rsidDel="00000000" w:rsidR="00000000" w:rsidRPr="00000000">
              <w:rPr>
                <w:rtl w:val="0"/>
              </w:rPr>
              <w:t xml:space="preserve">≥ 50%</w:t>
            </w:r>
          </w:p>
        </w:tc>
        <w:tc>
          <w:tcPr>
            <w:shd w:fill="f3f3f3" w:val="clear"/>
          </w:tcPr>
          <w:p w:rsidR="00000000" w:rsidDel="00000000" w:rsidP="00000000" w:rsidRDefault="00000000" w:rsidRPr="00000000" w14:paraId="00000016">
            <w:pPr>
              <w:rPr/>
            </w:pPr>
            <w:r w:rsidDel="00000000" w:rsidR="00000000" w:rsidRPr="00000000">
              <w:rPr>
                <w:rtl w:val="0"/>
              </w:rPr>
              <w:t xml:space="preserve">54%</w:t>
            </w:r>
          </w:p>
        </w:tc>
        <w:tc>
          <w:tcPr>
            <w:shd w:fill="f3f3f3" w:val="clear"/>
          </w:tcPr>
          <w:p w:rsidR="00000000" w:rsidDel="00000000" w:rsidP="00000000" w:rsidRDefault="00000000" w:rsidRPr="00000000" w14:paraId="00000017">
            <w:pPr>
              <w:rPr/>
            </w:pPr>
            <w:r w:rsidDel="00000000" w:rsidR="00000000" w:rsidRPr="00000000">
              <w:rPr>
                <w:rtl w:val="0"/>
              </w:rPr>
              <w:t xml:space="preserve">Yes</w:t>
            </w:r>
          </w:p>
        </w:tc>
      </w:tr>
      <w:tr>
        <w:trPr>
          <w:cantSplit w:val="0"/>
          <w:tblHeader w:val="0"/>
        </w:trPr>
        <w:tc>
          <w:tcPr>
            <w:shd w:fill="f3f3f3" w:val="clear"/>
          </w:tcPr>
          <w:p w:rsidR="00000000" w:rsidDel="00000000" w:rsidP="00000000" w:rsidRDefault="00000000" w:rsidRPr="00000000" w14:paraId="00000018">
            <w:pPr>
              <w:rPr/>
            </w:pPr>
            <w:r w:rsidDel="00000000" w:rsidR="00000000" w:rsidRPr="00000000">
              <w:rPr>
                <w:rtl w:val="0"/>
              </w:rPr>
              <w:t xml:space="preserve">CO₂ Reduction</w:t>
            </w:r>
          </w:p>
        </w:tc>
        <w:tc>
          <w:tcPr>
            <w:shd w:fill="f3f3f3" w:val="clear"/>
          </w:tcPr>
          <w:p w:rsidR="00000000" w:rsidDel="00000000" w:rsidP="00000000" w:rsidRDefault="00000000" w:rsidRPr="00000000" w14:paraId="00000019">
            <w:pPr>
              <w:rPr/>
            </w:pPr>
            <w:r w:rsidDel="00000000" w:rsidR="00000000" w:rsidRPr="00000000">
              <w:rPr>
                <w:rtl w:val="0"/>
              </w:rPr>
              <w:t xml:space="preserve">≥ 1.25%</w:t>
            </w:r>
          </w:p>
        </w:tc>
        <w:tc>
          <w:tcPr>
            <w:shd w:fill="f3f3f3" w:val="clear"/>
          </w:tcPr>
          <w:p w:rsidR="00000000" w:rsidDel="00000000" w:rsidP="00000000" w:rsidRDefault="00000000" w:rsidRPr="00000000" w14:paraId="0000001A">
            <w:pPr>
              <w:rPr/>
            </w:pPr>
            <w:r w:rsidDel="00000000" w:rsidR="00000000" w:rsidRPr="00000000">
              <w:rPr>
                <w:rtl w:val="0"/>
              </w:rPr>
              <w:t xml:space="preserve">7.8%</w:t>
            </w:r>
          </w:p>
        </w:tc>
        <w:tc>
          <w:tcPr>
            <w:shd w:fill="f3f3f3" w:val="clear"/>
          </w:tcPr>
          <w:p w:rsidR="00000000" w:rsidDel="00000000" w:rsidP="00000000" w:rsidRDefault="00000000" w:rsidRPr="00000000" w14:paraId="0000001B">
            <w:pPr>
              <w:rPr/>
            </w:pPr>
            <w:r w:rsidDel="00000000" w:rsidR="00000000" w:rsidRPr="00000000">
              <w:rPr>
                <w:rtl w:val="0"/>
              </w:rPr>
              <w:t xml:space="preserve">Yes</w:t>
            </w:r>
          </w:p>
        </w:tc>
      </w:tr>
    </w:tbl>
    <w:p w:rsidR="00000000" w:rsidDel="00000000" w:rsidP="00000000" w:rsidRDefault="00000000" w:rsidRPr="00000000" w14:paraId="0000001C">
      <w:pPr>
        <w:rPr/>
      </w:pPr>
      <w:r w:rsidDel="00000000" w:rsidR="00000000" w:rsidRPr="00000000">
        <w:rPr>
          <w:rtl w:val="0"/>
        </w:rPr>
        <w:br w:type="textWrapping"/>
        <w:br w:type="textWrapping"/>
        <w:t xml:space="preserve">Explanation of Covenant Breach: The Loan-to-Value ratio breach (87% vs. 80% requirement) occurred due to a significant decrease in the fair value of eligible receivables, primarily driven by unexpected macroeconomic volatility affecting repayment rates and asset valuations in the Nigerian and Senegalese markets. Management has initiated corrective actions, including tightening underwriting standards and increasing collection activities.</w:t>
        <w:br w:type="textWrapping"/>
        <w:br w:type="textWrapping"/>
        <w:t xml:space="preserve">Compliance Confirmation: We confirm the covenant breach described above and have informed all lenders promptly. Corrective measures are in progress, and management commits to resolving the breach swiftly.</w:t>
        <w:br w:type="textWrapping"/>
        <w:br w:type="textWrapping"/>
        <w:t xml:space="preserve">Signed:</w:t>
        <w:br w:type="textWrapping"/>
        <w:br w:type="textWrapping"/>
        <w:t xml:space="preserve">_____________________________</w:t>
        <w:br w:type="textWrapping"/>
        <w:t xml:space="preserve">Jane Marasi  </w:t>
        <w:br w:type="textWrapping"/>
        <w:t xml:space="preserve">Chief Executive Officer  </w:t>
        <w:br w:type="textWrapping"/>
        <w:t xml:space="preserve">BB.Borrower</w:t>
        <w:br w:type="textWrapping"/>
        <w:br w:type="textWrapping"/>
        <w:t xml:space="preserve">Date: ___________________</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g/HywDzOMDEo5Cm2vQwqoJcMA==">CgMxLjAyDmguOHB1ZTJ5Nzk5dDhxOAByITFrYnpjSjVzUUkySWFwckR3MERtYjdCSE11a0l2aElwaQ==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