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COMMON TERMS AGREEMENT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COMMON TERMS AGREEMENT</w:t>
        <w:br w:type="textWrapping"/>
        <w:br w:type="textWrapping"/>
        <w:t xml:space="preserve">This Common Terms Agreement (the "CTA") is entered into as of [Date], between:</w:t>
        <w:br w:type="textWrapping"/>
        <w:br w:type="textWrapping"/>
        <w:t xml:space="preserve">- BB.Borrower Ltd. ("Borrower")</w:t>
        <w:br w:type="textWrapping"/>
        <w:t xml:space="preserve">- Bank 1 as Agent</w:t>
        <w:br w:type="textWrapping"/>
        <w:t xml:space="preserve">- Bank 2 as Lender</w:t>
        <w:br w:type="textWrapping"/>
        <w:t xml:space="preserve">- Bank 3 as Lender</w:t>
        <w:br w:type="textWrapping"/>
        <w:br w:type="textWrapping"/>
        <w:t xml:space="preserve">1. Definitions</w:t>
        <w:br w:type="textWrapping"/>
        <w:t xml:space="preserve">Capitalized terms herein shall have the meanings assigned in the Facility Agreement unless otherwise defined herein.</w:t>
        <w:br w:type="textWrapping"/>
        <w:br w:type="textWrapping"/>
        <w:t xml:space="preserve">2. Purpose</w:t>
        <w:br w:type="textWrapping"/>
        <w:t xml:space="preserve">This CTA establishes common terms applicable to all facilities provided to the Borrower.</w:t>
        <w:br w:type="textWrapping"/>
        <w:br w:type="textWrapping"/>
        <w:t xml:space="preserve">3. Conditions Precedent</w:t>
        <w:br w:type="textWrapping"/>
        <w:t xml:space="preserve">Standard conditions including:</w:t>
        <w:br w:type="textWrapping"/>
        <w:t xml:space="preserve">- Satisfactory completion of due diligence</w:t>
        <w:br w:type="textWrapping"/>
        <w:t xml:space="preserve">- Legal opinions</w:t>
        <w:br w:type="textWrapping"/>
        <w:t xml:space="preserve">- Execution of Facility Agreement and Security Documents</w:t>
        <w:br w:type="textWrapping"/>
        <w:br w:type="textWrapping"/>
        <w:t xml:space="preserve">4. Representations and Warranties</w:t>
        <w:br w:type="textWrapping"/>
        <w:t xml:space="preserve">Standard borrower representations, warranties as outlined in Schedule A.</w:t>
        <w:br w:type="textWrapping"/>
        <w:br w:type="textWrapping"/>
        <w:t xml:space="preserve">5. Covenants</w:t>
        <w:br w:type="textWrapping"/>
        <w:t xml:space="preserve">Borrower covenants to:</w:t>
        <w:br w:type="textWrapping"/>
        <w:t xml:space="preserve">- Maintain Debt to Equity ≤ 2.25x</w:t>
        <w:br w:type="textWrapping"/>
        <w:t xml:space="preserve">- Maintain Portfolio PAR30 ≤ 20%</w:t>
        <w:br w:type="textWrapping"/>
        <w:t xml:space="preserve">- Maintain Loan-to-Value ≤ 80%</w:t>
        <w:br w:type="textWrapping"/>
        <w:t xml:space="preserve">- Comply with Sustainability Targets (Women client percentage and CO₂ reduction targets)</w:t>
        <w:br w:type="textWrapping"/>
        <w:br w:type="textWrapping"/>
        <w:t xml:space="preserve">6. Events of Default</w:t>
        <w:br w:type="textWrapping"/>
        <w:t xml:space="preserve">Standard including:</w:t>
        <w:br w:type="textWrapping"/>
        <w:t xml:space="preserve">- Non-payment</w:t>
        <w:br w:type="textWrapping"/>
        <w:t xml:space="preserve">- Breach of covenants</w:t>
        <w:br w:type="textWrapping"/>
        <w:t xml:space="preserve">- Insolvency or bankruptcy proceedings</w:t>
        <w:br w:type="textWrapping"/>
        <w:br w:type="textWrapping"/>
        <w:t xml:space="preserve">7. Security</w:t>
        <w:br w:type="textWrapping"/>
        <w:t xml:space="preserve">First-ranking security over eligible receivables (defined in Facility Agreement).</w:t>
        <w:br w:type="textWrapping"/>
        <w:br w:type="textWrapping"/>
        <w:t xml:space="preserve">8. Amendments</w:t>
        <w:br w:type="textWrapping"/>
        <w:t xml:space="preserve">Amendments require consent of Lenders representing at least 66.67% of commitments.</w:t>
        <w:br w:type="textWrapping"/>
        <w:br w:type="textWrapping"/>
        <w:t xml:space="preserve">9. Governing Law</w:t>
        <w:br w:type="textWrapping"/>
        <w:t xml:space="preserve">This Agreement is governed by English Law.</w:t>
        <w:br w:type="textWrapping"/>
        <w:br w:type="textWrapping"/>
        <w:t xml:space="preserve">Schedules:</w:t>
        <w:br w:type="textWrapping"/>
        <w:t xml:space="preserve">- Schedule A: Representations and Warranties</w:t>
        <w:br w:type="textWrapping"/>
        <w:t xml:space="preserve">- Schedule B: Covenants and Undertakings</w:t>
        <w:br w:type="textWrapping"/>
        <w:t xml:space="preserve">- Schedule C: Events of Default</w:t>
        <w:br w:type="textWrapping"/>
        <w:br w:type="textWrapping"/>
        <w:t xml:space="preserve">Execution:</w:t>
        <w:br w:type="textWrapping"/>
        <w:t xml:space="preserve">IN WITNESS WHEREOF, the parties hereto have executed this CTA as of the date first written above.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G/WDRM8XzVRkTaxDddupBuNPmw==">CgMxLjA4AHIhMWhEakVocnJLVllJVTB1bEoxQ0NxcllVVkN0aUlad3Fv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