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A5C"/>
          <w:sz w:val="44"/>
        </w:rPr>
        <w:t>DC Site Finder — Briefing Document</w:t>
      </w:r>
    </w:p>
    <w:p>
      <w:pPr>
        <w:spacing w:after="320"/>
      </w:pPr>
      <w:r>
        <w:rPr>
          <w:i/>
          <w:color w:val="6B7A8D"/>
          <w:sz w:val="20"/>
        </w:rPr>
        <w:t>Draft content for two-slide deck · 31 Mar 2026</w:t>
      </w:r>
    </w:p>
    <w:p>
      <w:pPr>
        <w:spacing w:after="40"/>
      </w:pPr>
    </w:p>
    <w:p>
      <w:pPr>
        <w:pBdr>
          <w:bottom w:val="single" w:sz="6" w:space="1" w:color="2C5F8A"/>
        </w:pBdr>
        <w:spacing w:after="160"/>
      </w:pPr>
    </w:p>
    <w:p>
      <w:pPr>
        <w:pStyle w:val="Heading1"/>
        <w:spacing w:before="360" w:after="120"/>
      </w:pPr>
      <w:r>
        <w:rPr>
          <w:color w:val="1A3A5C"/>
          <w:sz w:val="36"/>
        </w:rPr>
        <w:t>SLIDE 1: What the Tool Does</w:t>
      </w:r>
    </w:p>
    <w:p>
      <w:pPr>
        <w:pStyle w:val="Heading2"/>
        <w:spacing w:before="240" w:after="80"/>
      </w:pPr>
      <w:r>
        <w:rPr>
          <w:color w:val="2C5F8A"/>
          <w:sz w:val="26"/>
        </w:rPr>
        <w:t>Three outcomes DC operators get from day one</w:t>
      </w:r>
    </w:p>
    <w:p>
      <w:pPr>
        <w:pStyle w:val="Heading3"/>
        <w:spacing w:before="200" w:after="60"/>
      </w:pPr>
      <w:r>
        <w:rPr>
          <w:color w:val="1A3A5C"/>
          <w:sz w:val="22"/>
        </w:rPr>
        <w:t>1.  Your team spends six weeks building a shortlist. This builds the same one before lunch.</w:t>
      </w:r>
    </w:p>
    <w:p>
      <w:pPr>
        <w:spacing w:after="80"/>
      </w:pPr>
      <w:r>
        <w:rPr>
          <w:b w:val="0"/>
          <w:i w:val="0"/>
          <w:color w:val="1A1A1A"/>
          <w:sz w:val="20"/>
        </w:rPr>
        <w:t>Manual site screening for a 100MW data centre currently takes a team of two, four to eight weeks. They're pulling NESO TEC queue registers, DNO headroom portals, EA flood maps, planning databases, and OS land parcel records — from different sources, in different formats, at different update frequencies. They're building a patchwork. And at the end of it, they might have 20 sites worth looking at.</w:t>
      </w:r>
    </w:p>
    <w:p>
      <w:pPr>
        <w:spacing w:after="80"/>
      </w:pPr>
      <w:r>
        <w:rPr>
          <w:b w:val="0"/>
          <w:i w:val="0"/>
          <w:color w:val="1A1A1A"/>
          <w:sz w:val="20"/>
        </w:rPr>
        <w:t>The DC Site Finder covers 63,478 UK land parcels, pre-enriched with grid, flood, fibre, planning, and buildability data. Every parcel scored. Every filter instant. A 100MW search that takes a team two weeks to screen manually runs in seconds and returns a ranked shortlist with full score breakdowns.</w:t>
      </w:r>
    </w:p>
    <w:p>
      <w:pPr>
        <w:spacing w:before="80" w:after="80"/>
        <w:ind w:left="432"/>
      </w:pPr>
      <w:r>
        <w:rPr>
          <w:b/>
          <w:color w:val="D97300"/>
          <w:sz w:val="20"/>
        </w:rPr>
        <w:t>63,478 parcels. Four dimensions. Instant ranked output. The analysis that took weeks now takes a filter.</w:t>
      </w:r>
    </w:p>
    <w:p/>
    <w:p>
      <w:pPr>
        <w:pStyle w:val="Heading3"/>
        <w:spacing w:before="200" w:after="60"/>
      </w:pPr>
      <w:r>
        <w:rPr>
          <w:color w:val="1A3A5C"/>
          <w:sz w:val="22"/>
        </w:rPr>
        <w:t>2.  Every grid report you have seen about London substations is wrong — here is why.</w:t>
      </w:r>
    </w:p>
    <w:p>
      <w:pPr>
        <w:spacing w:after="80"/>
      </w:pPr>
      <w:r>
        <w:rPr>
          <w:b w:val="0"/>
          <w:i w:val="0"/>
          <w:color w:val="1A1A1A"/>
          <w:sz w:val="20"/>
        </w:rPr>
        <w:t>The most cited grid constraint measure in the UK is the NESO TEC Register. It shows near-zero queue pressure at London substations. That is because the TEC Register counts generation connections only — wind farms, batteries, power stations. No generators connect in Mayfair. So London looks unconstrained.</w:t>
      </w:r>
    </w:p>
    <w:p>
      <w:pPr>
        <w:spacing w:after="80"/>
      </w:pPr>
      <w:r>
        <w:rPr>
          <w:b w:val="0"/>
          <w:i w:val="0"/>
          <w:color w:val="1A1A1A"/>
          <w:sz w:val="20"/>
        </w:rPr>
        <w:t>London is not unconstrained. It is running at 85–92% committed utilisation by 2030, once you include the demand connections — the hyperscalers, rail operators, and EV charging networks that have already contracted connections but haven't been built yet. That data lives in UKPN LTDS Table 3a. We ingest it, and we show you what the committed pipeline actually looks like.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1A3A5C" w:val="clear"/>
            <w:vAlign w:val="center"/>
          </w:tcPr>
          <w:p>
            <w:r>
              <w:rPr>
                <w:b/>
                <w:color w:val="FFFFFF"/>
                <w:sz w:val="18"/>
              </w:rPr>
              <w:t>Substation</w:t>
            </w:r>
          </w:p>
        </w:tc>
        <w:tc>
          <w:tcPr>
            <w:tcW w:type="dxa" w:w="1984"/>
            <w:shd w:fill="1A3A5C" w:val="clear"/>
            <w:vAlign w:val="center"/>
          </w:tcPr>
          <w:p>
            <w:r>
              <w:rPr>
                <w:b/>
                <w:color w:val="FFFFFF"/>
                <w:sz w:val="18"/>
              </w:rPr>
              <w:t>Firm Capacity</w:t>
            </w:r>
          </w:p>
        </w:tc>
        <w:tc>
          <w:tcPr>
            <w:tcW w:type="dxa" w:w="1984"/>
            <w:shd w:fill="1A3A5C" w:val="clear"/>
            <w:vAlign w:val="center"/>
          </w:tcPr>
          <w:p>
            <w:r>
              <w:rPr>
                <w:b/>
                <w:color w:val="FFFFFF"/>
                <w:sz w:val="18"/>
              </w:rPr>
              <w:t>Current Util.</w:t>
            </w:r>
          </w:p>
        </w:tc>
        <w:tc>
          <w:tcPr>
            <w:tcW w:type="dxa" w:w="2551"/>
            <w:shd w:fill="1A3A5C" w:val="clear"/>
            <w:vAlign w:val="center"/>
          </w:tcPr>
          <w:p>
            <w:r>
              <w:rPr>
                <w:b/>
                <w:color w:val="FFFFFF"/>
                <w:sz w:val="18"/>
              </w:rPr>
              <w:t>2030 Committed Util.</w:t>
            </w:r>
          </w:p>
        </w:tc>
      </w:tr>
      <w:tr>
        <w:tc>
          <w:tcPr>
            <w:tcW w:type="dxa" w:w="2351"/>
            <w:shd w:fill="FFFFFF" w:val="clear"/>
          </w:tcPr>
          <w:p>
            <w:r>
              <w:rPr>
                <w:b/>
                <w:color w:val="1A1A1A"/>
                <w:sz w:val="18"/>
              </w:rPr>
              <w:t>Wimbledon</w:t>
            </w:r>
          </w:p>
        </w:tc>
        <w:tc>
          <w:tcPr>
            <w:tcW w:type="dxa" w:w="2351"/>
            <w:shd w:fill="FFFFFF" w:val="clear"/>
          </w:tcPr>
          <w:p>
            <w:r>
              <w:rPr>
                <w:color w:val="1A1A1A"/>
                <w:sz w:val="18"/>
              </w:rPr>
              <w:t>108 MW</w:t>
            </w:r>
          </w:p>
        </w:tc>
        <w:tc>
          <w:tcPr>
            <w:tcW w:type="dxa" w:w="2351"/>
            <w:shd w:fill="FFFFFF" w:val="clear"/>
          </w:tcPr>
          <w:p>
            <w:r>
              <w:rPr>
                <w:color w:val="1A1A1A"/>
                <w:sz w:val="18"/>
              </w:rPr>
              <w:t>~55%</w:t>
            </w:r>
          </w:p>
        </w:tc>
        <w:tc>
          <w:tcPr>
            <w:tcW w:type="dxa" w:w="2351"/>
            <w:shd w:fill="FFFFFF" w:val="clear"/>
          </w:tcPr>
          <w:p>
            <w:r>
              <w:rPr>
                <w:color w:val="1A1A1A"/>
                <w:sz w:val="18"/>
              </w:rPr>
              <w:t>85.6% — CONSTRAINED</w:t>
            </w:r>
          </w:p>
        </w:tc>
      </w:tr>
      <w:tr>
        <w:tc>
          <w:tcPr>
            <w:tcW w:type="dxa" w:w="2351"/>
            <w:shd w:fill="F5F7FA" w:val="clear"/>
          </w:tcPr>
          <w:p>
            <w:r>
              <w:rPr>
                <w:b/>
                <w:color w:val="1A1A1A"/>
                <w:sz w:val="18"/>
              </w:rPr>
              <w:t>Barking 132kV</w:t>
            </w:r>
          </w:p>
        </w:tc>
        <w:tc>
          <w:tcPr>
            <w:tcW w:type="dxa" w:w="2351"/>
            <w:shd w:fill="F5F7FA" w:val="clear"/>
          </w:tcPr>
          <w:p>
            <w:r>
              <w:rPr>
                <w:color w:val="1A1A1A"/>
                <w:sz w:val="18"/>
              </w:rPr>
              <w:t>84 MW</w:t>
            </w:r>
          </w:p>
        </w:tc>
        <w:tc>
          <w:tcPr>
            <w:tcW w:type="dxa" w:w="2351"/>
            <w:shd w:fill="F5F7FA" w:val="clear"/>
          </w:tcPr>
          <w:p>
            <w:r>
              <w:rPr>
                <w:color w:val="1A1A1A"/>
                <w:sz w:val="18"/>
              </w:rPr>
              <w:t>~65%</w:t>
            </w:r>
          </w:p>
        </w:tc>
        <w:tc>
          <w:tcPr>
            <w:tcW w:type="dxa" w:w="2351"/>
            <w:shd w:fill="F5F7FA" w:val="clear"/>
          </w:tcPr>
          <w:p>
            <w:r>
              <w:rPr>
                <w:color w:val="1A1A1A"/>
                <w:sz w:val="18"/>
              </w:rPr>
              <w:t>91.7% — CONSTRAINED</w:t>
            </w:r>
          </w:p>
        </w:tc>
      </w:tr>
      <w:tr>
        <w:tc>
          <w:tcPr>
            <w:tcW w:type="dxa" w:w="2351"/>
            <w:shd w:fill="FFFFFF" w:val="clear"/>
          </w:tcPr>
          <w:p>
            <w:r>
              <w:rPr>
                <w:b/>
                <w:color w:val="1A1A1A"/>
                <w:sz w:val="18"/>
              </w:rPr>
              <w:t>St Johns Wood</w:t>
            </w:r>
          </w:p>
        </w:tc>
        <w:tc>
          <w:tcPr>
            <w:tcW w:type="dxa" w:w="2351"/>
            <w:shd w:fill="FFFFFF" w:val="clear"/>
          </w:tcPr>
          <w:p>
            <w:r>
              <w:rPr>
                <w:color w:val="1A1A1A"/>
                <w:sz w:val="18"/>
              </w:rPr>
              <w:t>464 MW</w:t>
            </w:r>
          </w:p>
        </w:tc>
        <w:tc>
          <w:tcPr>
            <w:tcW w:type="dxa" w:w="2351"/>
            <w:shd w:fill="FFFFFF" w:val="clear"/>
          </w:tcPr>
          <w:p>
            <w:r>
              <w:rPr>
                <w:color w:val="1A1A1A"/>
                <w:sz w:val="18"/>
              </w:rPr>
              <w:t>~42%</w:t>
            </w:r>
          </w:p>
        </w:tc>
        <w:tc>
          <w:tcPr>
            <w:tcW w:type="dxa" w:w="2351"/>
            <w:shd w:fill="FFFFFF" w:val="clear"/>
          </w:tcPr>
          <w:p>
            <w:r>
              <w:rPr>
                <w:color w:val="1A1A1A"/>
                <w:sz w:val="18"/>
              </w:rPr>
              <w:t>59.6% — AMBER</w:t>
            </w:r>
          </w:p>
        </w:tc>
      </w:tr>
      <w:tr>
        <w:tc>
          <w:tcPr>
            <w:tcW w:type="dxa" w:w="2351"/>
            <w:shd w:fill="F5F7FA" w:val="clear"/>
          </w:tcPr>
          <w:p>
            <w:r>
              <w:rPr>
                <w:b/>
                <w:color w:val="1A1A1A"/>
                <w:sz w:val="18"/>
              </w:rPr>
              <w:t>City Road</w:t>
            </w:r>
          </w:p>
        </w:tc>
        <w:tc>
          <w:tcPr>
            <w:tcW w:type="dxa" w:w="2351"/>
            <w:shd w:fill="F5F7FA" w:val="clear"/>
          </w:tcPr>
          <w:p>
            <w:r>
              <w:rPr>
                <w:color w:val="1A1A1A"/>
                <w:sz w:val="18"/>
              </w:rPr>
              <w:t>980 MW</w:t>
            </w:r>
          </w:p>
        </w:tc>
        <w:tc>
          <w:tcPr>
            <w:tcW w:type="dxa" w:w="2351"/>
            <w:shd w:fill="F5F7FA" w:val="clear"/>
          </w:tcPr>
          <w:p>
            <w:r>
              <w:rPr>
                <w:color w:val="1A1A1A"/>
                <w:sz w:val="18"/>
              </w:rPr>
              <w:t>~24%</w:t>
            </w:r>
          </w:p>
        </w:tc>
        <w:tc>
          <w:tcPr>
            <w:tcW w:type="dxa" w:w="2351"/>
            <w:shd w:fill="F5F7FA" w:val="clear"/>
          </w:tcPr>
          <w:p>
            <w:r>
              <w:rPr>
                <w:color w:val="1A1A1A"/>
                <w:sz w:val="18"/>
              </w:rPr>
              <w:t>41.8% — AVAILABLE</w:t>
            </w:r>
          </w:p>
        </w:tc>
      </w:tr>
    </w:tbl>
    <w:p/>
    <w:p>
      <w:pPr>
        <w:spacing w:before="80" w:after="80"/>
        <w:ind w:left="432"/>
      </w:pPr>
      <w:r>
        <w:rPr>
          <w:b/>
          <w:color w:val="D97300"/>
          <w:sz w:val="20"/>
        </w:rPr>
        <w:t>Wimbledon: 85.6% committed by 2030. Barking: 91.7%. That is not in any broker report. It is in the LTDS. We read the LTDS.</w:t>
      </w:r>
    </w:p>
    <w:p/>
    <w:p>
      <w:pPr>
        <w:pStyle w:val="Heading3"/>
        <w:spacing w:before="200" w:after="60"/>
      </w:pPr>
      <w:r>
        <w:rPr>
          <w:color w:val="1A3A5C"/>
          <w:sz w:val="22"/>
        </w:rPr>
        <w:t>3.  Every number traces to a named public dataset. Take it to investment committee.</w:t>
      </w:r>
    </w:p>
    <w:p>
      <w:pPr>
        <w:spacing w:after="80"/>
      </w:pPr>
      <w:r>
        <w:rPr>
          <w:b w:val="0"/>
          <w:i w:val="0"/>
          <w:color w:val="1A1A1A"/>
          <w:sz w:val="20"/>
        </w:rPr>
        <w:t>Most site shortlists are built on qualitative judgement — broker estimates, anecdotal grid feedback, manual planning checks. They cannot be audited. They cannot be reproduced. And they create risk when the IC asks how you arrived at a number.</w:t>
      </w:r>
    </w:p>
    <w:p>
      <w:pPr>
        <w:spacing w:after="80"/>
      </w:pPr>
      <w:r>
        <w:rPr>
          <w:b w:val="0"/>
          <w:i w:val="0"/>
          <w:color w:val="1A1A1A"/>
          <w:sz w:val="20"/>
        </w:rPr>
        <w:t>Every score in the DC Site Finder derives from a named, publicly available dataset with documented methodology. A site's power score traces back to its LTDS Table 3a row. Its flood exclusion traces back to the EA flood map polygon. Its fibre score traces back to the ITU BBmaps route segment. 134 substations scored. 6 DNOs covered. No qualitative adjustments. No black boxes.</w:t>
      </w:r>
    </w:p>
    <w:p>
      <w:pPr>
        <w:spacing w:before="80" w:after="80"/>
        <w:ind w:left="432"/>
      </w:pPr>
      <w:r>
        <w:rPr>
          <w:b/>
          <w:color w:val="D97300"/>
          <w:sz w:val="20"/>
        </w:rPr>
        <w:t>Suitable as the primary data input to investment committee analysis — not just an internal screening exercise.</w:t>
      </w:r>
    </w:p>
    <w:p>
      <w:pPr>
        <w:spacing w:after="40"/>
      </w:pPr>
    </w:p>
    <w:p>
      <w:pPr>
        <w:pBdr>
          <w:bottom w:val="single" w:sz="6" w:space="1" w:color="2C5F8A"/>
        </w:pBdr>
        <w:spacing w:after="160"/>
      </w:pPr>
    </w:p>
    <w:p>
      <w:pPr>
        <w:pStyle w:val="Heading2"/>
        <w:spacing w:before="240" w:after="80"/>
      </w:pPr>
      <w:r>
        <w:rPr>
          <w:color w:val="2C5F8A"/>
          <w:sz w:val="26"/>
        </w:rPr>
        <w:t>The scoring approach — step by step</w:t>
      </w:r>
    </w:p>
    <w:p>
      <w:pPr>
        <w:pStyle w:val="Heading3"/>
        <w:spacing w:before="200" w:after="60"/>
      </w:pPr>
      <w:r>
        <w:rPr>
          <w:color w:val="1A3A5C"/>
          <w:sz w:val="22"/>
        </w:rPr>
        <w:t>Stage 1 — Ingest all relevant land parcels</w:t>
      </w:r>
    </w:p>
    <w:p>
      <w:pPr>
        <w:spacing w:after="80"/>
      </w:pPr>
      <w:r>
        <w:rPr>
          <w:b w:val="0"/>
          <w:i w:val="0"/>
          <w:color w:val="1A1A1A"/>
          <w:sz w:val="20"/>
        </w:rPr>
        <w:t>What we do: Pull every land parcel in the UK that could plausibly host a data centre.</w:t>
      </w:r>
    </w:p>
    <w:p>
      <w:pPr>
        <w:spacing w:after="80"/>
      </w:pPr>
      <w:r>
        <w:rPr>
          <w:b w:val="0"/>
          <w:i w:val="0"/>
          <w:color w:val="1A1A1A"/>
          <w:sz w:val="20"/>
        </w:rPr>
        <w:t>Data source: OpenStreetMap Overpass API</w:t>
      </w:r>
    </w:p>
    <w:p>
      <w:pPr>
        <w:spacing w:after="80"/>
      </w:pPr>
      <w:r>
        <w:rPr>
          <w:b w:val="0"/>
          <w:i w:val="0"/>
          <w:color w:val="1A1A1A"/>
          <w:sz w:val="20"/>
        </w:rPr>
        <w:t>How: Query for all polygons tagged as industrial, brownfield, power-related, transport, commercial, military, aviation, and extraction land use across all 13 UK regions. Filter to &gt;2 acres (smaller sites are not viable for any meaningful DC development). Output: 63,478 raw parcels.</w:t>
      </w:r>
    </w:p>
    <w:p>
      <w:pPr>
        <w:pStyle w:val="Heading3"/>
        <w:spacing w:before="200" w:after="60"/>
      </w:pPr>
      <w:r>
        <w:rPr>
          <w:color w:val="1A3A5C"/>
          <w:sz w:val="22"/>
        </w:rPr>
        <w:t>Stage 2 — Apply hard exclusions (non-negotiable disqualifiers)</w:t>
      </w:r>
    </w:p>
    <w:p>
      <w:pPr>
        <w:spacing w:after="80"/>
      </w:pPr>
      <w:r>
        <w:rPr>
          <w:b w:val="0"/>
          <w:i w:val="0"/>
          <w:color w:val="1A1A1A"/>
          <w:sz w:val="20"/>
        </w:rPr>
        <w:t>What we do: Remove parcels that are permanently non-viable regardless of grid or planning circumstances.</w:t>
      </w:r>
    </w:p>
    <w:tbl>
      <w:tblPr>
        <w:tblStyle w:val="TableGrid"/>
        <w:tblW w:type="auto" w:w="0"/>
        <w:tblLook w:firstColumn="1" w:firstRow="1" w:lastColumn="0" w:lastRow="0" w:noHBand="0" w:noVBand="1" w:val="04A0"/>
      </w:tblPr>
      <w:tblGrid>
        <w:gridCol w:w="4703"/>
        <w:gridCol w:w="4703"/>
      </w:tblGrid>
      <w:tr>
        <w:tc>
          <w:tcPr>
            <w:tcW w:type="dxa" w:w="3969"/>
            <w:shd w:fill="1A3A5C" w:val="clear"/>
            <w:vAlign w:val="center"/>
          </w:tcPr>
          <w:p>
            <w:r>
              <w:rPr>
                <w:b/>
                <w:color w:val="FFFFFF"/>
                <w:sz w:val="18"/>
              </w:rPr>
              <w:t>Exclusion</w:t>
            </w:r>
          </w:p>
        </w:tc>
        <w:tc>
          <w:tcPr>
            <w:tcW w:type="dxa" w:w="5669"/>
            <w:shd w:fill="1A3A5C" w:val="clear"/>
            <w:vAlign w:val="center"/>
          </w:tcPr>
          <w:p>
            <w:r>
              <w:rPr>
                <w:b/>
                <w:color w:val="FFFFFF"/>
                <w:sz w:val="18"/>
              </w:rPr>
              <w:t>Data source</w:t>
            </w:r>
          </w:p>
        </w:tc>
      </w:tr>
      <w:tr>
        <w:tc>
          <w:tcPr>
            <w:tcW w:type="dxa" w:w="4703"/>
            <w:shd w:fill="FFFFFF" w:val="clear"/>
          </w:tcPr>
          <w:p>
            <w:r>
              <w:rPr>
                <w:color w:val="1A1A1A"/>
                <w:sz w:val="18"/>
              </w:rPr>
              <w:t>Flood Zone 3 (high probability of flooding)</w:t>
            </w:r>
          </w:p>
        </w:tc>
        <w:tc>
          <w:tcPr>
            <w:tcW w:type="dxa" w:w="4703"/>
            <w:shd w:fill="FFFFFF" w:val="clear"/>
          </w:tcPr>
          <w:p>
            <w:r>
              <w:rPr>
                <w:color w:val="1A1A1A"/>
                <w:sz w:val="18"/>
              </w:rPr>
              <w:t>Environment Agency OGC WFS Flood Map API — all 63,478 parcels individually queried; 5,409 parcels excluded (8.5%)</w:t>
            </w:r>
          </w:p>
        </w:tc>
      </w:tr>
      <w:tr>
        <w:tc>
          <w:tcPr>
            <w:tcW w:type="dxa" w:w="4703"/>
            <w:shd w:fill="F5F7FA" w:val="clear"/>
          </w:tcPr>
          <w:p>
            <w:r>
              <w:rPr>
                <w:color w:val="1A1A1A"/>
                <w:sz w:val="18"/>
              </w:rPr>
              <w:t>National Parks</w:t>
            </w:r>
          </w:p>
        </w:tc>
        <w:tc>
          <w:tcPr>
            <w:tcW w:type="dxa" w:w="4703"/>
            <w:shd w:fill="F5F7FA" w:val="clear"/>
          </w:tcPr>
          <w:p>
            <w:r>
              <w:rPr>
                <w:color w:val="1A1A1A"/>
                <w:sz w:val="18"/>
              </w:rPr>
              <w:t>planning.data.gov.uk designation dataset</w:t>
            </w:r>
          </w:p>
        </w:tc>
      </w:tr>
      <w:tr>
        <w:tc>
          <w:tcPr>
            <w:tcW w:type="dxa" w:w="4703"/>
            <w:shd w:fill="FFFFFF" w:val="clear"/>
          </w:tcPr>
          <w:p>
            <w:r>
              <w:rPr>
                <w:color w:val="1A1A1A"/>
                <w:sz w:val="18"/>
              </w:rPr>
              <w:t>Areas of Outstanding Natural Beauty (AONBs)</w:t>
            </w:r>
          </w:p>
        </w:tc>
        <w:tc>
          <w:tcPr>
            <w:tcW w:type="dxa" w:w="4703"/>
            <w:shd w:fill="FFFFFF" w:val="clear"/>
          </w:tcPr>
          <w:p>
            <w:r>
              <w:rPr>
                <w:color w:val="1A1A1A"/>
                <w:sz w:val="18"/>
              </w:rPr>
              <w:t>planning.data.gov.uk designation dataset</w:t>
            </w:r>
          </w:p>
        </w:tc>
      </w:tr>
      <w:tr>
        <w:tc>
          <w:tcPr>
            <w:tcW w:type="dxa" w:w="4703"/>
            <w:shd w:fill="F5F7FA" w:val="clear"/>
          </w:tcPr>
          <w:p>
            <w:r>
              <w:rPr>
                <w:color w:val="1A1A1A"/>
                <w:sz w:val="18"/>
              </w:rPr>
              <w:t>Sites of Special Scientific Interest (SSSIs)</w:t>
            </w:r>
          </w:p>
        </w:tc>
        <w:tc>
          <w:tcPr>
            <w:tcW w:type="dxa" w:w="4703"/>
            <w:shd w:fill="F5F7FA" w:val="clear"/>
          </w:tcPr>
          <w:p>
            <w:r>
              <w:rPr>
                <w:color w:val="1A1A1A"/>
                <w:sz w:val="18"/>
              </w:rPr>
              <w:t>Natural England SSSI polygon layer</w:t>
            </w:r>
          </w:p>
        </w:tc>
      </w:tr>
      <w:tr>
        <w:tc>
          <w:tcPr>
            <w:tcW w:type="dxa" w:w="4703"/>
            <w:shd w:fill="FFFFFF" w:val="clear"/>
          </w:tcPr>
          <w:p>
            <w:r>
              <w:rPr>
                <w:color w:val="1A1A1A"/>
                <w:sz w:val="18"/>
              </w:rPr>
              <w:t>Special Areas of Conservation (SACs)</w:t>
            </w:r>
          </w:p>
        </w:tc>
        <w:tc>
          <w:tcPr>
            <w:tcW w:type="dxa" w:w="4703"/>
            <w:shd w:fill="FFFFFF" w:val="clear"/>
          </w:tcPr>
          <w:p>
            <w:r>
              <w:rPr>
                <w:color w:val="1A1A1A"/>
                <w:sz w:val="18"/>
              </w:rPr>
              <w:t>planning.data.gov.uk</w:t>
            </w:r>
          </w:p>
        </w:tc>
      </w:tr>
      <w:tr>
        <w:tc>
          <w:tcPr>
            <w:tcW w:type="dxa" w:w="4703"/>
            <w:shd w:fill="F5F7FA" w:val="clear"/>
          </w:tcPr>
          <w:p>
            <w:r>
              <w:rPr>
                <w:color w:val="1A1A1A"/>
                <w:sz w:val="18"/>
              </w:rPr>
              <w:t>Special Protection Areas (SPAs)</w:t>
            </w:r>
          </w:p>
        </w:tc>
        <w:tc>
          <w:tcPr>
            <w:tcW w:type="dxa" w:w="4703"/>
            <w:shd w:fill="F5F7FA" w:val="clear"/>
          </w:tcPr>
          <w:p>
            <w:r>
              <w:rPr>
                <w:color w:val="1A1A1A"/>
                <w:sz w:val="18"/>
              </w:rPr>
              <w:t>planning.data.gov.uk</w:t>
            </w:r>
          </w:p>
        </w:tc>
      </w:tr>
      <w:tr>
        <w:tc>
          <w:tcPr>
            <w:tcW w:type="dxa" w:w="4703"/>
            <w:shd w:fill="FFFFFF" w:val="clear"/>
          </w:tcPr>
          <w:p>
            <w:r>
              <w:rPr>
                <w:color w:val="1A1A1A"/>
                <w:sz w:val="18"/>
              </w:rPr>
              <w:t>Ancient Woodland</w:t>
            </w:r>
          </w:p>
        </w:tc>
        <w:tc>
          <w:tcPr>
            <w:tcW w:type="dxa" w:w="4703"/>
            <w:shd w:fill="FFFFFF" w:val="clear"/>
          </w:tcPr>
          <w:p>
            <w:r>
              <w:rPr>
                <w:color w:val="1A1A1A"/>
                <w:sz w:val="18"/>
              </w:rPr>
              <w:t>Forestry Commission Ancient Woodland Inventory</w:t>
            </w:r>
          </w:p>
        </w:tc>
      </w:tr>
      <w:tr>
        <w:tc>
          <w:tcPr>
            <w:tcW w:type="dxa" w:w="4703"/>
            <w:shd w:fill="F5F7FA" w:val="clear"/>
          </w:tcPr>
          <w:p>
            <w:r>
              <w:rPr>
                <w:color w:val="1A1A1A"/>
                <w:sz w:val="18"/>
              </w:rPr>
              <w:t>Scheduled Monuments</w:t>
            </w:r>
          </w:p>
        </w:tc>
        <w:tc>
          <w:tcPr>
            <w:tcW w:type="dxa" w:w="4703"/>
            <w:shd w:fill="F5F7FA" w:val="clear"/>
          </w:tcPr>
          <w:p>
            <w:r>
              <w:rPr>
                <w:color w:val="1A1A1A"/>
                <w:sz w:val="18"/>
              </w:rPr>
              <w:t>Historic England</w:t>
            </w:r>
          </w:p>
        </w:tc>
      </w:tr>
    </w:tbl>
    <w:p>
      <w:pPr>
        <w:spacing w:after="80"/>
      </w:pPr>
      <w:r>
        <w:rPr>
          <w:b w:val="0"/>
          <w:i w:val="0"/>
          <w:color w:val="1A1A1A"/>
          <w:sz w:val="20"/>
        </w:rPr>
        <w:t>After exclusions: 52,242 parcels remain in the scoreable universe.</w:t>
      </w:r>
    </w:p>
    <w:p/>
    <w:p>
      <w:pPr>
        <w:pStyle w:val="Heading3"/>
        <w:spacing w:before="200" w:after="60"/>
      </w:pPr>
      <w:r>
        <w:rPr>
          <w:color w:val="1A3A5C"/>
          <w:sz w:val="22"/>
        </w:rPr>
        <w:t>Stage 3 — Score every remaining parcel across four dimensions</w:t>
      </w:r>
    </w:p>
    <w:p>
      <w:pPr>
        <w:spacing w:after="80"/>
      </w:pPr>
      <w:r>
        <w:rPr>
          <w:b w:val="0"/>
          <w:i w:val="0"/>
          <w:color w:val="1A1A1A"/>
          <w:sz w:val="20"/>
        </w:rPr>
        <w:t>Each parcel receives a composite score from 0–100, computed as a weighted average of four factors. Scores are pre-computed at three DC sizes (20 MW / 50 MW / 100 MW) and linearly interpolated at runtime. Every parcel has a score that responds to the user's selected campus size without recalculation.</w:t>
      </w:r>
    </w:p>
    <w:p>
      <w:pPr>
        <w:spacing w:after="80"/>
      </w:pPr>
      <w:r>
        <w:rPr>
          <w:b/>
          <w:i w:val="0"/>
          <w:color w:val="1A1A1A"/>
          <w:sz w:val="20"/>
        </w:rPr>
        <w:t>Composite formula:</w:t>
      </w:r>
    </w:p>
    <w:p>
      <w:pPr>
        <w:spacing w:after="80"/>
      </w:pPr>
      <w:r>
        <w:rPr>
          <w:b/>
          <w:i/>
          <w:color w:val="1A1A1A"/>
          <w:sz w:val="20"/>
        </w:rPr>
        <w:t>Composite = 0.40 × Power + 0.30 × Permissioning + 0.20 × Fibre + 0.10 × Buildability</w:t>
      </w:r>
    </w:p>
    <w:p/>
    <w:p>
      <w:pPr>
        <w:spacing w:after="80"/>
      </w:pPr>
      <w:r>
        <w:rPr>
          <w:b/>
          <w:i w:val="0"/>
          <w:color w:val="1A1A1A"/>
          <w:sz w:val="22"/>
        </w:rPr>
        <w:t>Factor 1 — Power &amp; Grid Access (40%)</w:t>
      </w:r>
    </w:p>
    <w:p>
      <w:pPr>
        <w:spacing w:after="80"/>
      </w:pPr>
      <w:r>
        <w:rPr>
          <w:b w:val="0"/>
          <w:i w:val="0"/>
          <w:color w:val="1A1A1A"/>
          <w:sz w:val="20"/>
        </w:rPr>
        <w:t>What question it answers: Can I actually connect here, and how fast?</w:t>
      </w:r>
    </w:p>
    <w:p>
      <w:pPr>
        <w:spacing w:after="80"/>
      </w:pPr>
      <w:r>
        <w:rPr>
          <w:b/>
          <w:i w:val="0"/>
          <w:color w:val="1A1A1A"/>
          <w:sz w:val="20"/>
        </w:rPr>
        <w:t>Sub-components:</w:t>
      </w:r>
    </w:p>
    <w:tbl>
      <w:tblPr>
        <w:tblStyle w:val="TableGrid"/>
        <w:tblW w:type="auto" w:w="0"/>
        <w:tblLook w:firstColumn="1" w:firstRow="1" w:lastColumn="0" w:lastRow="0" w:noHBand="0" w:noVBand="1" w:val="04A0"/>
      </w:tblPr>
      <w:tblGrid>
        <w:gridCol w:w="4703"/>
        <w:gridCol w:w="4703"/>
      </w:tblGrid>
      <w:tr>
        <w:tc>
          <w:tcPr>
            <w:tcW w:type="dxa" w:w="2835"/>
            <w:shd w:fill="1A3A5C" w:val="clear"/>
            <w:vAlign w:val="center"/>
          </w:tcPr>
          <w:p>
            <w:r>
              <w:rPr>
                <w:b/>
                <w:color w:val="FFFFFF"/>
                <w:sz w:val="18"/>
              </w:rPr>
              <w:t>Sub-component</w:t>
            </w:r>
          </w:p>
        </w:tc>
        <w:tc>
          <w:tcPr>
            <w:tcW w:type="dxa" w:w="6803"/>
            <w:shd w:fill="1A3A5C" w:val="clear"/>
            <w:vAlign w:val="center"/>
          </w:tcPr>
          <w:p>
            <w:r>
              <w:rPr>
                <w:b/>
                <w:color w:val="FFFFFF"/>
                <w:sz w:val="18"/>
              </w:rPr>
              <w:t>Logic</w:t>
            </w:r>
          </w:p>
        </w:tc>
      </w:tr>
      <w:tr>
        <w:tc>
          <w:tcPr>
            <w:tcW w:type="dxa" w:w="4703"/>
            <w:shd w:fill="FFFFFF" w:val="clear"/>
          </w:tcPr>
          <w:p>
            <w:r>
              <w:rPr>
                <w:b/>
                <w:color w:val="1A1A1A"/>
                <w:sz w:val="18"/>
              </w:rPr>
              <w:t>Headroom score</w:t>
            </w:r>
          </w:p>
        </w:tc>
        <w:tc>
          <w:tcPr>
            <w:tcW w:type="dxa" w:w="4703"/>
            <w:shd w:fill="FFFFFF" w:val="clear"/>
          </w:tcPr>
          <w:p>
            <w:r>
              <w:rPr>
                <w:color w:val="1A1A1A"/>
                <w:sz w:val="18"/>
              </w:rPr>
              <w:t>Firm capacity (N-1 standard) minus existing peak demand, scored 0–100 relative to MW requirement</w:t>
            </w:r>
          </w:p>
        </w:tc>
      </w:tr>
      <w:tr>
        <w:tc>
          <w:tcPr>
            <w:tcW w:type="dxa" w:w="4703"/>
            <w:shd w:fill="F5F7FA" w:val="clear"/>
          </w:tcPr>
          <w:p>
            <w:r>
              <w:rPr>
                <w:b/>
                <w:color w:val="1A1A1A"/>
                <w:sz w:val="18"/>
              </w:rPr>
              <w:t>Queue pressure score</w:t>
            </w:r>
          </w:p>
        </w:tc>
        <w:tc>
          <w:tcPr>
            <w:tcW w:type="dxa" w:w="4703"/>
            <w:shd w:fill="F5F7FA" w:val="clear"/>
          </w:tcPr>
          <w:p>
            <w:r>
              <w:rPr>
                <w:color w:val="1A1A1A"/>
                <w:sz w:val="18"/>
              </w:rPr>
              <w:t>How much headroom is already spoken for by committed connections. For UKPN: uses 2029/30 LTDS demand forecast (all contracted but not-yet-built connections). For other DNOs: TEC queue plus current utilisation. 100 = unconstrained, 0 = fully committed.</w:t>
            </w:r>
          </w:p>
        </w:tc>
      </w:tr>
      <w:tr>
        <w:tc>
          <w:tcPr>
            <w:tcW w:type="dxa" w:w="4703"/>
            <w:shd w:fill="FFFFFF" w:val="clear"/>
          </w:tcPr>
          <w:p>
            <w:r>
              <w:rPr>
                <w:b/>
                <w:color w:val="1A1A1A"/>
                <w:sz w:val="18"/>
              </w:rPr>
              <w:t>Voltage score</w:t>
            </w:r>
          </w:p>
        </w:tc>
        <w:tc>
          <w:tcPr>
            <w:tcW w:type="dxa" w:w="4703"/>
            <w:shd w:fill="FFFFFF" w:val="clear"/>
          </w:tcPr>
          <w:p>
            <w:r>
              <w:rPr>
                <w:color w:val="1A1A1A"/>
                <w:sz w:val="18"/>
              </w:rPr>
              <w:t>400kV/275kV score highest; 132kV moderate; lower voltages penalised</w:t>
            </w:r>
          </w:p>
        </w:tc>
      </w:tr>
      <w:tr>
        <w:tc>
          <w:tcPr>
            <w:tcW w:type="dxa" w:w="4703"/>
            <w:shd w:fill="F5F7FA" w:val="clear"/>
          </w:tcPr>
          <w:p>
            <w:r>
              <w:rPr>
                <w:b/>
                <w:color w:val="1A1A1A"/>
                <w:sz w:val="18"/>
              </w:rPr>
              <w:t>Distance factor</w:t>
            </w:r>
          </w:p>
        </w:tc>
        <w:tc>
          <w:tcPr>
            <w:tcW w:type="dxa" w:w="4703"/>
            <w:shd w:fill="F5F7FA" w:val="clear"/>
          </w:tcPr>
          <w:p>
            <w:r>
              <w:rPr>
                <w:color w:val="1A1A1A"/>
                <w:sz w:val="18"/>
              </w:rPr>
              <w:t>Multiplier: within 5km = full score; degrades to 30km minimum. Each parcel scored against its nearest viable substation, not nearest regardless of capacity.</w:t>
            </w:r>
          </w:p>
        </w:tc>
      </w:tr>
    </w:tbl>
    <w:p/>
    <w:p>
      <w:pPr>
        <w:spacing w:after="80"/>
      </w:pPr>
      <w:r>
        <w:rPr>
          <w:b/>
          <w:i w:val="0"/>
          <w:color w:val="1A1A1A"/>
          <w:sz w:val="20"/>
        </w:rPr>
        <w:t>Substation data by DNO:</w:t>
      </w:r>
    </w:p>
    <w:tbl>
      <w:tblPr>
        <w:tblStyle w:val="TableGrid"/>
        <w:tblW w:type="auto" w:w="0"/>
        <w:tblLook w:firstColumn="1" w:firstRow="1" w:lastColumn="0" w:lastRow="0" w:noHBand="0" w:noVBand="1" w:val="04A0"/>
      </w:tblPr>
      <w:tblGrid>
        <w:gridCol w:w="3135"/>
        <w:gridCol w:w="3135"/>
        <w:gridCol w:w="3135"/>
      </w:tblGrid>
      <w:tr>
        <w:tc>
          <w:tcPr>
            <w:tcW w:type="dxa" w:w="2268"/>
            <w:shd w:fill="1A3A5C" w:val="clear"/>
            <w:vAlign w:val="center"/>
          </w:tcPr>
          <w:p>
            <w:r>
              <w:rPr>
                <w:b/>
                <w:color w:val="FFFFFF"/>
                <w:sz w:val="18"/>
              </w:rPr>
              <w:t>DNO</w:t>
            </w:r>
          </w:p>
        </w:tc>
        <w:tc>
          <w:tcPr>
            <w:tcW w:type="dxa" w:w="3969"/>
            <w:shd w:fill="1A3A5C" w:val="clear"/>
            <w:vAlign w:val="center"/>
          </w:tcPr>
          <w:p>
            <w:r>
              <w:rPr>
                <w:b/>
                <w:color w:val="FFFFFF"/>
                <w:sz w:val="18"/>
              </w:rPr>
              <w:t>Source</w:t>
            </w:r>
          </w:p>
        </w:tc>
        <w:tc>
          <w:tcPr>
            <w:tcW w:type="dxa" w:w="3402"/>
            <w:shd w:fill="1A3A5C" w:val="clear"/>
            <w:vAlign w:val="center"/>
          </w:tcPr>
          <w:p>
            <w:r>
              <w:rPr>
                <w:b/>
                <w:color w:val="FFFFFF"/>
                <w:sz w:val="18"/>
              </w:rPr>
              <w:t>Metric used</w:t>
            </w:r>
          </w:p>
        </w:tc>
      </w:tr>
      <w:tr>
        <w:tc>
          <w:tcPr>
            <w:tcW w:type="dxa" w:w="3135"/>
            <w:shd w:fill="FFFFFF" w:val="clear"/>
          </w:tcPr>
          <w:p>
            <w:r>
              <w:rPr>
                <w:b/>
                <w:color w:val="1A1A1A"/>
                <w:sz w:val="18"/>
              </w:rPr>
              <w:t>UKPN (London, South East, East)</w:t>
            </w:r>
          </w:p>
        </w:tc>
        <w:tc>
          <w:tcPr>
            <w:tcW w:type="dxa" w:w="3135"/>
            <w:shd w:fill="FFFFFF" w:val="clear"/>
          </w:tcPr>
          <w:p>
            <w:r>
              <w:rPr>
                <w:color w:val="1A1A1A"/>
                <w:sz w:val="18"/>
              </w:rPr>
              <w:t>LTDS Table 3a — ltds-table-3a-load-data-observed</w:t>
              <w:br/>
              <w:t>ukpowernetworks.opendatasoft.com</w:t>
            </w:r>
          </w:p>
        </w:tc>
        <w:tc>
          <w:tcPr>
            <w:tcW w:type="dxa" w:w="3135"/>
            <w:shd w:fill="FFFFFF" w:val="clear"/>
          </w:tcPr>
          <w:p>
            <w:r>
              <w:rPr>
                <w:color w:val="1A1A1A"/>
                <w:sz w:val="18"/>
              </w:rPr>
              <w:t>Firm capacity (N-1), current demand, committed 2029/30 forecast demand</w:t>
            </w:r>
          </w:p>
        </w:tc>
      </w:tr>
      <w:tr>
        <w:tc>
          <w:tcPr>
            <w:tcW w:type="dxa" w:w="3135"/>
            <w:shd w:fill="F5F7FA" w:val="clear"/>
          </w:tcPr>
          <w:p>
            <w:r>
              <w:rPr>
                <w:b/>
                <w:color w:val="1A1A1A"/>
                <w:sz w:val="18"/>
              </w:rPr>
              <w:t>NGED (Midlands, South West, Wales)</w:t>
            </w:r>
          </w:p>
        </w:tc>
        <w:tc>
          <w:tcPr>
            <w:tcW w:type="dxa" w:w="3135"/>
            <w:shd w:fill="F5F7FA" w:val="clear"/>
          </w:tcPr>
          <w:p>
            <w:r>
              <w:rPr>
                <w:color w:val="1A1A1A"/>
                <w:sz w:val="18"/>
              </w:rPr>
              <w:t>NGED GSP Technical Limits CSV</w:t>
            </w:r>
          </w:p>
        </w:tc>
        <w:tc>
          <w:tcPr>
            <w:tcW w:type="dxa" w:w="3135"/>
            <w:shd w:fill="F5F7FA" w:val="clear"/>
          </w:tcPr>
          <w:p>
            <w:r>
              <w:rPr>
                <w:color w:val="1A1A1A"/>
                <w:sz w:val="18"/>
              </w:rPr>
              <w:t>Technical import limits by season</w:t>
            </w:r>
          </w:p>
        </w:tc>
      </w:tr>
      <w:tr>
        <w:tc>
          <w:tcPr>
            <w:tcW w:type="dxa" w:w="3135"/>
            <w:shd w:fill="FFFFFF" w:val="clear"/>
          </w:tcPr>
          <w:p>
            <w:r>
              <w:rPr>
                <w:b/>
                <w:color w:val="1A1A1A"/>
                <w:sz w:val="18"/>
              </w:rPr>
              <w:t>NPG (North East, Yorkshire)</w:t>
            </w:r>
          </w:p>
        </w:tc>
        <w:tc>
          <w:tcPr>
            <w:tcW w:type="dxa" w:w="3135"/>
            <w:shd w:fill="FFFFFF" w:val="clear"/>
          </w:tcPr>
          <w:p>
            <w:r>
              <w:rPr>
                <w:color w:val="1A1A1A"/>
                <w:sz w:val="18"/>
              </w:rPr>
              <w:t>NPG GSP Heatmap</w:t>
            </w:r>
          </w:p>
        </w:tc>
        <w:tc>
          <w:tcPr>
            <w:tcW w:type="dxa" w:w="3135"/>
            <w:shd w:fill="FFFFFF" w:val="clear"/>
          </w:tcPr>
          <w:p>
            <w:r>
              <w:rPr>
                <w:color w:val="1A1A1A"/>
                <w:sz w:val="18"/>
              </w:rPr>
              <w:t>Firm capacity, max demand</w:t>
            </w:r>
          </w:p>
        </w:tc>
      </w:tr>
      <w:tr>
        <w:tc>
          <w:tcPr>
            <w:tcW w:type="dxa" w:w="3135"/>
            <w:shd w:fill="F5F7FA" w:val="clear"/>
          </w:tcPr>
          <w:p>
            <w:r>
              <w:rPr>
                <w:b/>
                <w:color w:val="1A1A1A"/>
                <w:sz w:val="18"/>
              </w:rPr>
              <w:t>SSEN (Southern England, Scottish Hydro)</w:t>
            </w:r>
          </w:p>
        </w:tc>
        <w:tc>
          <w:tcPr>
            <w:tcW w:type="dxa" w:w="3135"/>
            <w:shd w:fill="F5F7FA" w:val="clear"/>
          </w:tcPr>
          <w:p>
            <w:r>
              <w:rPr>
                <w:color w:val="1A1A1A"/>
                <w:sz w:val="18"/>
              </w:rPr>
              <w:t>SSEN Headroom Dashboard</w:t>
            </w:r>
          </w:p>
        </w:tc>
        <w:tc>
          <w:tcPr>
            <w:tcW w:type="dxa" w:w="3135"/>
            <w:shd w:fill="F5F7FA" w:val="clear"/>
          </w:tcPr>
          <w:p>
            <w:r>
              <w:rPr>
                <w:color w:val="1A1A1A"/>
                <w:sz w:val="18"/>
              </w:rPr>
              <w:t>Max observed demand, technical limits</w:t>
            </w:r>
          </w:p>
        </w:tc>
      </w:tr>
      <w:tr>
        <w:tc>
          <w:tcPr>
            <w:tcW w:type="dxa" w:w="3135"/>
            <w:shd w:fill="FFFFFF" w:val="clear"/>
          </w:tcPr>
          <w:p>
            <w:r>
              <w:rPr>
                <w:b/>
                <w:color w:val="1A1A1A"/>
                <w:sz w:val="18"/>
              </w:rPr>
              <w:t>SPEN (North West England, Scotland)</w:t>
            </w:r>
          </w:p>
        </w:tc>
        <w:tc>
          <w:tcPr>
            <w:tcW w:type="dxa" w:w="3135"/>
            <w:shd w:fill="FFFFFF" w:val="clear"/>
          </w:tcPr>
          <w:p>
            <w:r>
              <w:rPr>
                <w:color w:val="1A1A1A"/>
                <w:sz w:val="18"/>
              </w:rPr>
              <w:t>SPEN SPM Technical Limits</w:t>
            </w:r>
          </w:p>
        </w:tc>
        <w:tc>
          <w:tcPr>
            <w:tcW w:type="dxa" w:w="3135"/>
            <w:shd w:fill="FFFFFF" w:val="clear"/>
          </w:tcPr>
          <w:p>
            <w:r>
              <w:rPr>
                <w:color w:val="1A1A1A"/>
                <w:sz w:val="18"/>
              </w:rPr>
              <w:t>Winter import limits</w:t>
            </w:r>
          </w:p>
        </w:tc>
      </w:tr>
      <w:tr>
        <w:tc>
          <w:tcPr>
            <w:tcW w:type="dxa" w:w="3135"/>
            <w:shd w:fill="F5F7FA" w:val="clear"/>
          </w:tcPr>
          <w:p>
            <w:r>
              <w:rPr>
                <w:b/>
                <w:color w:val="1A1A1A"/>
                <w:sz w:val="18"/>
              </w:rPr>
              <w:t>ENW (North West England)</w:t>
            </w:r>
          </w:p>
        </w:tc>
        <w:tc>
          <w:tcPr>
            <w:tcW w:type="dxa" w:w="3135"/>
            <w:shd w:fill="F5F7FA" w:val="clear"/>
          </w:tcPr>
          <w:p>
            <w:r>
              <w:rPr>
                <w:color w:val="1A1A1A"/>
                <w:sz w:val="18"/>
              </w:rPr>
              <w:t>ENW Primary Aggregated data</w:t>
            </w:r>
          </w:p>
        </w:tc>
        <w:tc>
          <w:tcPr>
            <w:tcW w:type="dxa" w:w="3135"/>
            <w:shd w:fill="F5F7FA" w:val="clear"/>
          </w:tcPr>
          <w:p>
            <w:r>
              <w:rPr>
                <w:color w:val="1A1A1A"/>
                <w:sz w:val="18"/>
              </w:rPr>
              <w:t>GSP-level firm demand</w:t>
            </w:r>
          </w:p>
        </w:tc>
      </w:tr>
    </w:tbl>
    <w:p/>
    <w:p>
      <w:pPr>
        <w:spacing w:after="80"/>
      </w:pPr>
      <w:r>
        <w:rPr>
          <w:b w:val="0"/>
          <w:i w:val="0"/>
          <w:color w:val="1A1A1A"/>
          <w:sz w:val="20"/>
        </w:rPr>
        <w:t>TEC generation queue for all substations: NESO TEC Register (api.neso.energy, updated twice weekly, 2,229 projects, 137 GW total queue). Transmission powerlines: OpenStreetMap 132kV+ lines.</w:t>
      </w:r>
    </w:p>
    <w:p/>
    <w:p>
      <w:pPr>
        <w:spacing w:after="80"/>
      </w:pPr>
      <w:r>
        <w:rPr>
          <w:b/>
          <w:i w:val="0"/>
          <w:color w:val="1A1A1A"/>
          <w:sz w:val="22"/>
        </w:rPr>
        <w:t>Factor 2 — Permissioning (30%)</w:t>
      </w:r>
    </w:p>
    <w:p>
      <w:pPr>
        <w:spacing w:after="80"/>
      </w:pPr>
      <w:r>
        <w:rPr>
          <w:b w:val="0"/>
          <w:i w:val="0"/>
          <w:color w:val="1A1A1A"/>
          <w:sz w:val="20"/>
        </w:rPr>
        <w:t>What question it answers: How hard will it be to get planning consent?</w:t>
      </w:r>
    </w:p>
    <w:p>
      <w:pPr>
        <w:spacing w:after="80"/>
      </w:pPr>
      <w:r>
        <w:rPr>
          <w:b w:val="0"/>
          <w:i w:val="0"/>
          <w:color w:val="1A1A1A"/>
          <w:sz w:val="20"/>
        </w:rPr>
        <w:t>Sites are placed into one of three consent risk buckets based on land type, then adjusted for designations. Flood zone is incorporated here — flood risk is a permissioning and insurability factor, not a separate dimension.</w:t>
      </w:r>
    </w:p>
    <w:tbl>
      <w:tblPr>
        <w:tblStyle w:val="TableGrid"/>
        <w:tblW w:type="auto" w:w="0"/>
        <w:tblLook w:firstColumn="1" w:firstRow="1" w:lastColumn="0" w:lastRow="0" w:noHBand="0" w:noVBand="1" w:val="04A0"/>
      </w:tblPr>
      <w:tblGrid>
        <w:gridCol w:w="3135"/>
        <w:gridCol w:w="3135"/>
        <w:gridCol w:w="3135"/>
      </w:tblGrid>
      <w:tr>
        <w:tc>
          <w:tcPr>
            <w:tcW w:type="dxa" w:w="1701"/>
            <w:shd w:fill="1A3A5C" w:val="clear"/>
            <w:vAlign w:val="center"/>
          </w:tcPr>
          <w:p>
            <w:r>
              <w:rPr>
                <w:b/>
                <w:color w:val="FFFFFF"/>
                <w:sz w:val="18"/>
              </w:rPr>
              <w:t>Bucket</w:t>
            </w:r>
          </w:p>
        </w:tc>
        <w:tc>
          <w:tcPr>
            <w:tcW w:type="dxa" w:w="1134"/>
            <w:shd w:fill="1A3A5C" w:val="clear"/>
            <w:vAlign w:val="center"/>
          </w:tcPr>
          <w:p>
            <w:r>
              <w:rPr>
                <w:b/>
                <w:color w:val="FFFFFF"/>
                <w:sz w:val="18"/>
              </w:rPr>
              <w:t>Score</w:t>
            </w:r>
          </w:p>
        </w:tc>
        <w:tc>
          <w:tcPr>
            <w:tcW w:type="dxa" w:w="6803"/>
            <w:shd w:fill="1A3A5C" w:val="clear"/>
            <w:vAlign w:val="center"/>
          </w:tcPr>
          <w:p>
            <w:r>
              <w:rPr>
                <w:b/>
                <w:color w:val="FFFFFF"/>
                <w:sz w:val="18"/>
              </w:rPr>
              <w:t>Land types</w:t>
            </w:r>
          </w:p>
        </w:tc>
      </w:tr>
      <w:tr>
        <w:tc>
          <w:tcPr>
            <w:tcW w:type="dxa" w:w="3135"/>
            <w:shd w:fill="FFFFFF" w:val="clear"/>
          </w:tcPr>
          <w:p>
            <w:r>
              <w:rPr>
                <w:b/>
                <w:color w:val="1A1A1A"/>
                <w:sz w:val="18"/>
              </w:rPr>
              <w:t>A — Permitted / low risk</w:t>
            </w:r>
          </w:p>
        </w:tc>
        <w:tc>
          <w:tcPr>
            <w:tcW w:type="dxa" w:w="3135"/>
            <w:shd w:fill="FFFFFF" w:val="clear"/>
          </w:tcPr>
          <w:p>
            <w:r>
              <w:rPr>
                <w:color w:val="1A1A1A"/>
                <w:sz w:val="18"/>
              </w:rPr>
              <w:t>85</w:t>
            </w:r>
          </w:p>
        </w:tc>
        <w:tc>
          <w:tcPr>
            <w:tcW w:type="dxa" w:w="3135"/>
            <w:shd w:fill="FFFFFF" w:val="clear"/>
          </w:tcPr>
          <w:p>
            <w:r>
              <w:rPr>
                <w:color w:val="1A1A1A"/>
                <w:sz w:val="18"/>
              </w:rPr>
              <w:t>Industrial, brownfield, former power stations</w:t>
            </w:r>
          </w:p>
        </w:tc>
      </w:tr>
      <w:tr>
        <w:tc>
          <w:tcPr>
            <w:tcW w:type="dxa" w:w="3135"/>
            <w:shd w:fill="F5F7FA" w:val="clear"/>
          </w:tcPr>
          <w:p>
            <w:r>
              <w:rPr>
                <w:b/>
                <w:color w:val="1A1A1A"/>
                <w:sz w:val="18"/>
              </w:rPr>
              <w:t>B — Achievable / standard consent</w:t>
            </w:r>
          </w:p>
        </w:tc>
        <w:tc>
          <w:tcPr>
            <w:tcW w:type="dxa" w:w="3135"/>
            <w:shd w:fill="F5F7FA" w:val="clear"/>
          </w:tcPr>
          <w:p>
            <w:r>
              <w:rPr>
                <w:color w:val="1A1A1A"/>
                <w:sz w:val="18"/>
              </w:rPr>
              <w:t>55</w:t>
            </w:r>
          </w:p>
        </w:tc>
        <w:tc>
          <w:tcPr>
            <w:tcW w:type="dxa" w:w="3135"/>
            <w:shd w:fill="F5F7FA" w:val="clear"/>
          </w:tcPr>
          <w:p>
            <w:r>
              <w:rPr>
                <w:color w:val="1A1A1A"/>
                <w:sz w:val="18"/>
              </w:rPr>
              <w:t>Transport, commercial, military</w:t>
            </w:r>
          </w:p>
        </w:tc>
      </w:tr>
      <w:tr>
        <w:tc>
          <w:tcPr>
            <w:tcW w:type="dxa" w:w="3135"/>
            <w:shd w:fill="FFFFFF" w:val="clear"/>
          </w:tcPr>
          <w:p>
            <w:r>
              <w:rPr>
                <w:b/>
                <w:color w:val="1A1A1A"/>
                <w:sz w:val="18"/>
              </w:rPr>
              <w:t>C — Complex / change of use required</w:t>
            </w:r>
          </w:p>
        </w:tc>
        <w:tc>
          <w:tcPr>
            <w:tcW w:type="dxa" w:w="3135"/>
            <w:shd w:fill="FFFFFF" w:val="clear"/>
          </w:tcPr>
          <w:p>
            <w:r>
              <w:rPr>
                <w:color w:val="1A1A1A"/>
                <w:sz w:val="18"/>
              </w:rPr>
              <w:t>20</w:t>
            </w:r>
          </w:p>
        </w:tc>
        <w:tc>
          <w:tcPr>
            <w:tcW w:type="dxa" w:w="3135"/>
            <w:shd w:fill="FFFFFF" w:val="clear"/>
          </w:tcPr>
          <w:p>
            <w:r>
              <w:rPr>
                <w:color w:val="1A1A1A"/>
                <w:sz w:val="18"/>
              </w:rPr>
              <w:t>Extraction, aviation, farmland</w:t>
            </w:r>
          </w:p>
        </w:tc>
      </w:tr>
    </w:tbl>
    <w:p/>
    <w:p>
      <w:pPr>
        <w:spacing w:after="80"/>
      </w:pPr>
      <w:r>
        <w:rPr>
          <w:b/>
          <w:i w:val="0"/>
          <w:color w:val="1A1A1A"/>
          <w:sz w:val="20"/>
        </w:rPr>
        <w:t>Flood overlay: Zone 1 = full score retained; Zone 2 = score × 0.5; Zone 3 = hard excluded (score = 0).</w:t>
      </w:r>
    </w:p>
    <w:p>
      <w:pPr>
        <w:spacing w:after="80"/>
      </w:pPr>
      <w:r>
        <w:rPr>
          <w:b w:val="0"/>
          <w:i w:val="0"/>
          <w:color w:val="1A1A1A"/>
          <w:sz w:val="20"/>
        </w:rPr>
        <w:t>Adjustments:</w:t>
      </w:r>
    </w:p>
    <w:p>
      <w:pPr>
        <w:spacing w:after="80"/>
      </w:pPr>
      <w:r>
        <w:rPr>
          <w:b w:val="0"/>
          <w:i w:val="0"/>
          <w:color w:val="1A1A1A"/>
          <w:sz w:val="20"/>
        </w:rPr>
        <w:t xml:space="preserve">  • Green Belt: score × 0.55 (significant planning hurdle)</w:t>
      </w:r>
    </w:p>
    <w:p>
      <w:pPr>
        <w:spacing w:after="80"/>
      </w:pPr>
      <w:r>
        <w:rPr>
          <w:b w:val="0"/>
          <w:i w:val="0"/>
          <w:color w:val="1A1A1A"/>
          <w:sz w:val="20"/>
        </w:rPr>
        <w:t xml:space="preserve">  • Grey Belt (brownfield within Green Belt): score × 0.80 (NPPF Grey Belt policy — somewhat more achievable)</w:t>
      </w:r>
    </w:p>
    <w:p>
      <w:pPr>
        <w:spacing w:after="80"/>
      </w:pPr>
      <w:r>
        <w:rPr>
          <w:b w:val="0"/>
          <w:i w:val="0"/>
          <w:color w:val="1A1A1A"/>
          <w:sz w:val="20"/>
        </w:rPr>
        <w:t xml:space="preserve">  • AI Growth Zone: +15 points (government-designated fast-track zones)</w:t>
      </w:r>
    </w:p>
    <w:p>
      <w:pPr>
        <w:spacing w:after="80"/>
      </w:pPr>
      <w:r>
        <w:rPr>
          <w:b w:val="0"/>
          <w:i w:val="0"/>
          <w:color w:val="1A1A1A"/>
          <w:sz w:val="20"/>
        </w:rPr>
        <w:t>Data sources: OSM site tags; Green Belt / Grey Belt from planning.data.gov.uk; AI Growth Zones from DSIT.</w:t>
      </w:r>
    </w:p>
    <w:p/>
    <w:p>
      <w:pPr>
        <w:spacing w:after="80"/>
      </w:pPr>
      <w:r>
        <w:rPr>
          <w:b/>
          <w:i w:val="0"/>
          <w:color w:val="1A1A1A"/>
          <w:sz w:val="22"/>
        </w:rPr>
        <w:t>Factor 3 — Fibre Connectivity (20%)</w:t>
      </w:r>
    </w:p>
    <w:p>
      <w:pPr>
        <w:spacing w:after="80"/>
      </w:pPr>
      <w:r>
        <w:rPr>
          <w:b w:val="0"/>
          <w:i w:val="0"/>
          <w:color w:val="1A1A1A"/>
          <w:sz w:val="20"/>
        </w:rPr>
        <w:t>What question it answers: Can I get carrier-grade diverse fibre routes?</w:t>
      </w:r>
    </w:p>
    <w:p>
      <w:pPr>
        <w:spacing w:after="80"/>
      </w:pPr>
      <w:r>
        <w:rPr>
          <w:b w:val="0"/>
          <w:i w:val="0"/>
          <w:color w:val="1A1A1A"/>
          <w:sz w:val="20"/>
        </w:rPr>
        <w:t>Scored on distance to the nearest of two infrastructure types: (1) backbone fibre route — under 1km scores maximum, degrades on a step curve to 100km minimum; (2) carrier-neutral colocation — nearest internet exchange or carrier-neutral facility. Final score takes the better of the two distances.</w:t>
      </w:r>
    </w:p>
    <w:p>
      <w:pPr>
        <w:spacing w:after="80"/>
      </w:pPr>
      <w:r>
        <w:rPr>
          <w:b w:val="0"/>
          <w:i w:val="0"/>
          <w:color w:val="1A1A1A"/>
          <w:sz w:val="20"/>
        </w:rPr>
        <w:t>Data sources: ITU BBmaps WFS — 1,187 operational UK backbone fibre route segments. PeeringDB API — UK internet exchanges (IXPs) and carrier-neutral colocation facilities.</w:t>
      </w:r>
    </w:p>
    <w:p/>
    <w:p>
      <w:pPr>
        <w:spacing w:after="80"/>
      </w:pPr>
      <w:r>
        <w:rPr>
          <w:b/>
          <w:i w:val="0"/>
          <w:color w:val="1A1A1A"/>
          <w:sz w:val="22"/>
        </w:rPr>
        <w:t>Factor 4 — Buildability (10%)</w:t>
      </w:r>
    </w:p>
    <w:p>
      <w:pPr>
        <w:spacing w:after="80"/>
      </w:pPr>
      <w:r>
        <w:rPr>
          <w:b w:val="0"/>
          <w:i w:val="0"/>
          <w:color w:val="1A1A1A"/>
          <w:sz w:val="20"/>
        </w:rPr>
        <w:t>What question it answers: Is the site physically practical to develop?</w:t>
      </w:r>
    </w:p>
    <w:p>
      <w:pPr>
        <w:spacing w:after="80"/>
      </w:pPr>
      <w:r>
        <w:rPr>
          <w:b w:val="0"/>
          <w:i w:val="0"/>
          <w:color w:val="1A1A1A"/>
          <w:sz w:val="20"/>
        </w:rPr>
        <w:t>Two inputs: site area (scored relative to MW requirement; larger sites score higher — more phasing flexibility) and type penalty (active extraction sites, aviation with live runway constraints carry a buildability deduction). Data source: OpenStreetMap polygon geometry.</w:t>
      </w:r>
    </w:p>
    <w:p>
      <w:pPr>
        <w:spacing w:after="40"/>
      </w:pPr>
    </w:p>
    <w:p>
      <w:pPr>
        <w:pBdr>
          <w:bottom w:val="single" w:sz="6" w:space="1" w:color="2C5F8A"/>
        </w:pBdr>
        <w:spacing w:after="160"/>
      </w:pPr>
    </w:p>
    <w:p>
      <w:pPr>
        <w:pStyle w:val="Heading1"/>
        <w:spacing w:before="360" w:after="120"/>
      </w:pPr>
      <w:r>
        <w:rPr>
          <w:color w:val="1A3A5C"/>
          <w:sz w:val="36"/>
        </w:rPr>
        <w:t>SLIDE 2: 100MW Waterfall — From 63,478 Parcels to Priority Sites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fill="1A3A5C" w:val="clear"/>
            <w:vAlign w:val="center"/>
          </w:tcPr>
          <w:p>
            <w:r>
              <w:rPr>
                <w:b/>
                <w:color w:val="FFFFFF"/>
                <w:sz w:val="18"/>
              </w:rPr>
              <w:t>Step</w:t>
            </w:r>
          </w:p>
        </w:tc>
        <w:tc>
          <w:tcPr>
            <w:tcW w:type="dxa" w:w="2835"/>
            <w:shd w:fill="1A3A5C" w:val="clear"/>
            <w:vAlign w:val="center"/>
          </w:tcPr>
          <w:p>
            <w:r>
              <w:rPr>
                <w:b/>
                <w:color w:val="FFFFFF"/>
                <w:sz w:val="18"/>
              </w:rPr>
              <w:t>Label</w:t>
            </w:r>
          </w:p>
        </w:tc>
        <w:tc>
          <w:tcPr>
            <w:tcW w:type="dxa" w:w="1984"/>
            <w:shd w:fill="1A3A5C" w:val="clear"/>
            <w:vAlign w:val="center"/>
          </w:tcPr>
          <w:p>
            <w:r>
              <w:rPr>
                <w:b/>
                <w:color w:val="FFFFFF"/>
                <w:sz w:val="18"/>
              </w:rPr>
              <w:t>Parcels remaining</w:t>
            </w:r>
          </w:p>
        </w:tc>
        <w:tc>
          <w:tcPr>
            <w:tcW w:type="dxa" w:w="1417"/>
            <w:shd w:fill="1A3A5C" w:val="clear"/>
            <w:vAlign w:val="center"/>
          </w:tcPr>
          <w:p>
            <w:r>
              <w:rPr>
                <w:b/>
                <w:color w:val="FFFFFF"/>
                <w:sz w:val="18"/>
              </w:rPr>
              <w:t>Removed</w:t>
            </w:r>
          </w:p>
        </w:tc>
        <w:tc>
          <w:tcPr>
            <w:tcW w:type="dxa" w:w="3118"/>
            <w:shd w:fill="1A3A5C" w:val="clear"/>
            <w:vAlign w:val="center"/>
          </w:tcPr>
          <w:p>
            <w:r>
              <w:rPr>
                <w:b/>
                <w:color w:val="FFFFFF"/>
                <w:sz w:val="18"/>
              </w:rPr>
              <w:t>Why</w:t>
            </w:r>
          </w:p>
        </w:tc>
      </w:tr>
      <w:tr>
        <w:tc>
          <w:tcPr>
            <w:tcW w:type="dxa" w:w="1881"/>
            <w:shd w:fill="FFFFFF" w:val="clear"/>
          </w:tcPr>
          <w:p>
            <w:r>
              <w:rPr>
                <w:color w:val="1A1A1A"/>
                <w:sz w:val="18"/>
              </w:rPr>
              <w:t>1</w:t>
            </w:r>
          </w:p>
        </w:tc>
        <w:tc>
          <w:tcPr>
            <w:tcW w:type="dxa" w:w="1881"/>
            <w:shd w:fill="FFFFFF" w:val="clear"/>
          </w:tcPr>
          <w:p>
            <w:r>
              <w:rPr>
                <w:color w:val="1A1A1A"/>
                <w:sz w:val="18"/>
              </w:rPr>
              <w:t>All UK land parcels</w:t>
            </w:r>
          </w:p>
        </w:tc>
        <w:tc>
          <w:tcPr>
            <w:tcW w:type="dxa" w:w="1881"/>
            <w:shd w:fill="FFFFFF" w:val="clear"/>
          </w:tcPr>
          <w:p>
            <w:r>
              <w:rPr>
                <w:color w:val="1A1A1A"/>
                <w:sz w:val="18"/>
              </w:rPr>
              <w:t>63,478</w:t>
            </w:r>
          </w:p>
        </w:tc>
        <w:tc>
          <w:tcPr>
            <w:tcW w:type="dxa" w:w="1881"/>
            <w:shd w:fill="FFFFFF" w:val="clear"/>
          </w:tcPr>
          <w:p>
            <w:r>
              <w:rPr>
                <w:color w:val="1A1A1A"/>
                <w:sz w:val="18"/>
              </w:rPr>
              <w:t>—</w:t>
            </w:r>
          </w:p>
        </w:tc>
        <w:tc>
          <w:tcPr>
            <w:tcW w:type="dxa" w:w="1881"/>
            <w:shd w:fill="FFFFFF" w:val="clear"/>
          </w:tcPr>
          <w:p>
            <w:r>
              <w:rPr>
                <w:color w:val="1A1A1A"/>
                <w:sz w:val="18"/>
              </w:rPr>
              <w:t>Brownfield, industrial, agricultural, military, aviation and other DC-relevant types across all 13 UK regions</w:t>
            </w:r>
          </w:p>
        </w:tc>
      </w:tr>
      <w:tr>
        <w:tc>
          <w:tcPr>
            <w:tcW w:type="dxa" w:w="1881"/>
            <w:shd w:fill="F5F7FA" w:val="clear"/>
          </w:tcPr>
          <w:p>
            <w:r>
              <w:rPr>
                <w:color w:val="1A1A1A"/>
                <w:sz w:val="18"/>
              </w:rPr>
              <w:t>2</w:t>
            </w:r>
          </w:p>
        </w:tc>
        <w:tc>
          <w:tcPr>
            <w:tcW w:type="dxa" w:w="1881"/>
            <w:shd w:fill="F5F7FA" w:val="clear"/>
          </w:tcPr>
          <w:p>
            <w:r>
              <w:rPr>
                <w:color w:val="1A1A1A"/>
                <w:sz w:val="18"/>
              </w:rPr>
              <w:t>Remove Flood Zone 3</w:t>
            </w:r>
          </w:p>
        </w:tc>
        <w:tc>
          <w:tcPr>
            <w:tcW w:type="dxa" w:w="1881"/>
            <w:shd w:fill="F5F7FA" w:val="clear"/>
          </w:tcPr>
          <w:p>
            <w:r>
              <w:rPr>
                <w:color w:val="1A1A1A"/>
                <w:sz w:val="18"/>
              </w:rPr>
              <w:t>58,069</w:t>
            </w:r>
          </w:p>
        </w:tc>
        <w:tc>
          <w:tcPr>
            <w:tcW w:type="dxa" w:w="1881"/>
            <w:shd w:fill="F5F7FA" w:val="clear"/>
          </w:tcPr>
          <w:p>
            <w:r>
              <w:rPr>
                <w:color w:val="1A1A1A"/>
                <w:sz w:val="18"/>
              </w:rPr>
              <w:t>−5,409</w:t>
            </w:r>
          </w:p>
        </w:tc>
        <w:tc>
          <w:tcPr>
            <w:tcW w:type="dxa" w:w="1881"/>
            <w:shd w:fill="F5F7FA" w:val="clear"/>
          </w:tcPr>
          <w:p>
            <w:r>
              <w:rPr>
                <w:color w:val="1A1A1A"/>
                <w:sz w:val="18"/>
              </w:rPr>
              <w:t>High flood risk — uninsurable for critical infrastructure under EA classification</w:t>
            </w:r>
          </w:p>
        </w:tc>
      </w:tr>
      <w:tr>
        <w:tc>
          <w:tcPr>
            <w:tcW w:type="dxa" w:w="1881"/>
            <w:shd w:fill="FFFFFF" w:val="clear"/>
          </w:tcPr>
          <w:p>
            <w:r>
              <w:rPr>
                <w:color w:val="1A1A1A"/>
                <w:sz w:val="18"/>
              </w:rPr>
              <w:t>3</w:t>
            </w:r>
          </w:p>
        </w:tc>
        <w:tc>
          <w:tcPr>
            <w:tcW w:type="dxa" w:w="1881"/>
            <w:shd w:fill="FFFFFF" w:val="clear"/>
          </w:tcPr>
          <w:p>
            <w:r>
              <w:rPr>
                <w:color w:val="1A1A1A"/>
                <w:sz w:val="18"/>
              </w:rPr>
              <w:t>Remove statutory designations</w:t>
            </w:r>
          </w:p>
        </w:tc>
        <w:tc>
          <w:tcPr>
            <w:tcW w:type="dxa" w:w="1881"/>
            <w:shd w:fill="FFFFFF" w:val="clear"/>
          </w:tcPr>
          <w:p>
            <w:r>
              <w:rPr>
                <w:color w:val="1A1A1A"/>
                <w:sz w:val="18"/>
              </w:rPr>
              <w:t>52,242</w:t>
            </w:r>
          </w:p>
        </w:tc>
        <w:tc>
          <w:tcPr>
            <w:tcW w:type="dxa" w:w="1881"/>
            <w:shd w:fill="FFFFFF" w:val="clear"/>
          </w:tcPr>
          <w:p>
            <w:r>
              <w:rPr>
                <w:color w:val="1A1A1A"/>
                <w:sz w:val="18"/>
              </w:rPr>
              <w:t>−5,827</w:t>
            </w:r>
          </w:p>
        </w:tc>
        <w:tc>
          <w:tcPr>
            <w:tcW w:type="dxa" w:w="1881"/>
            <w:shd w:fill="FFFFFF" w:val="clear"/>
          </w:tcPr>
          <w:p>
            <w:r>
              <w:rPr>
                <w:color w:val="1A1A1A"/>
                <w:sz w:val="18"/>
              </w:rPr>
              <w:t>National Parks, AONBs, SSSIs, SACs, SPAs, Ancient Woodland, Scheduled Monuments</w:t>
            </w:r>
          </w:p>
        </w:tc>
      </w:tr>
      <w:tr>
        <w:tc>
          <w:tcPr>
            <w:tcW w:type="dxa" w:w="1881"/>
            <w:shd w:fill="F5F7FA" w:val="clear"/>
          </w:tcPr>
          <w:p>
            <w:r>
              <w:rPr>
                <w:color w:val="1A1A1A"/>
                <w:sz w:val="18"/>
              </w:rPr>
              <w:t>4</w:t>
            </w:r>
          </w:p>
        </w:tc>
        <w:tc>
          <w:tcPr>
            <w:tcW w:type="dxa" w:w="1881"/>
            <w:shd w:fill="F5F7FA" w:val="clear"/>
          </w:tcPr>
          <w:p>
            <w:r>
              <w:rPr>
                <w:color w:val="1A1A1A"/>
                <w:sz w:val="18"/>
              </w:rPr>
              <w:t>Remove sites &lt; 200 acres</w:t>
            </w:r>
          </w:p>
        </w:tc>
        <w:tc>
          <w:tcPr>
            <w:tcW w:type="dxa" w:w="1881"/>
            <w:shd w:fill="F5F7FA" w:val="clear"/>
          </w:tcPr>
          <w:p>
            <w:r>
              <w:rPr>
                <w:color w:val="1A1A1A"/>
                <w:sz w:val="18"/>
              </w:rPr>
              <w:t>4,669</w:t>
            </w:r>
          </w:p>
        </w:tc>
        <w:tc>
          <w:tcPr>
            <w:tcW w:type="dxa" w:w="1881"/>
            <w:shd w:fill="F5F7FA" w:val="clear"/>
          </w:tcPr>
          <w:p>
            <w:r>
              <w:rPr>
                <w:color w:val="1A1A1A"/>
                <w:sz w:val="18"/>
              </w:rPr>
              <w:t>−47,573</w:t>
            </w:r>
          </w:p>
        </w:tc>
        <w:tc>
          <w:tcPr>
            <w:tcW w:type="dxa" w:w="1881"/>
            <w:shd w:fill="F5F7FA" w:val="clear"/>
          </w:tcPr>
          <w:p>
            <w:r>
              <w:rPr>
                <w:color w:val="1A1A1A"/>
                <w:sz w:val="18"/>
              </w:rPr>
              <w:t>Minimum footprint for a 100MW campus (power hall, cooling, switchgear, security perimeter)</w:t>
            </w:r>
          </w:p>
        </w:tc>
      </w:tr>
      <w:tr>
        <w:tc>
          <w:tcPr>
            <w:tcW w:type="dxa" w:w="1881"/>
            <w:shd w:fill="FFFFFF" w:val="clear"/>
          </w:tcPr>
          <w:p>
            <w:r>
              <w:rPr>
                <w:color w:val="1A1A1A"/>
                <w:sz w:val="18"/>
              </w:rPr>
              <w:t>5</w:t>
            </w:r>
          </w:p>
        </w:tc>
        <w:tc>
          <w:tcPr>
            <w:tcW w:type="dxa" w:w="1881"/>
            <w:shd w:fill="FFFFFF" w:val="clear"/>
          </w:tcPr>
          <w:p>
            <w:r>
              <w:rPr>
                <w:color w:val="1A1A1A"/>
                <w:sz w:val="18"/>
              </w:rPr>
              <w:t>Set aside farmland</w:t>
            </w:r>
          </w:p>
        </w:tc>
        <w:tc>
          <w:tcPr>
            <w:tcW w:type="dxa" w:w="1881"/>
            <w:shd w:fill="FFFFFF" w:val="clear"/>
          </w:tcPr>
          <w:p>
            <w:r>
              <w:rPr>
                <w:color w:val="1A1A1A"/>
                <w:sz w:val="18"/>
              </w:rPr>
              <w:t>715</w:t>
            </w:r>
          </w:p>
        </w:tc>
        <w:tc>
          <w:tcPr>
            <w:tcW w:type="dxa" w:w="1881"/>
            <w:shd w:fill="FFFFFF" w:val="clear"/>
          </w:tcPr>
          <w:p>
            <w:r>
              <w:rPr>
                <w:color w:val="1A1A1A"/>
                <w:sz w:val="18"/>
              </w:rPr>
              <w:t>−3,954</w:t>
            </w:r>
          </w:p>
        </w:tc>
        <w:tc>
          <w:tcPr>
            <w:tcW w:type="dxa" w:w="1881"/>
            <w:shd w:fill="FFFFFF" w:val="clear"/>
          </w:tcPr>
          <w:p>
            <w:r>
              <w:rPr>
                <w:color w:val="1A1A1A"/>
                <w:sz w:val="18"/>
              </w:rPr>
              <w:t>Agricultural land requires change of use — materially longer planning timeline; retained but deprioritised</w:t>
            </w:r>
          </w:p>
        </w:tc>
      </w:tr>
      <w:tr>
        <w:tc>
          <w:tcPr>
            <w:tcW w:type="dxa" w:w="1881"/>
            <w:shd w:fill="F5F7FA" w:val="clear"/>
          </w:tcPr>
          <w:p>
            <w:r>
              <w:rPr>
                <w:color w:val="1A1A1A"/>
                <w:sz w:val="18"/>
              </w:rPr>
              <w:t>6</w:t>
            </w:r>
          </w:p>
        </w:tc>
        <w:tc>
          <w:tcPr>
            <w:tcW w:type="dxa" w:w="1881"/>
            <w:shd w:fill="F5F7FA" w:val="clear"/>
          </w:tcPr>
          <w:p>
            <w:r>
              <w:rPr>
                <w:color w:val="1A1A1A"/>
                <w:sz w:val="18"/>
              </w:rPr>
              <w:t>Composite score ≥ 50</w:t>
            </w:r>
          </w:p>
        </w:tc>
        <w:tc>
          <w:tcPr>
            <w:tcW w:type="dxa" w:w="1881"/>
            <w:shd w:fill="F5F7FA" w:val="clear"/>
          </w:tcPr>
          <w:p>
            <w:r>
              <w:rPr>
                <w:color w:val="1A1A1A"/>
                <w:sz w:val="18"/>
              </w:rPr>
              <w:t>~675</w:t>
            </w:r>
          </w:p>
        </w:tc>
        <w:tc>
          <w:tcPr>
            <w:tcW w:type="dxa" w:w="1881"/>
            <w:shd w:fill="F5F7FA" w:val="clear"/>
          </w:tcPr>
          <w:p>
            <w:r>
              <w:rPr>
                <w:color w:val="1A1A1A"/>
                <w:sz w:val="18"/>
              </w:rPr>
              <w:t>~40</w:t>
            </w:r>
          </w:p>
        </w:tc>
        <w:tc>
          <w:tcPr>
            <w:tcW w:type="dxa" w:w="1881"/>
            <w:shd w:fill="F5F7FA" w:val="clear"/>
          </w:tcPr>
          <w:p>
            <w:r>
              <w:rPr>
                <w:color w:val="1A1A1A"/>
                <w:sz w:val="18"/>
              </w:rPr>
              <w:t>Minimum viability threshold — poor grid access, remote location, or connectivity gap</w:t>
            </w:r>
          </w:p>
        </w:tc>
      </w:tr>
      <w:tr>
        <w:tc>
          <w:tcPr>
            <w:tcW w:type="dxa" w:w="1881"/>
            <w:shd w:fill="FFFFFF" w:val="clear"/>
          </w:tcPr>
          <w:p>
            <w:r>
              <w:rPr>
                <w:color w:val="1A1A1A"/>
                <w:sz w:val="18"/>
              </w:rPr>
              <w:t>7</w:t>
            </w:r>
          </w:p>
        </w:tc>
        <w:tc>
          <w:tcPr>
            <w:tcW w:type="dxa" w:w="1881"/>
            <w:shd w:fill="FFFFFF" w:val="clear"/>
          </w:tcPr>
          <w:p>
            <w:r>
              <w:rPr>
                <w:color w:val="1A1A1A"/>
                <w:sz w:val="18"/>
              </w:rPr>
              <w:t>Composite score ≥ 70</w:t>
            </w:r>
          </w:p>
        </w:tc>
        <w:tc>
          <w:tcPr>
            <w:tcW w:type="dxa" w:w="1881"/>
            <w:shd w:fill="FFFFFF" w:val="clear"/>
          </w:tcPr>
          <w:p>
            <w:r>
              <w:rPr>
                <w:color w:val="1A1A1A"/>
                <w:sz w:val="18"/>
              </w:rPr>
              <w:t>~140</w:t>
            </w:r>
          </w:p>
        </w:tc>
        <w:tc>
          <w:tcPr>
            <w:tcW w:type="dxa" w:w="1881"/>
            <w:shd w:fill="FFFFFF" w:val="clear"/>
          </w:tcPr>
          <w:p>
            <w:r>
              <w:rPr>
                <w:color w:val="1A1A1A"/>
                <w:sz w:val="18"/>
              </w:rPr>
              <w:t>~535</w:t>
            </w:r>
          </w:p>
        </w:tc>
        <w:tc>
          <w:tcPr>
            <w:tcW w:type="dxa" w:w="1881"/>
            <w:shd w:fill="FFFFFF" w:val="clear"/>
          </w:tcPr>
          <w:p>
            <w:r>
              <w:rPr>
                <w:color w:val="1A1A1A"/>
                <w:sz w:val="18"/>
              </w:rPr>
              <w:t>Strong candidates — good grid headroom, established connectivity, acceptable permissioning</w:t>
            </w:r>
          </w:p>
        </w:tc>
      </w:tr>
      <w:tr>
        <w:tc>
          <w:tcPr>
            <w:tcW w:type="dxa" w:w="1881"/>
            <w:shd w:fill="F5F7FA" w:val="clear"/>
          </w:tcPr>
          <w:p>
            <w:r>
              <w:rPr>
                <w:color w:val="1A1A1A"/>
                <w:sz w:val="18"/>
              </w:rPr>
              <w:t>8</w:t>
            </w:r>
          </w:p>
        </w:tc>
        <w:tc>
          <w:tcPr>
            <w:tcW w:type="dxa" w:w="1881"/>
            <w:shd w:fill="F5F7FA" w:val="clear"/>
          </w:tcPr>
          <w:p>
            <w:r>
              <w:rPr>
                <w:color w:val="1A1A1A"/>
                <w:sz w:val="18"/>
              </w:rPr>
              <w:t>Composite score ≥ 80</w:t>
            </w:r>
          </w:p>
        </w:tc>
        <w:tc>
          <w:tcPr>
            <w:tcW w:type="dxa" w:w="1881"/>
            <w:shd w:fill="F5F7FA" w:val="clear"/>
          </w:tcPr>
          <w:p>
            <w:r>
              <w:rPr>
                <w:color w:val="1A1A1A"/>
                <w:sz w:val="18"/>
              </w:rPr>
              <w:t>29</w:t>
            </w:r>
          </w:p>
        </w:tc>
        <w:tc>
          <w:tcPr>
            <w:tcW w:type="dxa" w:w="1881"/>
            <w:shd w:fill="F5F7FA" w:val="clear"/>
          </w:tcPr>
          <w:p>
            <w:r>
              <w:rPr>
                <w:color w:val="1A1A1A"/>
                <w:sz w:val="18"/>
              </w:rPr>
              <w:t>~111</w:t>
            </w:r>
          </w:p>
        </w:tc>
        <w:tc>
          <w:tcPr>
            <w:tcW w:type="dxa" w:w="1881"/>
            <w:shd w:fill="F5F7FA" w:val="clear"/>
          </w:tcPr>
          <w:p>
            <w:r>
              <w:rPr>
                <w:color w:val="1A1A1A"/>
                <w:sz w:val="18"/>
              </w:rPr>
              <w:t>High-quality sites — top-tier on power, fibre and permissioning dimensions</w:t>
            </w:r>
          </w:p>
        </w:tc>
      </w:tr>
      <w:tr>
        <w:tc>
          <w:tcPr>
            <w:tcW w:type="dxa" w:w="1881"/>
            <w:shd w:fill="FFFFFF" w:val="clear"/>
            <w:shd w:fill="FFF3CD" w:val="clear"/>
          </w:tcPr>
          <w:p>
            <w:r>
              <w:rPr>
                <w:b/>
                <w:color w:val="1A1A1A"/>
                <w:sz w:val="18"/>
              </w:rPr>
              <w:t>9</w:t>
            </w:r>
          </w:p>
        </w:tc>
        <w:tc>
          <w:tcPr>
            <w:tcW w:type="dxa" w:w="1881"/>
            <w:shd w:fill="FFFFFF" w:val="clear"/>
            <w:shd w:fill="FFF3CD" w:val="clear"/>
          </w:tcPr>
          <w:p>
            <w:r>
              <w:rPr>
                <w:b/>
                <w:color w:val="1A1A1A"/>
                <w:sz w:val="18"/>
              </w:rPr>
              <w:t>Priority 100MW sites</w:t>
            </w:r>
          </w:p>
        </w:tc>
        <w:tc>
          <w:tcPr>
            <w:tcW w:type="dxa" w:w="1881"/>
            <w:shd w:fill="FFFFFF" w:val="clear"/>
            <w:shd w:fill="FFF3CD" w:val="clear"/>
          </w:tcPr>
          <w:p>
            <w:r>
              <w:rPr>
                <w:b/>
                <w:color w:val="1A1A1A"/>
                <w:sz w:val="18"/>
              </w:rPr>
              <w:t>Top 10</w:t>
            </w:r>
          </w:p>
        </w:tc>
        <w:tc>
          <w:tcPr>
            <w:tcW w:type="dxa" w:w="1881"/>
            <w:shd w:fill="FFFFFF" w:val="clear"/>
            <w:shd w:fill="FFF3CD" w:val="clear"/>
          </w:tcPr>
          <w:p>
            <w:r>
              <w:rPr>
                <w:b/>
                <w:color w:val="1A1A1A"/>
                <w:sz w:val="18"/>
              </w:rPr>
              <w:t>—</w:t>
            </w:r>
          </w:p>
        </w:tc>
        <w:tc>
          <w:tcPr>
            <w:tcW w:type="dxa" w:w="1881"/>
            <w:shd w:fill="FFFFFF" w:val="clear"/>
            <w:shd w:fill="FFF3CD" w:val="clear"/>
          </w:tcPr>
          <w:p>
            <w:r>
              <w:rPr>
                <w:b/>
                <w:color w:val="1A1A1A"/>
                <w:sz w:val="18"/>
              </w:rPr>
              <w:t>Best-in-class sites for detailed technical and commercial due diligence</w:t>
            </w:r>
          </w:p>
        </w:tc>
      </w:tr>
    </w:tbl>
    <w:p/>
    <w:p>
      <w:pPr>
        <w:pStyle w:val="Heading3"/>
        <w:spacing w:before="200" w:after="60"/>
      </w:pPr>
      <w:r>
        <w:rPr>
          <w:color w:val="1A3A5C"/>
          <w:sz w:val="22"/>
        </w:rPr>
        <w:t>Top sites emerging from the 100MW funnel</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850"/>
            <w:shd w:fill="1A3A5C" w:val="clear"/>
            <w:vAlign w:val="center"/>
          </w:tcPr>
          <w:p>
            <w:r>
              <w:rPr>
                <w:b/>
                <w:color w:val="FFFFFF"/>
                <w:sz w:val="18"/>
              </w:rPr>
              <w:t>Rank</w:t>
            </w:r>
          </w:p>
        </w:tc>
        <w:tc>
          <w:tcPr>
            <w:tcW w:type="dxa" w:w="2268"/>
            <w:shd w:fill="1A3A5C" w:val="clear"/>
            <w:vAlign w:val="center"/>
          </w:tcPr>
          <w:p>
            <w:r>
              <w:rPr>
                <w:b/>
                <w:color w:val="FFFFFF"/>
                <w:sz w:val="18"/>
              </w:rPr>
              <w:t>Site</w:t>
            </w:r>
          </w:p>
        </w:tc>
        <w:tc>
          <w:tcPr>
            <w:tcW w:type="dxa" w:w="1984"/>
            <w:shd w:fill="1A3A5C" w:val="clear"/>
            <w:vAlign w:val="center"/>
          </w:tcPr>
          <w:p>
            <w:r>
              <w:rPr>
                <w:b/>
                <w:color w:val="FFFFFF"/>
                <w:sz w:val="18"/>
              </w:rPr>
              <w:t>Region</w:t>
            </w:r>
          </w:p>
        </w:tc>
        <w:tc>
          <w:tcPr>
            <w:tcW w:type="dxa" w:w="1417"/>
            <w:shd w:fill="1A3A5C" w:val="clear"/>
            <w:vAlign w:val="center"/>
          </w:tcPr>
          <w:p>
            <w:r>
              <w:rPr>
                <w:b/>
                <w:color w:val="FFFFFF"/>
                <w:sz w:val="18"/>
              </w:rPr>
              <w:t>Size</w:t>
            </w:r>
          </w:p>
        </w:tc>
        <w:tc>
          <w:tcPr>
            <w:tcW w:type="dxa" w:w="1701"/>
            <w:shd w:fill="1A3A5C" w:val="clear"/>
            <w:vAlign w:val="center"/>
          </w:tcPr>
          <w:p>
            <w:r>
              <w:rPr>
                <w:b/>
                <w:color w:val="FFFFFF"/>
                <w:sz w:val="18"/>
              </w:rPr>
              <w:t>Type</w:t>
            </w:r>
          </w:p>
        </w:tc>
        <w:tc>
          <w:tcPr>
            <w:tcW w:type="dxa" w:w="1984"/>
            <w:shd w:fill="1A3A5C" w:val="clear"/>
            <w:vAlign w:val="center"/>
          </w:tcPr>
          <w:p>
            <w:r>
              <w:rPr>
                <w:b/>
                <w:color w:val="FFFFFF"/>
                <w:sz w:val="18"/>
              </w:rPr>
              <w:t>Score (100MW)</w:t>
            </w:r>
          </w:p>
        </w:tc>
      </w:tr>
      <w:tr>
        <w:tc>
          <w:tcPr>
            <w:tcW w:type="dxa" w:w="1568"/>
            <w:shd w:fill="FFFFFF" w:val="clear"/>
          </w:tcPr>
          <w:p>
            <w:r>
              <w:rPr>
                <w:b/>
                <w:color w:val="1A1A1A"/>
                <w:sz w:val="18"/>
              </w:rPr>
              <w:t>1</w:t>
            </w:r>
          </w:p>
        </w:tc>
        <w:tc>
          <w:tcPr>
            <w:tcW w:type="dxa" w:w="1568"/>
            <w:shd w:fill="FFFFFF" w:val="clear"/>
          </w:tcPr>
          <w:p>
            <w:r>
              <w:rPr>
                <w:color w:val="1A1A1A"/>
                <w:sz w:val="18"/>
              </w:rPr>
              <w:t>Industrial site</w:t>
            </w:r>
          </w:p>
        </w:tc>
        <w:tc>
          <w:tcPr>
            <w:tcW w:type="dxa" w:w="1568"/>
            <w:shd w:fill="FFFFFF" w:val="clear"/>
          </w:tcPr>
          <w:p>
            <w:r>
              <w:rPr>
                <w:color w:val="1A1A1A"/>
                <w:sz w:val="18"/>
              </w:rPr>
              <w:t>North West</w:t>
            </w:r>
          </w:p>
        </w:tc>
        <w:tc>
          <w:tcPr>
            <w:tcW w:type="dxa" w:w="1568"/>
            <w:shd w:fill="FFFFFF" w:val="clear"/>
          </w:tcPr>
          <w:p>
            <w:r>
              <w:rPr>
                <w:color w:val="1A1A1A"/>
                <w:sz w:val="18"/>
              </w:rPr>
              <w:t>266 ac</w:t>
            </w:r>
          </w:p>
        </w:tc>
        <w:tc>
          <w:tcPr>
            <w:tcW w:type="dxa" w:w="1568"/>
            <w:shd w:fill="FFFFFF" w:val="clear"/>
          </w:tcPr>
          <w:p>
            <w:r>
              <w:rPr>
                <w:color w:val="1A1A1A"/>
                <w:sz w:val="18"/>
              </w:rPr>
              <w:t>Industrial</w:t>
            </w:r>
          </w:p>
        </w:tc>
        <w:tc>
          <w:tcPr>
            <w:tcW w:type="dxa" w:w="1568"/>
            <w:shd w:fill="FFFFFF" w:val="clear"/>
          </w:tcPr>
          <w:p>
            <w:r>
              <w:rPr>
                <w:color w:val="1A1A1A"/>
                <w:sz w:val="18"/>
              </w:rPr>
              <w:t>89.7</w:t>
            </w:r>
          </w:p>
        </w:tc>
      </w:tr>
      <w:tr>
        <w:tc>
          <w:tcPr>
            <w:tcW w:type="dxa" w:w="1568"/>
            <w:shd w:fill="F5F7FA" w:val="clear"/>
          </w:tcPr>
          <w:p>
            <w:r>
              <w:rPr>
                <w:b/>
                <w:color w:val="1A1A1A"/>
                <w:sz w:val="18"/>
              </w:rPr>
              <w:t>2</w:t>
            </w:r>
          </w:p>
        </w:tc>
        <w:tc>
          <w:tcPr>
            <w:tcW w:type="dxa" w:w="1568"/>
            <w:shd w:fill="F5F7FA" w:val="clear"/>
          </w:tcPr>
          <w:p>
            <w:r>
              <w:rPr>
                <w:color w:val="1A1A1A"/>
                <w:sz w:val="18"/>
              </w:rPr>
              <w:t>Port of Southampton</w:t>
            </w:r>
          </w:p>
        </w:tc>
        <w:tc>
          <w:tcPr>
            <w:tcW w:type="dxa" w:w="1568"/>
            <w:shd w:fill="F5F7FA" w:val="clear"/>
          </w:tcPr>
          <w:p>
            <w:r>
              <w:rPr>
                <w:color w:val="1A1A1A"/>
                <w:sz w:val="18"/>
              </w:rPr>
              <w:t>South East</w:t>
            </w:r>
          </w:p>
        </w:tc>
        <w:tc>
          <w:tcPr>
            <w:tcW w:type="dxa" w:w="1568"/>
            <w:shd w:fill="F5F7FA" w:val="clear"/>
          </w:tcPr>
          <w:p>
            <w:r>
              <w:rPr>
                <w:color w:val="1A1A1A"/>
                <w:sz w:val="18"/>
              </w:rPr>
              <w:t>605 ac</w:t>
            </w:r>
          </w:p>
        </w:tc>
        <w:tc>
          <w:tcPr>
            <w:tcW w:type="dxa" w:w="1568"/>
            <w:shd w:fill="F5F7FA" w:val="clear"/>
          </w:tcPr>
          <w:p>
            <w:r>
              <w:rPr>
                <w:color w:val="1A1A1A"/>
                <w:sz w:val="18"/>
              </w:rPr>
              <w:t>Industrial</w:t>
            </w:r>
          </w:p>
        </w:tc>
        <w:tc>
          <w:tcPr>
            <w:tcW w:type="dxa" w:w="1568"/>
            <w:shd w:fill="F5F7FA" w:val="clear"/>
          </w:tcPr>
          <w:p>
            <w:r>
              <w:rPr>
                <w:color w:val="1A1A1A"/>
                <w:sz w:val="18"/>
              </w:rPr>
              <w:t>89.2</w:t>
            </w:r>
          </w:p>
        </w:tc>
      </w:tr>
      <w:tr>
        <w:tc>
          <w:tcPr>
            <w:tcW w:type="dxa" w:w="1568"/>
            <w:shd w:fill="FFFFFF" w:val="clear"/>
          </w:tcPr>
          <w:p>
            <w:r>
              <w:rPr>
                <w:b/>
                <w:color w:val="1A1A1A"/>
                <w:sz w:val="18"/>
              </w:rPr>
              <w:t>3</w:t>
            </w:r>
          </w:p>
        </w:tc>
        <w:tc>
          <w:tcPr>
            <w:tcW w:type="dxa" w:w="1568"/>
            <w:shd w:fill="FFFFFF" w:val="clear"/>
          </w:tcPr>
          <w:p>
            <w:r>
              <w:rPr>
                <w:color w:val="1A1A1A"/>
                <w:sz w:val="18"/>
              </w:rPr>
              <w:t>Industrial site</w:t>
            </w:r>
          </w:p>
        </w:tc>
        <w:tc>
          <w:tcPr>
            <w:tcW w:type="dxa" w:w="1568"/>
            <w:shd w:fill="FFFFFF" w:val="clear"/>
          </w:tcPr>
          <w:p>
            <w:r>
              <w:rPr>
                <w:color w:val="1A1A1A"/>
                <w:sz w:val="18"/>
              </w:rPr>
              <w:t>Yorkshire</w:t>
            </w:r>
          </w:p>
        </w:tc>
        <w:tc>
          <w:tcPr>
            <w:tcW w:type="dxa" w:w="1568"/>
            <w:shd w:fill="FFFFFF" w:val="clear"/>
          </w:tcPr>
          <w:p>
            <w:r>
              <w:rPr>
                <w:color w:val="1A1A1A"/>
                <w:sz w:val="18"/>
              </w:rPr>
              <w:t>443 ac</w:t>
            </w:r>
          </w:p>
        </w:tc>
        <w:tc>
          <w:tcPr>
            <w:tcW w:type="dxa" w:w="1568"/>
            <w:shd w:fill="FFFFFF" w:val="clear"/>
          </w:tcPr>
          <w:p>
            <w:r>
              <w:rPr>
                <w:color w:val="1A1A1A"/>
                <w:sz w:val="18"/>
              </w:rPr>
              <w:t>Industrial</w:t>
            </w:r>
          </w:p>
        </w:tc>
        <w:tc>
          <w:tcPr>
            <w:tcW w:type="dxa" w:w="1568"/>
            <w:shd w:fill="FFFFFF" w:val="clear"/>
          </w:tcPr>
          <w:p>
            <w:r>
              <w:rPr>
                <w:color w:val="1A1A1A"/>
                <w:sz w:val="18"/>
              </w:rPr>
              <w:t>87.7</w:t>
            </w:r>
          </w:p>
        </w:tc>
      </w:tr>
      <w:tr>
        <w:tc>
          <w:tcPr>
            <w:tcW w:type="dxa" w:w="1568"/>
            <w:shd w:fill="F5F7FA" w:val="clear"/>
          </w:tcPr>
          <w:p>
            <w:r>
              <w:rPr>
                <w:b/>
                <w:color w:val="1A1A1A"/>
                <w:sz w:val="18"/>
              </w:rPr>
              <w:t>4</w:t>
            </w:r>
          </w:p>
        </w:tc>
        <w:tc>
          <w:tcPr>
            <w:tcW w:type="dxa" w:w="1568"/>
            <w:shd w:fill="F5F7FA" w:val="clear"/>
          </w:tcPr>
          <w:p>
            <w:r>
              <w:rPr>
                <w:color w:val="1A1A1A"/>
                <w:sz w:val="18"/>
              </w:rPr>
              <w:t>Ratcliffe Power Station</w:t>
            </w:r>
          </w:p>
        </w:tc>
        <w:tc>
          <w:tcPr>
            <w:tcW w:type="dxa" w:w="1568"/>
            <w:shd w:fill="F5F7FA" w:val="clear"/>
          </w:tcPr>
          <w:p>
            <w:r>
              <w:rPr>
                <w:color w:val="1A1A1A"/>
                <w:sz w:val="18"/>
              </w:rPr>
              <w:t>East Midlands</w:t>
            </w:r>
          </w:p>
        </w:tc>
        <w:tc>
          <w:tcPr>
            <w:tcW w:type="dxa" w:w="1568"/>
            <w:shd w:fill="F5F7FA" w:val="clear"/>
          </w:tcPr>
          <w:p>
            <w:r>
              <w:rPr>
                <w:color w:val="1A1A1A"/>
                <w:sz w:val="18"/>
              </w:rPr>
              <w:t>276 ac</w:t>
            </w:r>
          </w:p>
        </w:tc>
        <w:tc>
          <w:tcPr>
            <w:tcW w:type="dxa" w:w="1568"/>
            <w:shd w:fill="F5F7FA" w:val="clear"/>
          </w:tcPr>
          <w:p>
            <w:r>
              <w:rPr>
                <w:color w:val="1A1A1A"/>
                <w:sz w:val="18"/>
              </w:rPr>
              <w:t>Brownfield</w:t>
            </w:r>
          </w:p>
        </w:tc>
        <w:tc>
          <w:tcPr>
            <w:tcW w:type="dxa" w:w="1568"/>
            <w:shd w:fill="F5F7FA" w:val="clear"/>
          </w:tcPr>
          <w:p>
            <w:r>
              <w:rPr>
                <w:color w:val="1A1A1A"/>
                <w:sz w:val="18"/>
              </w:rPr>
              <w:t>87.7</w:t>
            </w:r>
          </w:p>
        </w:tc>
      </w:tr>
      <w:tr>
        <w:tc>
          <w:tcPr>
            <w:tcW w:type="dxa" w:w="1568"/>
            <w:shd w:fill="FFFFFF" w:val="clear"/>
          </w:tcPr>
          <w:p>
            <w:r>
              <w:rPr>
                <w:b/>
                <w:color w:val="1A1A1A"/>
                <w:sz w:val="18"/>
              </w:rPr>
              <w:t>5</w:t>
            </w:r>
          </w:p>
        </w:tc>
        <w:tc>
          <w:tcPr>
            <w:tcW w:type="dxa" w:w="1568"/>
            <w:shd w:fill="FFFFFF" w:val="clear"/>
          </w:tcPr>
          <w:p>
            <w:r>
              <w:rPr>
                <w:color w:val="1A1A1A"/>
                <w:sz w:val="18"/>
              </w:rPr>
              <w:t>Sowton Industrial Estate</w:t>
            </w:r>
          </w:p>
        </w:tc>
        <w:tc>
          <w:tcPr>
            <w:tcW w:type="dxa" w:w="1568"/>
            <w:shd w:fill="FFFFFF" w:val="clear"/>
          </w:tcPr>
          <w:p>
            <w:r>
              <w:rPr>
                <w:color w:val="1A1A1A"/>
                <w:sz w:val="18"/>
              </w:rPr>
              <w:t>South West</w:t>
            </w:r>
          </w:p>
        </w:tc>
        <w:tc>
          <w:tcPr>
            <w:tcW w:type="dxa" w:w="1568"/>
            <w:shd w:fill="FFFFFF" w:val="clear"/>
          </w:tcPr>
          <w:p>
            <w:r>
              <w:rPr>
                <w:color w:val="1A1A1A"/>
                <w:sz w:val="18"/>
              </w:rPr>
              <w:t>228 ac</w:t>
            </w:r>
          </w:p>
        </w:tc>
        <w:tc>
          <w:tcPr>
            <w:tcW w:type="dxa" w:w="1568"/>
            <w:shd w:fill="FFFFFF" w:val="clear"/>
          </w:tcPr>
          <w:p>
            <w:r>
              <w:rPr>
                <w:color w:val="1A1A1A"/>
                <w:sz w:val="18"/>
              </w:rPr>
              <w:t>Industrial</w:t>
            </w:r>
          </w:p>
        </w:tc>
        <w:tc>
          <w:tcPr>
            <w:tcW w:type="dxa" w:w="1568"/>
            <w:shd w:fill="FFFFFF" w:val="clear"/>
          </w:tcPr>
          <w:p>
            <w:r>
              <w:rPr>
                <w:color w:val="1A1A1A"/>
                <w:sz w:val="18"/>
              </w:rPr>
              <w:t>87.7</w:t>
            </w:r>
          </w:p>
        </w:tc>
      </w:tr>
    </w:tbl>
    <w:p/>
    <w:p>
      <w:pPr>
        <w:spacing w:after="80"/>
      </w:pPr>
      <w:r>
        <w:rPr>
          <w:b/>
          <w:i w:val="0"/>
          <w:color w:val="1A1A1A"/>
          <w:sz w:val="20"/>
        </w:rPr>
        <w:t>Chart annotation notes:</w:t>
      </w:r>
    </w:p>
    <w:p>
      <w:pPr>
        <w:spacing w:after="80"/>
      </w:pPr>
      <w:r>
        <w:rPr>
          <w:b w:val="0"/>
          <w:i w:val="0"/>
          <w:color w:val="1A1A1A"/>
          <w:sz w:val="20"/>
        </w:rPr>
        <w:t>The 200-acre cut is the single largest filter — 47,573 parcels removed. Most UK industrial sites are under 50 acres. 100MW campus requirements are fundamentally a land scarcity problem in the UK.</w:t>
      </w:r>
    </w:p>
    <w:p>
      <w:pPr>
        <w:spacing w:after="80"/>
      </w:pPr>
      <w:r>
        <w:rPr>
          <w:b w:val="0"/>
          <w:i w:val="0"/>
          <w:color w:val="1A1A1A"/>
          <w:sz w:val="20"/>
        </w:rPr>
        <w:t>Flood Zone 3 and statutory designations combined remove 11,236 parcels (18% of total). These are genuinely non-negotiable — no planning authority will grant consent for critical national infrastructure in these zones.</w:t>
      </w:r>
    </w:p>
    <w:p>
      <w:pPr>
        <w:spacing w:after="80"/>
      </w:pPr>
      <w:r>
        <w:rPr>
          <w:b w:val="0"/>
          <w:i w:val="0"/>
          <w:color w:val="1A1A1A"/>
          <w:sz w:val="20"/>
        </w:rPr>
        <w:t>Farmland is set aside, not excluded. 3,954 large agricultural sites remain in the dataset with a lower permissioning score (Bucket C, score 20), reflecting the change-of-use challenge. Available for analysis but deprioritised in the 100MW shortlist.</w:t>
      </w:r>
    </w:p>
    <w:p>
      <w:pPr>
        <w:spacing w:after="80"/>
      </w:pPr>
      <w:r>
        <w:rPr>
          <w:b w:val="0"/>
          <w:i w:val="0"/>
          <w:color w:val="1A1A1A"/>
          <w:sz w:val="20"/>
        </w:rPr>
        <w:t>Ratcliffe Power Station is a notable example: brownfield former coal station with an existing 400kV grid connection on-site, placing it in Bucket A for permissioning and close to maximum power score for 100MW. Former coal and gas power stations represent some of the strongest opportunities in the UK.</w:t>
      </w:r>
    </w:p>
    <w:p>
      <w:pPr>
        <w:spacing w:after="40"/>
      </w:pPr>
    </w:p>
    <w:p>
      <w:pPr>
        <w:pBdr>
          <w:bottom w:val="single" w:sz="6" w:space="1" w:color="2C5F8A"/>
        </w:pBdr>
        <w:spacing w:after="160"/>
      </w:pPr>
    </w:p>
    <w:p>
      <w:pPr>
        <w:pStyle w:val="Heading1"/>
        <w:spacing w:before="360" w:after="120"/>
      </w:pPr>
      <w:r>
        <w:rPr>
          <w:color w:val="1A3A5C"/>
          <w:sz w:val="36"/>
        </w:rPr>
        <w:t>What's Built — Current Feature Set</w:t>
      </w:r>
    </w:p>
    <w:tbl>
      <w:tblPr>
        <w:tblStyle w:val="TableGrid"/>
        <w:tblW w:type="auto" w:w="0"/>
        <w:tblLook w:firstColumn="1" w:firstRow="1" w:lastColumn="0" w:lastRow="0" w:noHBand="0" w:noVBand="1" w:val="04A0"/>
      </w:tblPr>
      <w:tblGrid>
        <w:gridCol w:w="3135"/>
        <w:gridCol w:w="3135"/>
        <w:gridCol w:w="3135"/>
      </w:tblGrid>
      <w:tr>
        <w:tc>
          <w:tcPr>
            <w:tcW w:type="dxa" w:w="2835"/>
            <w:shd w:fill="1A3A5C" w:val="clear"/>
            <w:vAlign w:val="center"/>
          </w:tcPr>
          <w:p>
            <w:r>
              <w:rPr>
                <w:b/>
                <w:color w:val="FFFFFF"/>
                <w:sz w:val="18"/>
              </w:rPr>
              <w:t>Feature</w:t>
            </w:r>
          </w:p>
        </w:tc>
        <w:tc>
          <w:tcPr>
            <w:tcW w:type="dxa" w:w="1417"/>
            <w:shd w:fill="1A3A5C" w:val="clear"/>
            <w:vAlign w:val="center"/>
          </w:tcPr>
          <w:p>
            <w:r>
              <w:rPr>
                <w:b/>
                <w:color w:val="FFFFFF"/>
                <w:sz w:val="18"/>
              </w:rPr>
              <w:t>Status</w:t>
            </w:r>
          </w:p>
        </w:tc>
        <w:tc>
          <w:tcPr>
            <w:tcW w:type="dxa" w:w="5953"/>
            <w:shd w:fill="1A3A5C" w:val="clear"/>
            <w:vAlign w:val="center"/>
          </w:tcPr>
          <w:p>
            <w:r>
              <w:rPr>
                <w:b/>
                <w:color w:val="FFFFFF"/>
                <w:sz w:val="18"/>
              </w:rPr>
              <w:t>Capability</w:t>
            </w:r>
          </w:p>
        </w:tc>
      </w:tr>
      <w:tr>
        <w:tc>
          <w:tcPr>
            <w:tcW w:type="dxa" w:w="3135"/>
            <w:shd w:fill="FFFFFF" w:val="clear"/>
          </w:tcPr>
          <w:p>
            <w:r>
              <w:rPr>
                <w:b/>
                <w:color w:val="1A3A5C"/>
                <w:sz w:val="18"/>
              </w:rPr>
              <w:t>F1 — Interactive map</w:t>
            </w:r>
          </w:p>
        </w:tc>
        <w:tc>
          <w:tcPr>
            <w:tcW w:type="dxa" w:w="3135"/>
            <w:shd w:fill="FFFFFF" w:val="clear"/>
          </w:tcPr>
          <w:p>
            <w:r>
              <w:rPr>
                <w:b/>
                <w:color w:val="1A7A3C"/>
                <w:sz w:val="18"/>
              </w:rPr>
              <w:t>Complete</w:t>
            </w:r>
          </w:p>
        </w:tc>
        <w:tc>
          <w:tcPr>
            <w:tcW w:type="dxa" w:w="3135"/>
            <w:shd w:fill="FFFFFF" w:val="clear"/>
          </w:tcPr>
          <w:p>
            <w:r>
              <w:rPr>
                <w:color w:val="1A1A1A"/>
                <w:sz w:val="18"/>
              </w:rPr>
              <w:t>63,478 UK land parcels across 13 regions, colour-coded by site type, power score, or composite score. Cluster view at low zoom; individual parcels at high zoom. Satellite / OS basemap toggle.</w:t>
            </w:r>
          </w:p>
        </w:tc>
      </w:tr>
      <w:tr>
        <w:tc>
          <w:tcPr>
            <w:tcW w:type="dxa" w:w="3135"/>
            <w:shd w:fill="F5F7FA" w:val="clear"/>
          </w:tcPr>
          <w:p>
            <w:r>
              <w:rPr>
                <w:b/>
                <w:color w:val="1A3A5C"/>
                <w:sz w:val="18"/>
              </w:rPr>
              <w:t>F2 — Power &amp; grid scoring</w:t>
            </w:r>
          </w:p>
        </w:tc>
        <w:tc>
          <w:tcPr>
            <w:tcW w:type="dxa" w:w="3135"/>
            <w:shd w:fill="F5F7FA" w:val="clear"/>
          </w:tcPr>
          <w:p>
            <w:r>
              <w:rPr>
                <w:b/>
                <w:color w:val="1A7A3C"/>
                <w:sz w:val="18"/>
              </w:rPr>
              <w:t>Complete</w:t>
            </w:r>
          </w:p>
        </w:tc>
        <w:tc>
          <w:tcPr>
            <w:tcW w:type="dxa" w:w="3135"/>
            <w:shd w:fill="F5F7FA" w:val="clear"/>
          </w:tcPr>
          <w:p>
            <w:r>
              <w:rPr>
                <w:color w:val="1A1A1A"/>
                <w:sz w:val="18"/>
              </w:rPr>
              <w:t>134 substations, 6 DNOs (UKPN, NGED, NPG, SSEN, SPEN, ENW). Real TEC generation queue from NESO Register (2,229 projects, 137 GW). UKPN substations further enriched with LTDS Table 3a firm capacity (N-1 standard) and committed 2029/30 demand forecast — the only tool that shows real demand-side queue pressure, not just the generation register.</w:t>
            </w:r>
          </w:p>
        </w:tc>
      </w:tr>
      <w:tr>
        <w:tc>
          <w:tcPr>
            <w:tcW w:type="dxa" w:w="3135"/>
            <w:shd w:fill="FFFFFF" w:val="clear"/>
          </w:tcPr>
          <w:p>
            <w:r>
              <w:rPr>
                <w:b/>
                <w:color w:val="1A3A5C"/>
                <w:sz w:val="18"/>
              </w:rPr>
              <w:t>F3 — 4-factor composite scoring</w:t>
            </w:r>
          </w:p>
        </w:tc>
        <w:tc>
          <w:tcPr>
            <w:tcW w:type="dxa" w:w="3135"/>
            <w:shd w:fill="FFFFFF" w:val="clear"/>
          </w:tcPr>
          <w:p>
            <w:r>
              <w:rPr>
                <w:b/>
                <w:color w:val="1A7A3C"/>
                <w:sz w:val="18"/>
              </w:rPr>
              <w:t>Complete</w:t>
            </w:r>
          </w:p>
        </w:tc>
        <w:tc>
          <w:tcPr>
            <w:tcW w:type="dxa" w:w="3135"/>
            <w:shd w:fill="FFFFFF" w:val="clear"/>
          </w:tcPr>
          <w:p>
            <w:r>
              <w:rPr>
                <w:color w:val="1A1A1A"/>
                <w:sz w:val="18"/>
              </w:rPr>
              <w:t>Power (40%) + Permissioning (30%) + Fibre (20%) + Buildability (10%). Pre-computed at 20 MW, 50 MW, and 100 MW anchor points and linearly interpolated at runtime. Score updates instantly as user moves the size slider.</w:t>
            </w:r>
          </w:p>
        </w:tc>
      </w:tr>
      <w:tr>
        <w:tc>
          <w:tcPr>
            <w:tcW w:type="dxa" w:w="3135"/>
            <w:shd w:fill="F5F7FA" w:val="clear"/>
          </w:tcPr>
          <w:p>
            <w:r>
              <w:rPr>
                <w:b/>
                <w:color w:val="1A3A5C"/>
                <w:sz w:val="18"/>
              </w:rPr>
              <w:t>F4 — Filters &amp; search</w:t>
            </w:r>
          </w:p>
        </w:tc>
        <w:tc>
          <w:tcPr>
            <w:tcW w:type="dxa" w:w="3135"/>
            <w:shd w:fill="F5F7FA" w:val="clear"/>
          </w:tcPr>
          <w:p>
            <w:r>
              <w:rPr>
                <w:b/>
                <w:color w:val="1A7A3C"/>
                <w:sz w:val="18"/>
              </w:rPr>
              <w:t>Complete</w:t>
            </w:r>
          </w:p>
        </w:tc>
        <w:tc>
          <w:tcPr>
            <w:tcW w:type="dxa" w:w="3135"/>
            <w:shd w:fill="F5F7FA" w:val="clear"/>
          </w:tcPr>
          <w:p>
            <w:r>
              <w:rPr>
                <w:color w:val="1A1A1A"/>
                <w:sz w:val="18"/>
              </w:rPr>
              <w:t>Filter by: UK region, minimum site size (acres), minimum composite score, flood zone exclusion toggle, site type toggles (industrial / brownfield / transport / etc.), viewport-constrained area search. Results panel shows ranked shortlist with headline metrics.</w:t>
            </w:r>
          </w:p>
        </w:tc>
      </w:tr>
      <w:tr>
        <w:tc>
          <w:tcPr>
            <w:tcW w:type="dxa" w:w="3135"/>
            <w:shd w:fill="FFFFFF" w:val="clear"/>
          </w:tcPr>
          <w:p>
            <w:r>
              <w:rPr>
                <w:b/>
                <w:color w:val="1A3A5C"/>
                <w:sz w:val="18"/>
              </w:rPr>
              <w:t>F5 — Site detail panel</w:t>
            </w:r>
          </w:p>
        </w:tc>
        <w:tc>
          <w:tcPr>
            <w:tcW w:type="dxa" w:w="3135"/>
            <w:shd w:fill="FFFFFF" w:val="clear"/>
          </w:tcPr>
          <w:p>
            <w:r>
              <w:rPr>
                <w:b/>
                <w:color w:val="1A7A3C"/>
                <w:sz w:val="18"/>
              </w:rPr>
              <w:t>Complete</w:t>
            </w:r>
          </w:p>
        </w:tc>
        <w:tc>
          <w:tcPr>
            <w:tcW w:type="dxa" w:w="3135"/>
            <w:shd w:fill="FFFFFF" w:val="clear"/>
          </w:tcPr>
          <w:p>
            <w:r>
              <w:rPr>
                <w:color w:val="1A1A1A"/>
                <w:sz w:val="18"/>
              </w:rPr>
              <w:t>Click any parcel to open full breakdown: composite score and sub-scores, nearest substation with headroom / queue data, connection timeline estimate, permissioning bucket, flood zone status, site area, fibre proximity. All values traceable to source dataset.</w:t>
            </w:r>
          </w:p>
        </w:tc>
      </w:tr>
    </w:tbl>
    <w:p>
      <w:pPr>
        <w:spacing w:after="40"/>
      </w:pPr>
    </w:p>
    <w:p>
      <w:pPr>
        <w:pBdr>
          <w:bottom w:val="single" w:sz="6" w:space="1" w:color="2C5F8A"/>
        </w:pBdr>
        <w:spacing w:after="160"/>
      </w:pPr>
    </w:p>
    <w:p>
      <w:pPr>
        <w:pStyle w:val="Heading1"/>
        <w:spacing w:before="360" w:after="120"/>
      </w:pPr>
      <w:r>
        <w:rPr>
          <w:color w:val="1A3A5C"/>
          <w:sz w:val="36"/>
        </w:rPr>
        <w:t>What's Next — Backlog</w:t>
      </w:r>
    </w:p>
    <w:tbl>
      <w:tblPr>
        <w:tblStyle w:val="TableGrid"/>
        <w:tblW w:type="auto" w:w="0"/>
        <w:tblLook w:firstColumn="1" w:firstRow="1" w:lastColumn="0" w:lastRow="0" w:noHBand="0" w:noVBand="1" w:val="04A0"/>
      </w:tblPr>
      <w:tblGrid>
        <w:gridCol w:w="3135"/>
        <w:gridCol w:w="3135"/>
        <w:gridCol w:w="3135"/>
      </w:tblGrid>
      <w:tr>
        <w:tc>
          <w:tcPr>
            <w:tcW w:type="dxa" w:w="2835"/>
            <w:shd w:fill="1A3A5C" w:val="clear"/>
            <w:vAlign w:val="center"/>
          </w:tcPr>
          <w:p>
            <w:r>
              <w:rPr>
                <w:b/>
                <w:color w:val="FFFFFF"/>
                <w:sz w:val="18"/>
              </w:rPr>
              <w:t>Feature</w:t>
            </w:r>
          </w:p>
        </w:tc>
        <w:tc>
          <w:tcPr>
            <w:tcW w:type="dxa" w:w="1417"/>
            <w:shd w:fill="1A3A5C" w:val="clear"/>
            <w:vAlign w:val="center"/>
          </w:tcPr>
          <w:p>
            <w:r>
              <w:rPr>
                <w:b/>
                <w:color w:val="FFFFFF"/>
                <w:sz w:val="18"/>
              </w:rPr>
              <w:t>Priority</w:t>
            </w:r>
          </w:p>
        </w:tc>
        <w:tc>
          <w:tcPr>
            <w:tcW w:type="dxa" w:w="5953"/>
            <w:shd w:fill="1A3A5C" w:val="clear"/>
            <w:vAlign w:val="center"/>
          </w:tcPr>
          <w:p>
            <w:r>
              <w:rPr>
                <w:b/>
                <w:color w:val="FFFFFF"/>
                <w:sz w:val="18"/>
              </w:rPr>
              <w:t>Description</w:t>
            </w:r>
          </w:p>
        </w:tc>
      </w:tr>
      <w:tr>
        <w:tc>
          <w:tcPr>
            <w:tcW w:type="dxa" w:w="3135"/>
            <w:shd w:fill="FFFFFF" w:val="clear"/>
          </w:tcPr>
          <w:p>
            <w:r>
              <w:rPr>
                <w:b/>
                <w:color w:val="1A3A5C"/>
                <w:sz w:val="18"/>
              </w:rPr>
              <w:t>F6 — Export</w:t>
            </w:r>
          </w:p>
        </w:tc>
        <w:tc>
          <w:tcPr>
            <w:tcW w:type="dxa" w:w="3135"/>
            <w:shd w:fill="FFFFFF" w:val="clear"/>
          </w:tcPr>
          <w:p>
            <w:r>
              <w:rPr>
                <w:b/>
                <w:color w:val="D97300"/>
                <w:sz w:val="18"/>
              </w:rPr>
              <w:t>High</w:t>
            </w:r>
          </w:p>
        </w:tc>
        <w:tc>
          <w:tcPr>
            <w:tcW w:type="dxa" w:w="3135"/>
            <w:shd w:fill="FFFFFF" w:val="clear"/>
          </w:tcPr>
          <w:p>
            <w:r>
              <w:rPr>
                <w:color w:val="1A1A1A"/>
                <w:sz w:val="18"/>
              </w:rPr>
              <w:t>CSV export of any filtered parcel shortlist (all scored fields). Single-site PDF summary for investor decks — composite scorecard, substation data, flood zone map, fibre proximity, permissioning bucket, connection timeline estimate.</w:t>
            </w:r>
          </w:p>
        </w:tc>
      </w:tr>
      <w:tr>
        <w:tc>
          <w:tcPr>
            <w:tcW w:type="dxa" w:w="3135"/>
            <w:shd w:fill="F5F7FA" w:val="clear"/>
          </w:tcPr>
          <w:p>
            <w:r>
              <w:rPr>
                <w:b/>
                <w:color w:val="1A3A5C"/>
                <w:sz w:val="18"/>
              </w:rPr>
              <w:t>F7 — Landowner identification</w:t>
            </w:r>
          </w:p>
        </w:tc>
        <w:tc>
          <w:tcPr>
            <w:tcW w:type="dxa" w:w="3135"/>
            <w:shd w:fill="F5F7FA" w:val="clear"/>
          </w:tcPr>
          <w:p>
            <w:r>
              <w:rPr>
                <w:b/>
                <w:color w:val="D97300"/>
                <w:sz w:val="18"/>
              </w:rPr>
              <w:t>High</w:t>
            </w:r>
          </w:p>
        </w:tc>
        <w:tc>
          <w:tcPr>
            <w:tcW w:type="dxa" w:w="3135"/>
            <w:shd w:fill="F5F7FA" w:val="clear"/>
          </w:tcPr>
          <w:p>
            <w:r>
              <w:rPr>
                <w:color w:val="1A1A1A"/>
                <w:sz w:val="18"/>
              </w:rPr>
              <w:t>HMLR INSPIRE title number lookup. Companies House integration for corporate ownership resolution. Owner classification: individual / company / REIT / public sector / overseas entity. Direct outreach routing — finds the right contact rather than just the registered owner name. Cost: ~£3/query via HMLR API; queries run on-demand per site.</w:t>
            </w:r>
          </w:p>
        </w:tc>
      </w:tr>
      <w:tr>
        <w:tc>
          <w:tcPr>
            <w:tcW w:type="dxa" w:w="3135"/>
            <w:shd w:fill="FFFFFF" w:val="clear"/>
          </w:tcPr>
          <w:p>
            <w:r>
              <w:rPr>
                <w:b/>
                <w:color w:val="1A3A5C"/>
                <w:sz w:val="18"/>
              </w:rPr>
              <w:t>F8 — Land value estimation</w:t>
            </w:r>
          </w:p>
        </w:tc>
        <w:tc>
          <w:tcPr>
            <w:tcW w:type="dxa" w:w="3135"/>
            <w:shd w:fill="FFFFFF" w:val="clear"/>
          </w:tcPr>
          <w:p>
            <w:r>
              <w:rPr>
                <w:b/>
                <w:color w:val="D97300"/>
                <w:sz w:val="18"/>
              </w:rPr>
              <w:t>Medium</w:t>
            </w:r>
          </w:p>
        </w:tc>
        <w:tc>
          <w:tcPr>
            <w:tcW w:type="dxa" w:w="3135"/>
            <w:shd w:fill="FFFFFF" w:val="clear"/>
          </w:tcPr>
          <w:p>
            <w:r>
              <w:rPr>
                <w:color w:val="1A1A1A"/>
                <w:sz w:val="18"/>
              </w:rPr>
              <w:t>£/acre benchmarks by region × site type (industrial, brownfield, agricultural). VOA rateable values as capital value proxy for commercial/industrial parcels. Brownfield remediation cost range (£50k–£500k/acre depending on former use). Planning risk flag (Low / Medium / High) based on designation, local plan policy, and Green Belt status. Output: indicative land cost range and total site acquisition budget.</w:t>
            </w:r>
          </w:p>
        </w:tc>
      </w:tr>
    </w:tbl>
    <w:p/>
    <w:p>
      <w:r>
        <w:rPr>
          <w:i/>
          <w:color w:val="6B7A8D"/>
          <w:sz w:val="16"/>
        </w:rPr>
        <w:t>Data current as of 31 Mar 2026. Parcel data: OpenStreetMap. Grid data: NESO TEC Register + UKPN LTDS Table 3a. Flood data: Environment Agency. Fibre data: ITU BBmaps + PeeringDB. Planning: planning.data.gov.uk.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