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100"/>
        <w:jc w:val="center"/>
      </w:pPr>
      <w:r>
        <w:rPr>
          <w:rFonts w:ascii="Arial" w:cs="Arial" w:eastAsia="Arial" w:hAnsi="Arial"/>
          <w:b/>
          <w:bCs/>
          <w:color w:val="1A1A2E"/>
          <w:sz w:val="56"/>
          <w:szCs w:val="56"/>
        </w:rPr>
        <w:t xml:space="preserve">TAPT PAY</w:t>
      </w:r>
    </w:p>
    <w:p>
      <w:pPr>
        <w:spacing w:after="60"/>
        <w:jc w:val="center"/>
      </w:pPr>
      <w:r>
        <w:rPr>
          <w:rFonts w:ascii="Arial" w:cs="Arial" w:eastAsia="Arial" w:hAnsi="Arial"/>
          <w:color w:val="0F3460"/>
          <w:sz w:val="36"/>
          <w:szCs w:val="36"/>
        </w:rPr>
        <w:t xml:space="preserve">PROPERTY MANAGEMENT VERTICAL</w:t>
      </w:r>
    </w:p>
    <w:p>
      <w:pPr>
        <w:pBdr>
          <w:bottom w:val="single" w:color="E94560" w:sz="4" w:space="1"/>
        </w:pBdr>
        <w:spacing w:after="300"/>
        <w:jc w:val="center"/>
      </w:pPr>
      <w:r>
        <w:rPr>
          <w:rFonts w:ascii="Arial" w:cs="Arial" w:eastAsia="Arial" w:hAnsi="Arial"/>
          <w:color w:val="555555"/>
          <w:sz w:val="24"/>
          <w:szCs w:val="24"/>
        </w:rPr>
        <w:t xml:space="preserve">Project #12</w:t>
      </w:r>
    </w:p>
    <w:p>
      <w:pPr>
        <w:spacing w:after="60"/>
      </w:pPr>
    </w:p>
    <w:p>
      <w:pPr>
        <w:spacing w:after="60"/>
      </w:pPr>
    </w:p>
    <w:p>
      <w:pPr>
        <w:spacing w:after="80"/>
        <w:jc w:val="center"/>
      </w:pPr>
      <w:r>
        <w:rPr>
          <w:rFonts w:ascii="Arial" w:cs="Arial" w:eastAsia="Arial" w:hAnsi="Arial"/>
          <w:color w:val="1A1A2E"/>
          <w:sz w:val="28"/>
          <w:szCs w:val="28"/>
        </w:rPr>
        <w:t xml:space="preserve">End-to-End Product Specification</w:t>
      </w:r>
    </w:p>
    <w:p>
      <w:pPr>
        <w:spacing w:after="80"/>
        <w:jc w:val="center"/>
      </w:pPr>
      <w:r>
        <w:rPr>
          <w:rFonts w:ascii="Arial" w:cs="Arial" w:eastAsia="Arial" w:hAnsi="Arial"/>
          <w:color w:val="1A1A2E"/>
          <w:sz w:val="28"/>
          <w:szCs w:val="28"/>
        </w:rPr>
        <w:t xml:space="preserve">&amp; Architecture Blueprint</w:t>
      </w:r>
    </w:p>
    <w:p>
      <w:pPr>
        <w:spacing w:after="60"/>
      </w:pPr>
    </w:p>
    <w:p>
      <w:pPr>
        <w:spacing w:after="60"/>
      </w:pPr>
    </w:p>
    <w:p>
      <w:pPr>
        <w:spacing w:after="60"/>
      </w:pPr>
    </w:p>
    <w:p>
      <w:pPr>
        <w:spacing w:after="60"/>
      </w:pPr>
    </w:p>
    <w:p>
      <w:pPr>
        <w:spacing w:after="60"/>
      </w:pPr>
    </w:p>
    <w:p>
      <w:pPr>
        <w:spacing w:after="60"/>
      </w:pPr>
    </w:p>
    <w:p>
      <w:pPr>
        <w:spacing w:after="60"/>
        <w:jc w:val="center"/>
      </w:pPr>
      <w:r>
        <w:rPr>
          <w:rFonts w:ascii="Arial" w:cs="Arial" w:eastAsia="Arial" w:hAnsi="Arial"/>
          <w:color w:val="555555"/>
          <w:sz w:val="22"/>
          <w:szCs w:val="22"/>
        </w:rPr>
        <w:t xml:space="preserve">Consolidated Final Version</w:t>
      </w:r>
    </w:p>
    <w:p>
      <w:pPr>
        <w:spacing w:after="60"/>
        <w:jc w:val="center"/>
      </w:pPr>
      <w:r>
        <w:rPr>
          <w:rFonts w:ascii="Arial" w:cs="Arial" w:eastAsia="Arial" w:hAnsi="Arial"/>
          <w:color w:val="555555"/>
          <w:sz w:val="22"/>
          <w:szCs w:val="22"/>
        </w:rPr>
        <w:t xml:space="preserve">May 2026</w:t>
      </w:r>
    </w:p>
    <w:p>
      <w:pPr>
        <w:jc w:val="center"/>
      </w:pPr>
      <w:r>
        <w:rPr>
          <w:rFonts w:ascii="Arial" w:cs="Arial" w:eastAsia="Arial" w:hAnsi="Arial"/>
          <w:b/>
          <w:bCs/>
          <w:color w:val="E94560"/>
          <w:sz w:val="20"/>
          <w:szCs w:val="20"/>
        </w:rPr>
        <w:t xml:space="preserve">CONFIDENTIAL</w:t>
      </w:r>
    </w:p>
    <w:p>
      <w:pPr>
        <w:sectPr>
          <w:pgSz w:w="11906" w:h="16838" w:orient="portrait"/>
          <w:pgMar w:top="1440" w:right="1440" w:bottom="1440" w:left="1440" w:header="708" w:footer="708" w:gutter="0"/>
          <w:pgNumType/>
          <w:docGrid w:linePitch="360"/>
        </w:sectPr>
      </w:pPr>
    </w:p>
    <w:p>
      <w:pPr>
        <w:pStyle w:val="Heading1"/>
        <w:spacing w:after="200" w:before="400"/>
      </w:pPr>
      <w:r>
        <w:rPr>
          <w:rFonts w:ascii="Arial" w:cs="Arial" w:eastAsia="Arial" w:hAnsi="Arial"/>
          <w:b/>
          <w:bCs/>
          <w:color w:val="1A1A2E"/>
          <w:sz w:val="32"/>
          <w:szCs w:val="32"/>
        </w:rPr>
        <w:t xml:space="preserve">1. Production Relational Database Schema</w:t>
      </w:r>
    </w:p>
    <w:p>
      <w:pPr>
        <w:spacing w:after="120" w:line="276"/>
      </w:pPr>
      <w:r>
        <w:rPr>
          <w:rFonts w:ascii="Arial" w:cs="Arial" w:eastAsia="Arial" w:hAnsi="Arial"/>
          <w:color w:val="333333"/>
          <w:sz w:val="21"/>
          <w:szCs w:val="21"/>
        </w:rPr>
        <w:t xml:space="preserve">The backend architecture uses a normalized five-table structure supporting automated scheduling, transaction auditing, tenant lifecycle management, and safe archiving. This eliminates hardcoded strings, prevents data corruption during tenant turnover, and ensures an immutable trail of financial records.</w:t>
      </w:r>
    </w:p>
    <w:p>
      <w:pPr>
        <w:spacing w:after="60"/>
      </w:pPr>
    </w:p>
    <w:p>
      <w:pPr>
        <w:pStyle w:val="Heading2"/>
        <w:spacing w:after="150" w:before="300"/>
      </w:pPr>
      <w:r>
        <w:rPr>
          <w:rFonts w:ascii="Arial" w:cs="Arial" w:eastAsia="Arial" w:hAnsi="Arial"/>
          <w:b/>
          <w:bCs/>
          <w:color w:val="0F3460"/>
          <w:sz w:val="26"/>
          <w:szCs w:val="26"/>
        </w:rPr>
        <w:t xml:space="preserve">1.1 Tenant_Profiles</w:t>
      </w:r>
    </w:p>
    <w:p>
      <w:pPr>
        <w:spacing w:after="120" w:line="276"/>
      </w:pPr>
      <w:r>
        <w:rPr>
          <w:rFonts w:ascii="Arial" w:cs="Arial" w:eastAsia="Arial" w:hAnsi="Arial"/>
          <w:color w:val="333333"/>
          <w:sz w:val="21"/>
          <w:szCs w:val="21"/>
        </w:rPr>
        <w:t xml:space="preserve">Stores tenant identity and property details. Replaces the retail Stock/Product table. Separates identity from physical location to support tenant turnover cleanly.</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826"/>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482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bCs/>
                <w:color w:val="333333"/>
                <w:sz w:val="19"/>
                <w:szCs w:val="19"/>
              </w:rPr>
              <w:t xml:space="preserve">id</w:t>
            </w:r>
          </w:p>
        </w:tc>
        <w:tc>
          <w:tcPr>
            <w:tcW w:type="dxa" w:w="1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333333"/>
                <w:sz w:val="19"/>
                <w:szCs w:val="19"/>
              </w:rPr>
              <w:t xml:space="preserve">UUIDv4</w:t>
            </w:r>
          </w:p>
        </w:tc>
        <w:tc>
          <w:tcPr>
            <w:tcW w:type="dxa" w:w="4826"/>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333333"/>
                <w:sz w:val="19"/>
                <w:szCs w:val="19"/>
              </w:rPr>
              <w:t xml:space="preserve">Primary Key</w:t>
            </w:r>
          </w:p>
        </w:tc>
      </w:tr>
      <w:tr>
        <w:tc>
          <w:tcPr>
            <w:tcW w:type="dxa" w:w="2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bCs/>
                <w:color w:val="333333"/>
                <w:sz w:val="19"/>
                <w:szCs w:val="19"/>
              </w:rPr>
              <w:t xml:space="preserve">merchant_id</w:t>
            </w:r>
          </w:p>
        </w:tc>
        <w:tc>
          <w:tcPr>
            <w:tcW w:type="dxa" w:w="1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333333"/>
                <w:sz w:val="19"/>
                <w:szCs w:val="19"/>
              </w:rPr>
              <w:t xml:space="preserve">UUIDv4, FK</w:t>
            </w:r>
          </w:p>
        </w:tc>
        <w:tc>
          <w:tcPr>
            <w:tcW w:type="dxa" w:w="4826"/>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r>
              <w:rPr>
                <w:rFonts w:ascii="Arial" w:cs="Arial" w:eastAsia="Arial" w:hAnsi="Arial"/>
                <w:color w:val="333333"/>
                <w:sz w:val="19"/>
                <w:szCs w:val="19"/>
              </w:rPr>
              <w:t xml:space="preserve">Links to landlord/agency account</w:t>
            </w:r>
          </w:p>
        </w:tc>
      </w:tr>
      <w:tr>
        <w:tc>
          <w:tcPr>
            <w:tcW w:type="dxa" w:w="2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bCs/>
                <w:color w:val="333333"/>
                <w:sz w:val="19"/>
                <w:szCs w:val="19"/>
              </w:rPr>
              <w:t xml:space="preserve">primary_first_name</w:t>
            </w:r>
          </w:p>
        </w:tc>
        <w:tc>
          <w:tcPr>
            <w:tcW w:type="dxa" w:w="1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333333"/>
                <w:sz w:val="19"/>
                <w:szCs w:val="19"/>
              </w:rPr>
              <w:t xml:space="preserve">VARCHAR</w:t>
            </w:r>
          </w:p>
        </w:tc>
        <w:tc>
          <w:tcPr>
            <w:tcW w:type="dxa" w:w="4826"/>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333333"/>
                <w:sz w:val="19"/>
                <w:szCs w:val="19"/>
              </w:rPr>
              <w:t xml:space="preserve">Tenant first name</w:t>
            </w:r>
          </w:p>
        </w:tc>
      </w:tr>
      <w:tr>
        <w:tc>
          <w:tcPr>
            <w:tcW w:type="dxa" w:w="2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bCs/>
                <w:color w:val="333333"/>
                <w:sz w:val="19"/>
                <w:szCs w:val="19"/>
              </w:rPr>
              <w:t xml:space="preserve">primary_last_name</w:t>
            </w:r>
          </w:p>
        </w:tc>
        <w:tc>
          <w:tcPr>
            <w:tcW w:type="dxa" w:w="1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333333"/>
                <w:sz w:val="19"/>
                <w:szCs w:val="19"/>
              </w:rPr>
              <w:t xml:space="preserve">VARCHAR</w:t>
            </w:r>
          </w:p>
        </w:tc>
        <w:tc>
          <w:tcPr>
            <w:tcW w:type="dxa" w:w="4826"/>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r>
              <w:rPr>
                <w:rFonts w:ascii="Arial" w:cs="Arial" w:eastAsia="Arial" w:hAnsi="Arial"/>
                <w:color w:val="333333"/>
                <w:sz w:val="19"/>
                <w:szCs w:val="19"/>
              </w:rPr>
              <w:t xml:space="preserve">Tenant last name</w:t>
            </w:r>
          </w:p>
        </w:tc>
      </w:tr>
      <w:tr>
        <w:tc>
          <w:tcPr>
            <w:tcW w:type="dxa" w:w="2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bCs/>
                <w:color w:val="333333"/>
                <w:sz w:val="19"/>
                <w:szCs w:val="19"/>
              </w:rPr>
              <w:t xml:space="preserve">email_address</w:t>
            </w:r>
          </w:p>
        </w:tc>
        <w:tc>
          <w:tcPr>
            <w:tcW w:type="dxa" w:w="1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333333"/>
                <w:sz w:val="19"/>
                <w:szCs w:val="19"/>
              </w:rPr>
              <w:t xml:space="preserve">VARCHAR</w:t>
            </w:r>
          </w:p>
        </w:tc>
        <w:tc>
          <w:tcPr>
            <w:tcW w:type="dxa" w:w="4826"/>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333333"/>
                <w:sz w:val="19"/>
                <w:szCs w:val="19"/>
              </w:rPr>
              <w:t xml:space="preserve">Primary contact email</w:t>
            </w:r>
          </w:p>
        </w:tc>
      </w:tr>
      <w:tr>
        <w:tc>
          <w:tcPr>
            <w:tcW w:type="dxa" w:w="2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bCs/>
                <w:color w:val="333333"/>
                <w:sz w:val="19"/>
                <w:szCs w:val="19"/>
              </w:rPr>
              <w:t xml:space="preserve">phone_number</w:t>
            </w:r>
          </w:p>
        </w:tc>
        <w:tc>
          <w:tcPr>
            <w:tcW w:type="dxa" w:w="1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333333"/>
                <w:sz w:val="19"/>
                <w:szCs w:val="19"/>
              </w:rPr>
              <w:t xml:space="preserve">VARCHAR</w:t>
            </w:r>
          </w:p>
        </w:tc>
        <w:tc>
          <w:tcPr>
            <w:tcW w:type="dxa" w:w="4826"/>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r>
              <w:rPr>
                <w:rFonts w:ascii="Arial" w:cs="Arial" w:eastAsia="Arial" w:hAnsi="Arial"/>
                <w:color w:val="333333"/>
                <w:sz w:val="19"/>
                <w:szCs w:val="19"/>
              </w:rPr>
              <w:t xml:space="preserve">Primary contact phone</w:t>
            </w:r>
          </w:p>
        </w:tc>
      </w:tr>
      <w:tr>
        <w:tc>
          <w:tcPr>
            <w:tcW w:type="dxa" w:w="2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bCs/>
                <w:color w:val="333333"/>
                <w:sz w:val="19"/>
                <w:szCs w:val="19"/>
              </w:rPr>
              <w:t xml:space="preserve">co_tenants_text</w:t>
            </w:r>
          </w:p>
        </w:tc>
        <w:tc>
          <w:tcPr>
            <w:tcW w:type="dxa" w:w="1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333333"/>
                <w:sz w:val="19"/>
                <w:szCs w:val="19"/>
              </w:rPr>
              <w:t xml:space="preserve">TEXT</w:t>
            </w:r>
          </w:p>
        </w:tc>
        <w:tc>
          <w:tcPr>
            <w:tcW w:type="dxa" w:w="4826"/>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333333"/>
                <w:sz w:val="19"/>
                <w:szCs w:val="19"/>
              </w:rPr>
              <w:t xml:space="preserve">Additional names for receipt rendering (tech debt: normalize later)</w:t>
            </w:r>
          </w:p>
        </w:tc>
      </w:tr>
      <w:tr>
        <w:tc>
          <w:tcPr>
            <w:tcW w:type="dxa" w:w="2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bCs/>
                <w:color w:val="333333"/>
                <w:sz w:val="19"/>
                <w:szCs w:val="19"/>
              </w:rPr>
              <w:t xml:space="preserve">property_address_string</w:t>
            </w:r>
          </w:p>
        </w:tc>
        <w:tc>
          <w:tcPr>
            <w:tcW w:type="dxa" w:w="1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333333"/>
                <w:sz w:val="19"/>
                <w:szCs w:val="19"/>
              </w:rPr>
              <w:t xml:space="preserve">VARCHAR</w:t>
            </w:r>
          </w:p>
        </w:tc>
        <w:tc>
          <w:tcPr>
            <w:tcW w:type="dxa" w:w="4826"/>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r>
              <w:rPr>
                <w:rFonts w:ascii="Arial" w:cs="Arial" w:eastAsia="Arial" w:hAnsi="Arial"/>
                <w:color w:val="333333"/>
                <w:sz w:val="19"/>
                <w:szCs w:val="19"/>
              </w:rPr>
              <w:t xml:space="preserve">Physical billing address</w:t>
            </w:r>
          </w:p>
        </w:tc>
      </w:tr>
      <w:tr>
        <w:tc>
          <w:tcPr>
            <w:tcW w:type="dxa" w:w="2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bCs/>
                <w:color w:val="333333"/>
                <w:sz w:val="19"/>
                <w:szCs w:val="19"/>
              </w:rPr>
              <w:t xml:space="preserve">external_ref_id</w:t>
            </w:r>
          </w:p>
        </w:tc>
        <w:tc>
          <w:tcPr>
            <w:tcW w:type="dxa" w:w="1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333333"/>
                <w:sz w:val="19"/>
                <w:szCs w:val="19"/>
              </w:rPr>
              <w:t xml:space="preserve">VARCHAR, Nullable</w:t>
            </w:r>
          </w:p>
        </w:tc>
        <w:tc>
          <w:tcPr>
            <w:tcW w:type="dxa" w:w="4826"/>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333333"/>
                <w:sz w:val="19"/>
                <w:szCs w:val="19"/>
              </w:rPr>
              <w:t xml:space="preserve">Maps to external property management software</w:t>
            </w:r>
          </w:p>
        </w:tc>
      </w:tr>
      <w:tr>
        <w:tc>
          <w:tcPr>
            <w:tcW w:type="dxa" w:w="2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bCs/>
                <w:color w:val="333333"/>
                <w:sz w:val="19"/>
                <w:szCs w:val="19"/>
              </w:rPr>
              <w:t xml:space="preserve">status</w:t>
            </w:r>
          </w:p>
        </w:tc>
        <w:tc>
          <w:tcPr>
            <w:tcW w:type="dxa" w:w="1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333333"/>
                <w:sz w:val="19"/>
                <w:szCs w:val="19"/>
              </w:rPr>
              <w:t xml:space="preserve">ENUM</w:t>
            </w:r>
          </w:p>
        </w:tc>
        <w:tc>
          <w:tcPr>
            <w:tcW w:type="dxa" w:w="4826"/>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r>
              <w:rPr>
                <w:rFonts w:ascii="Arial" w:cs="Arial" w:eastAsia="Arial" w:hAnsi="Arial"/>
                <w:color w:val="333333"/>
                <w:sz w:val="19"/>
                <w:szCs w:val="19"/>
              </w:rPr>
              <w:t xml:space="preserve">Active, Archived</w:t>
            </w:r>
          </w:p>
        </w:tc>
      </w:tr>
      <w:tr>
        <w:tc>
          <w:tcPr>
            <w:tcW w:type="dxa" w:w="2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bCs/>
                <w:color w:val="333333"/>
                <w:sz w:val="19"/>
                <w:szCs w:val="19"/>
              </w:rPr>
              <w:t xml:space="preserve">created_at / updated_at</w:t>
            </w:r>
          </w:p>
        </w:tc>
        <w:tc>
          <w:tcPr>
            <w:tcW w:type="dxa" w:w="1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333333"/>
                <w:sz w:val="19"/>
                <w:szCs w:val="19"/>
              </w:rPr>
              <w:t xml:space="preserve">TIMESTAMP</w:t>
            </w:r>
          </w:p>
        </w:tc>
        <w:tc>
          <w:tcPr>
            <w:tcW w:type="dxa" w:w="4826"/>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333333"/>
                <w:sz w:val="19"/>
                <w:szCs w:val="19"/>
              </w:rPr>
              <w:t xml:space="preserve">Record timestamps</w:t>
            </w:r>
          </w:p>
        </w:tc>
      </w:tr>
    </w:tbl>
    <w:p>
      <w:pPr>
        <w:spacing w:after="60"/>
      </w:pPr>
    </w:p>
    <w:p>
      <w:pPr>
        <w:pStyle w:val="Heading2"/>
        <w:spacing w:after="150" w:before="300"/>
      </w:pPr>
      <w:r>
        <w:rPr>
          <w:rFonts w:ascii="Arial" w:cs="Arial" w:eastAsia="Arial" w:hAnsi="Arial"/>
          <w:b/>
          <w:bCs/>
          <w:color w:val="0F3460"/>
          <w:sz w:val="26"/>
          <w:szCs w:val="26"/>
        </w:rPr>
        <w:t xml:space="preserve">1.2 Active_Schedules</w:t>
      </w:r>
    </w:p>
    <w:p>
      <w:pPr>
        <w:spacing w:after="120" w:line="276"/>
      </w:pPr>
      <w:r>
        <w:rPr>
          <w:rFonts w:ascii="Arial" w:cs="Arial" w:eastAsia="Arial" w:hAnsi="Arial"/>
          <w:color w:val="333333"/>
          <w:sz w:val="21"/>
          <w:szCs w:val="21"/>
        </w:rPr>
        <w:t xml:space="preserve">The core automation engine. Contains recurring billing instructions that the cron system evaluates to generate invoices automatically.</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826"/>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482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bCs/>
                <w:color w:val="333333"/>
                <w:sz w:val="19"/>
                <w:szCs w:val="19"/>
              </w:rPr>
              <w:t xml:space="preserve">id</w:t>
            </w:r>
          </w:p>
        </w:tc>
        <w:tc>
          <w:tcPr>
            <w:tcW w:type="dxa" w:w="1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333333"/>
                <w:sz w:val="19"/>
                <w:szCs w:val="19"/>
              </w:rPr>
              <w:t xml:space="preserve">UUIDv4</w:t>
            </w:r>
          </w:p>
        </w:tc>
        <w:tc>
          <w:tcPr>
            <w:tcW w:type="dxa" w:w="4826"/>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333333"/>
                <w:sz w:val="19"/>
                <w:szCs w:val="19"/>
              </w:rPr>
              <w:t xml:space="preserve">Primary Key</w:t>
            </w:r>
          </w:p>
        </w:tc>
      </w:tr>
      <w:tr>
        <w:tc>
          <w:tcPr>
            <w:tcW w:type="dxa" w:w="2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bCs/>
                <w:color w:val="333333"/>
                <w:sz w:val="19"/>
                <w:szCs w:val="19"/>
              </w:rPr>
              <w:t xml:space="preserve">tenant_profile_id</w:t>
            </w:r>
          </w:p>
        </w:tc>
        <w:tc>
          <w:tcPr>
            <w:tcW w:type="dxa" w:w="1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333333"/>
                <w:sz w:val="19"/>
                <w:szCs w:val="19"/>
              </w:rPr>
              <w:t xml:space="preserve">UUIDv4, FK</w:t>
            </w:r>
          </w:p>
        </w:tc>
        <w:tc>
          <w:tcPr>
            <w:tcW w:type="dxa" w:w="4826"/>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r>
              <w:rPr>
                <w:rFonts w:ascii="Arial" w:cs="Arial" w:eastAsia="Arial" w:hAnsi="Arial"/>
                <w:color w:val="333333"/>
                <w:sz w:val="19"/>
                <w:szCs w:val="19"/>
              </w:rPr>
              <w:t xml:space="preserve">Links to unique tenant profile</w:t>
            </w:r>
          </w:p>
        </w:tc>
      </w:tr>
      <w:tr>
        <w:tc>
          <w:tcPr>
            <w:tcW w:type="dxa" w:w="2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bCs/>
                <w:color w:val="333333"/>
                <w:sz w:val="19"/>
                <w:szCs w:val="19"/>
              </w:rPr>
              <w:t xml:space="preserve">amount_cents</w:t>
            </w:r>
          </w:p>
        </w:tc>
        <w:tc>
          <w:tcPr>
            <w:tcW w:type="dxa" w:w="1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333333"/>
                <w:sz w:val="19"/>
                <w:szCs w:val="19"/>
              </w:rPr>
              <w:t xml:space="preserve">INT</w:t>
            </w:r>
          </w:p>
        </w:tc>
        <w:tc>
          <w:tcPr>
            <w:tcW w:type="dxa" w:w="4826"/>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333333"/>
                <w:sz w:val="19"/>
                <w:szCs w:val="19"/>
              </w:rPr>
              <w:t xml:space="preserve">Stored in lowest currency denomination to avoid floating-point errors</w:t>
            </w:r>
          </w:p>
        </w:tc>
      </w:tr>
      <w:tr>
        <w:tc>
          <w:tcPr>
            <w:tcW w:type="dxa" w:w="2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bCs/>
                <w:color w:val="333333"/>
                <w:sz w:val="19"/>
                <w:szCs w:val="19"/>
              </w:rPr>
              <w:t xml:space="preserve">frequency</w:t>
            </w:r>
          </w:p>
        </w:tc>
        <w:tc>
          <w:tcPr>
            <w:tcW w:type="dxa" w:w="1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333333"/>
                <w:sz w:val="19"/>
                <w:szCs w:val="19"/>
              </w:rPr>
              <w:t xml:space="preserve">ENUM</w:t>
            </w:r>
          </w:p>
        </w:tc>
        <w:tc>
          <w:tcPr>
            <w:tcW w:type="dxa" w:w="4826"/>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r>
              <w:rPr>
                <w:rFonts w:ascii="Arial" w:cs="Arial" w:eastAsia="Arial" w:hAnsi="Arial"/>
                <w:color w:val="333333"/>
                <w:sz w:val="19"/>
                <w:szCs w:val="19"/>
              </w:rPr>
              <w:t xml:space="preserve">Weekly, Fortnightly (exactly 14 calendar days), Monthly</w:t>
            </w:r>
          </w:p>
        </w:tc>
      </w:tr>
      <w:tr>
        <w:tc>
          <w:tcPr>
            <w:tcW w:type="dxa" w:w="2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bCs/>
                <w:color w:val="333333"/>
                <w:sz w:val="19"/>
                <w:szCs w:val="19"/>
              </w:rPr>
              <w:t xml:space="preserve">delivery_channel</w:t>
            </w:r>
          </w:p>
        </w:tc>
        <w:tc>
          <w:tcPr>
            <w:tcW w:type="dxa" w:w="1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333333"/>
                <w:sz w:val="19"/>
                <w:szCs w:val="19"/>
              </w:rPr>
              <w:t xml:space="preserve">ENUM</w:t>
            </w:r>
          </w:p>
        </w:tc>
        <w:tc>
          <w:tcPr>
            <w:tcW w:type="dxa" w:w="4826"/>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333333"/>
                <w:sz w:val="19"/>
                <w:szCs w:val="19"/>
              </w:rPr>
              <w:t xml:space="preserve">SMS, Email</w:t>
            </w:r>
          </w:p>
        </w:tc>
      </w:tr>
      <w:tr>
        <w:tc>
          <w:tcPr>
            <w:tcW w:type="dxa" w:w="2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bCs/>
                <w:color w:val="333333"/>
                <w:sz w:val="19"/>
                <w:szCs w:val="19"/>
              </w:rPr>
              <w:t xml:space="preserve">currency_code</w:t>
            </w:r>
          </w:p>
        </w:tc>
        <w:tc>
          <w:tcPr>
            <w:tcW w:type="dxa" w:w="1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333333"/>
                <w:sz w:val="19"/>
                <w:szCs w:val="19"/>
              </w:rPr>
              <w:t xml:space="preserve">VARCHAR(3)</w:t>
            </w:r>
          </w:p>
        </w:tc>
        <w:tc>
          <w:tcPr>
            <w:tcW w:type="dxa" w:w="4826"/>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r>
              <w:rPr>
                <w:rFonts w:ascii="Arial" w:cs="Arial" w:eastAsia="Arial" w:hAnsi="Arial"/>
                <w:color w:val="333333"/>
                <w:sz w:val="19"/>
                <w:szCs w:val="19"/>
              </w:rPr>
              <w:t xml:space="preserve">Default: NZD. Future-proofing for cross-border expansion.</w:t>
            </w:r>
          </w:p>
        </w:tc>
      </w:tr>
      <w:tr>
        <w:tc>
          <w:tcPr>
            <w:tcW w:type="dxa" w:w="2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bCs/>
                <w:color w:val="333333"/>
                <w:sz w:val="19"/>
                <w:szCs w:val="19"/>
              </w:rPr>
              <w:t xml:space="preserve">start_date</w:t>
            </w:r>
          </w:p>
        </w:tc>
        <w:tc>
          <w:tcPr>
            <w:tcW w:type="dxa" w:w="1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333333"/>
                <w:sz w:val="19"/>
                <w:szCs w:val="19"/>
              </w:rPr>
              <w:t xml:space="preserve">DATE</w:t>
            </w:r>
          </w:p>
        </w:tc>
        <w:tc>
          <w:tcPr>
            <w:tcW w:type="dxa" w:w="4826"/>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333333"/>
                <w:sz w:val="19"/>
                <w:szCs w:val="19"/>
              </w:rPr>
              <w:t xml:space="preserve">Schedule start date</w:t>
            </w:r>
          </w:p>
        </w:tc>
      </w:tr>
      <w:tr>
        <w:tc>
          <w:tcPr>
            <w:tcW w:type="dxa" w:w="2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bCs/>
                <w:color w:val="333333"/>
                <w:sz w:val="19"/>
                <w:szCs w:val="19"/>
              </w:rPr>
              <w:t xml:space="preserve">end_date</w:t>
            </w:r>
          </w:p>
        </w:tc>
        <w:tc>
          <w:tcPr>
            <w:tcW w:type="dxa" w:w="1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333333"/>
                <w:sz w:val="19"/>
                <w:szCs w:val="19"/>
              </w:rPr>
              <w:t xml:space="preserve">DATE, Nullable</w:t>
            </w:r>
          </w:p>
        </w:tc>
        <w:tc>
          <w:tcPr>
            <w:tcW w:type="dxa" w:w="4826"/>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r>
              <w:rPr>
                <w:rFonts w:ascii="Arial" w:cs="Arial" w:eastAsia="Arial" w:hAnsi="Arial"/>
                <w:color w:val="333333"/>
                <w:sz w:val="19"/>
                <w:szCs w:val="19"/>
              </w:rPr>
              <w:t xml:space="preserve">Nullable for open-ended agreements</w:t>
            </w:r>
          </w:p>
        </w:tc>
      </w:tr>
      <w:tr>
        <w:tc>
          <w:tcPr>
            <w:tcW w:type="dxa" w:w="2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bCs/>
                <w:color w:val="333333"/>
                <w:sz w:val="19"/>
                <w:szCs w:val="19"/>
              </w:rPr>
              <w:t xml:space="preserve">last_generated_at</w:t>
            </w:r>
          </w:p>
        </w:tc>
        <w:tc>
          <w:tcPr>
            <w:tcW w:type="dxa" w:w="1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333333"/>
                <w:sz w:val="19"/>
                <w:szCs w:val="19"/>
              </w:rPr>
              <w:t xml:space="preserve">TIMESTAMP, Nullable</w:t>
            </w:r>
          </w:p>
        </w:tc>
        <w:tc>
          <w:tcPr>
            <w:tcW w:type="dxa" w:w="4826"/>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333333"/>
                <w:sz w:val="19"/>
                <w:szCs w:val="19"/>
              </w:rPr>
              <w:t xml:space="preserve">Tracks last successful cron execution</w:t>
            </w:r>
          </w:p>
        </w:tc>
      </w:tr>
      <w:tr>
        <w:tc>
          <w:tcPr>
            <w:tcW w:type="dxa" w:w="2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bCs/>
                <w:color w:val="333333"/>
                <w:sz w:val="19"/>
                <w:szCs w:val="19"/>
              </w:rPr>
              <w:t xml:space="preserve">next_run_date</w:t>
            </w:r>
          </w:p>
        </w:tc>
        <w:tc>
          <w:tcPr>
            <w:tcW w:type="dxa" w:w="1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333333"/>
                <w:sz w:val="19"/>
                <w:szCs w:val="19"/>
              </w:rPr>
              <w:t xml:space="preserve">DATE, Indexed</w:t>
            </w:r>
          </w:p>
        </w:tc>
        <w:tc>
          <w:tcPr>
            <w:tcW w:type="dxa" w:w="4826"/>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r>
              <w:rPr>
                <w:rFonts w:ascii="Arial" w:cs="Arial" w:eastAsia="Arial" w:hAnsi="Arial"/>
                <w:color w:val="333333"/>
                <w:sz w:val="19"/>
                <w:szCs w:val="19"/>
              </w:rPr>
              <w:t xml:space="preserve">Optimized cron query field. Eliminates deep table joins.</w:t>
            </w:r>
          </w:p>
        </w:tc>
      </w:tr>
      <w:tr>
        <w:tc>
          <w:tcPr>
            <w:tcW w:type="dxa" w:w="2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bCs/>
                <w:color w:val="333333"/>
                <w:sz w:val="19"/>
                <w:szCs w:val="19"/>
              </w:rPr>
              <w:t xml:space="preserve">pause_next_cycle</w:t>
            </w:r>
          </w:p>
        </w:tc>
        <w:tc>
          <w:tcPr>
            <w:tcW w:type="dxa" w:w="1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333333"/>
                <w:sz w:val="19"/>
                <w:szCs w:val="19"/>
              </w:rPr>
              <w:t xml:space="preserve">BOOLEAN</w:t>
            </w:r>
          </w:p>
        </w:tc>
        <w:tc>
          <w:tcPr>
            <w:tcW w:type="dxa" w:w="4826"/>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333333"/>
                <w:sz w:val="19"/>
                <w:szCs w:val="19"/>
              </w:rPr>
              <w:t xml:space="preserve">Default: false. Halts upcoming cycle without killing the schedule.</w:t>
            </w:r>
          </w:p>
        </w:tc>
      </w:tr>
      <w:tr>
        <w:tc>
          <w:tcPr>
            <w:tcW w:type="dxa" w:w="2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bCs/>
                <w:color w:val="333333"/>
                <w:sz w:val="19"/>
                <w:szCs w:val="19"/>
              </w:rPr>
              <w:t xml:space="preserve">status</w:t>
            </w:r>
          </w:p>
        </w:tc>
        <w:tc>
          <w:tcPr>
            <w:tcW w:type="dxa" w:w="1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333333"/>
                <w:sz w:val="19"/>
                <w:szCs w:val="19"/>
              </w:rPr>
              <w:t xml:space="preserve">ENUM</w:t>
            </w:r>
          </w:p>
        </w:tc>
        <w:tc>
          <w:tcPr>
            <w:tcW w:type="dxa" w:w="4826"/>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r>
              <w:rPr>
                <w:rFonts w:ascii="Arial" w:cs="Arial" w:eastAsia="Arial" w:hAnsi="Arial"/>
                <w:color w:val="333333"/>
                <w:sz w:val="19"/>
                <w:szCs w:val="19"/>
              </w:rPr>
              <w:t xml:space="preserve">Active, Paused, Terminated</w:t>
            </w:r>
          </w:p>
        </w:tc>
      </w:tr>
    </w:tbl>
    <w:p>
      <w:pPr>
        <w:spacing w:after="60"/>
      </w:pPr>
    </w:p>
    <w:p>
      <w:pPr>
        <w:pStyle w:val="Heading2"/>
        <w:spacing w:after="150" w:before="300"/>
      </w:pPr>
      <w:r>
        <w:rPr>
          <w:rFonts w:ascii="Arial" w:cs="Arial" w:eastAsia="Arial" w:hAnsi="Arial"/>
          <w:b/>
          <w:bCs/>
          <w:color w:val="0F3460"/>
          <w:sz w:val="26"/>
          <w:szCs w:val="26"/>
        </w:rPr>
        <w:t xml:space="preserve">1.3 Invoices_Rent_Requests</w:t>
      </w:r>
    </w:p>
    <w:p>
      <w:pPr>
        <w:spacing w:after="120" w:line="276"/>
      </w:pPr>
      <w:r>
        <w:rPr>
          <w:rFonts w:ascii="Arial" w:cs="Arial" w:eastAsia="Arial" w:hAnsi="Arial"/>
          <w:color w:val="333333"/>
          <w:sz w:val="21"/>
          <w:szCs w:val="21"/>
        </w:rPr>
        <w:t xml:space="preserve">Tracks every individual payment instance generated by automation or manual terminal sends. Drives the active stack and timeline logs.</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826"/>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482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bCs/>
                <w:color w:val="333333"/>
                <w:sz w:val="19"/>
                <w:szCs w:val="19"/>
              </w:rPr>
              <w:t xml:space="preserve">id</w:t>
            </w:r>
          </w:p>
        </w:tc>
        <w:tc>
          <w:tcPr>
            <w:tcW w:type="dxa" w:w="1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333333"/>
                <w:sz w:val="19"/>
                <w:szCs w:val="19"/>
              </w:rPr>
              <w:t xml:space="preserve">UUIDv4</w:t>
            </w:r>
          </w:p>
        </w:tc>
        <w:tc>
          <w:tcPr>
            <w:tcW w:type="dxa" w:w="4826"/>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333333"/>
                <w:sz w:val="19"/>
                <w:szCs w:val="19"/>
              </w:rPr>
              <w:t xml:space="preserve">Primary Key</w:t>
            </w:r>
          </w:p>
        </w:tc>
      </w:tr>
      <w:tr>
        <w:tc>
          <w:tcPr>
            <w:tcW w:type="dxa" w:w="2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bCs/>
                <w:color w:val="333333"/>
                <w:sz w:val="19"/>
                <w:szCs w:val="19"/>
              </w:rPr>
              <w:t xml:space="preserve">tenant_profile_id</w:t>
            </w:r>
          </w:p>
        </w:tc>
        <w:tc>
          <w:tcPr>
            <w:tcW w:type="dxa" w:w="1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333333"/>
                <w:sz w:val="19"/>
                <w:szCs w:val="19"/>
              </w:rPr>
              <w:t xml:space="preserve">UUIDv4, FK</w:t>
            </w:r>
          </w:p>
        </w:tc>
        <w:tc>
          <w:tcPr>
            <w:tcW w:type="dxa" w:w="4826"/>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r>
              <w:rPr>
                <w:rFonts w:ascii="Arial" w:cs="Arial" w:eastAsia="Arial" w:hAnsi="Arial"/>
                <w:color w:val="333333"/>
                <w:sz w:val="19"/>
                <w:szCs w:val="19"/>
              </w:rPr>
              <w:t xml:space="preserve">Links to tenant</w:t>
            </w:r>
          </w:p>
        </w:tc>
      </w:tr>
      <w:tr>
        <w:tc>
          <w:tcPr>
            <w:tcW w:type="dxa" w:w="2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bCs/>
                <w:color w:val="333333"/>
                <w:sz w:val="19"/>
                <w:szCs w:val="19"/>
              </w:rPr>
              <w:t xml:space="preserve">schedule_id</w:t>
            </w:r>
          </w:p>
        </w:tc>
        <w:tc>
          <w:tcPr>
            <w:tcW w:type="dxa" w:w="1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333333"/>
                <w:sz w:val="19"/>
                <w:szCs w:val="19"/>
              </w:rPr>
              <w:t xml:space="preserve">UUIDv4, FK, Nullable</w:t>
            </w:r>
          </w:p>
        </w:tc>
        <w:tc>
          <w:tcPr>
            <w:tcW w:type="dxa" w:w="4826"/>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333333"/>
                <w:sz w:val="19"/>
                <w:szCs w:val="19"/>
              </w:rPr>
              <w:t xml:space="preserve">Nullable for manual terminal sends</w:t>
            </w:r>
          </w:p>
        </w:tc>
      </w:tr>
      <w:tr>
        <w:tc>
          <w:tcPr>
            <w:tcW w:type="dxa" w:w="2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bCs/>
                <w:color w:val="333333"/>
                <w:sz w:val="19"/>
                <w:szCs w:val="19"/>
              </w:rPr>
              <w:t xml:space="preserve">billing_period_start</w:t>
            </w:r>
          </w:p>
        </w:tc>
        <w:tc>
          <w:tcPr>
            <w:tcW w:type="dxa" w:w="1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333333"/>
                <w:sz w:val="19"/>
                <w:szCs w:val="19"/>
              </w:rPr>
              <w:t xml:space="preserve">DATE, Nullable</w:t>
            </w:r>
          </w:p>
        </w:tc>
        <w:tc>
          <w:tcPr>
            <w:tcW w:type="dxa" w:w="4826"/>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r>
              <w:rPr>
                <w:rFonts w:ascii="Arial" w:cs="Arial" w:eastAsia="Arial" w:hAnsi="Arial"/>
                <w:color w:val="333333"/>
                <w:sz w:val="19"/>
                <w:szCs w:val="19"/>
              </w:rPr>
              <w:t xml:space="preserve">Required for automation idempotency checks</w:t>
            </w:r>
          </w:p>
        </w:tc>
      </w:tr>
      <w:tr>
        <w:tc>
          <w:tcPr>
            <w:tcW w:type="dxa" w:w="2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bCs/>
                <w:color w:val="333333"/>
                <w:sz w:val="19"/>
                <w:szCs w:val="19"/>
              </w:rPr>
              <w:t xml:space="preserve">amount_cents</w:t>
            </w:r>
          </w:p>
        </w:tc>
        <w:tc>
          <w:tcPr>
            <w:tcW w:type="dxa" w:w="1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333333"/>
                <w:sz w:val="19"/>
                <w:szCs w:val="19"/>
              </w:rPr>
              <w:t xml:space="preserve">INT</w:t>
            </w:r>
          </w:p>
        </w:tc>
        <w:tc>
          <w:tcPr>
            <w:tcW w:type="dxa" w:w="4826"/>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333333"/>
                <w:sz w:val="19"/>
                <w:szCs w:val="19"/>
              </w:rPr>
              <w:t xml:space="preserve">Invoice amount in lowest currency denomination</w:t>
            </w:r>
          </w:p>
        </w:tc>
      </w:tr>
      <w:tr>
        <w:tc>
          <w:tcPr>
            <w:tcW w:type="dxa" w:w="2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bCs/>
                <w:color w:val="333333"/>
                <w:sz w:val="19"/>
                <w:szCs w:val="19"/>
              </w:rPr>
              <w:t xml:space="preserve">currency_code</w:t>
            </w:r>
          </w:p>
        </w:tc>
        <w:tc>
          <w:tcPr>
            <w:tcW w:type="dxa" w:w="1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333333"/>
                <w:sz w:val="19"/>
                <w:szCs w:val="19"/>
              </w:rPr>
              <w:t xml:space="preserve">VARCHAR(3)</w:t>
            </w:r>
          </w:p>
        </w:tc>
        <w:tc>
          <w:tcPr>
            <w:tcW w:type="dxa" w:w="4826"/>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r>
              <w:rPr>
                <w:rFonts w:ascii="Arial" w:cs="Arial" w:eastAsia="Arial" w:hAnsi="Arial"/>
                <w:color w:val="333333"/>
                <w:sz w:val="19"/>
                <w:szCs w:val="19"/>
              </w:rPr>
              <w:t xml:space="preserve">Default: NZD</w:t>
            </w:r>
          </w:p>
        </w:tc>
      </w:tr>
      <w:tr>
        <w:tc>
          <w:tcPr>
            <w:tcW w:type="dxa" w:w="2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bCs/>
                <w:color w:val="333333"/>
                <w:sz w:val="19"/>
                <w:szCs w:val="19"/>
              </w:rPr>
              <w:t xml:space="preserve">delivery_channel</w:t>
            </w:r>
          </w:p>
        </w:tc>
        <w:tc>
          <w:tcPr>
            <w:tcW w:type="dxa" w:w="1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333333"/>
                <w:sz w:val="19"/>
                <w:szCs w:val="19"/>
              </w:rPr>
              <w:t xml:space="preserve">ENUM</w:t>
            </w:r>
          </w:p>
        </w:tc>
        <w:tc>
          <w:tcPr>
            <w:tcW w:type="dxa" w:w="4826"/>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333333"/>
                <w:sz w:val="19"/>
                <w:szCs w:val="19"/>
              </w:rPr>
              <w:t xml:space="preserve">SMS, Email</w:t>
            </w:r>
          </w:p>
        </w:tc>
      </w:tr>
      <w:tr>
        <w:tc>
          <w:tcPr>
            <w:tcW w:type="dxa" w:w="2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bCs/>
                <w:color w:val="333333"/>
                <w:sz w:val="19"/>
                <w:szCs w:val="19"/>
              </w:rPr>
              <w:t xml:space="preserve">secure_token</w:t>
            </w:r>
          </w:p>
        </w:tc>
        <w:tc>
          <w:tcPr>
            <w:tcW w:type="dxa" w:w="1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333333"/>
                <w:sz w:val="19"/>
                <w:szCs w:val="19"/>
              </w:rPr>
              <w:t xml:space="preserve">VARCHAR, Unique</w:t>
            </w:r>
          </w:p>
        </w:tc>
        <w:tc>
          <w:tcPr>
            <w:tcW w:type="dxa" w:w="4826"/>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r>
              <w:rPr>
                <w:rFonts w:ascii="Arial" w:cs="Arial" w:eastAsia="Arial" w:hAnsi="Arial"/>
                <w:color w:val="333333"/>
                <w:sz w:val="19"/>
                <w:szCs w:val="19"/>
              </w:rPr>
              <w:t xml:space="preserve">Cryptographically secure URL token for hosted checkout</w:t>
            </w:r>
          </w:p>
        </w:tc>
      </w:tr>
      <w:tr>
        <w:tc>
          <w:tcPr>
            <w:tcW w:type="dxa" w:w="2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bCs/>
                <w:color w:val="333333"/>
                <w:sz w:val="19"/>
                <w:szCs w:val="19"/>
              </w:rPr>
              <w:t xml:space="preserve">status</w:t>
            </w:r>
          </w:p>
        </w:tc>
        <w:tc>
          <w:tcPr>
            <w:tcW w:type="dxa" w:w="1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333333"/>
                <w:sz w:val="19"/>
                <w:szCs w:val="19"/>
              </w:rPr>
              <w:t xml:space="preserve">ENUM</w:t>
            </w:r>
          </w:p>
        </w:tc>
        <w:tc>
          <w:tcPr>
            <w:tcW w:type="dxa" w:w="4826"/>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333333"/>
                <w:sz w:val="19"/>
                <w:szCs w:val="19"/>
              </w:rPr>
              <w:t xml:space="preserve">Pending_Dispatch, Sent, Delivered, Paid, Overdue, Voided</w:t>
            </w:r>
          </w:p>
        </w:tc>
      </w:tr>
      <w:tr>
        <w:tc>
          <w:tcPr>
            <w:tcW w:type="dxa" w:w="2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bCs/>
                <w:color w:val="333333"/>
                <w:sz w:val="19"/>
                <w:szCs w:val="19"/>
              </w:rPr>
              <w:t xml:space="preserve">due_at</w:t>
            </w:r>
          </w:p>
        </w:tc>
        <w:tc>
          <w:tcPr>
            <w:tcW w:type="dxa" w:w="1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333333"/>
                <w:sz w:val="19"/>
                <w:szCs w:val="19"/>
              </w:rPr>
              <w:t xml:space="preserve">TIMESTAMP</w:t>
            </w:r>
          </w:p>
        </w:tc>
        <w:tc>
          <w:tcPr>
            <w:tcW w:type="dxa" w:w="4826"/>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r>
              <w:rPr>
                <w:rFonts w:ascii="Arial" w:cs="Arial" w:eastAsia="Arial" w:hAnsi="Arial"/>
                <w:color w:val="333333"/>
                <w:sz w:val="19"/>
                <w:szCs w:val="19"/>
              </w:rPr>
              <w:t xml:space="preserve">Hard deadline. Set to 23:59:59 on cycle date.</w:t>
            </w:r>
          </w:p>
        </w:tc>
      </w:tr>
      <w:tr>
        <w:tc>
          <w:tcPr>
            <w:tcW w:type="dxa" w:w="2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bCs/>
                <w:color w:val="333333"/>
                <w:sz w:val="19"/>
                <w:szCs w:val="19"/>
              </w:rPr>
              <w:t xml:space="preserve">paid_at</w:t>
            </w:r>
          </w:p>
        </w:tc>
        <w:tc>
          <w:tcPr>
            <w:tcW w:type="dxa" w:w="1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333333"/>
                <w:sz w:val="19"/>
                <w:szCs w:val="19"/>
              </w:rPr>
              <w:t xml:space="preserve">TIMESTAMP, Nullable</w:t>
            </w:r>
          </w:p>
        </w:tc>
        <w:tc>
          <w:tcPr>
            <w:tcW w:type="dxa" w:w="4826"/>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333333"/>
                <w:sz w:val="19"/>
                <w:szCs w:val="19"/>
              </w:rPr>
              <w:t xml:space="preserve">Populated on successful payment</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94560" w:sz="1"/>
              <w:left w:val="single" w:color="E94560" w:sz="6"/>
              <w:bottom w:val="single" w:color="E94560" w:sz="1"/>
              <w:right w:val="single" w:color="E94560" w:sz="1"/>
            </w:tcBorders>
            <w:shd w:fill="FFF5F7" w:val="clear"/>
            <w:tcMar>
              <w:top w:type="dxa" w:w="120"/>
              <w:left w:type="dxa" w:w="200"/>
              <w:bottom w:type="dxa" w:w="120"/>
              <w:right w:type="dxa" w:w="200"/>
            </w:tcMar>
          </w:tcPr>
          <w:p>
            <w:pPr>
              <w:spacing w:after="60"/>
            </w:pPr>
            <w:r>
              <w:rPr>
                <w:rFonts w:ascii="Arial" w:cs="Arial" w:eastAsia="Arial" w:hAnsi="Arial"/>
                <w:b/>
                <w:bCs/>
                <w:color w:val="E94560"/>
                <w:sz w:val="20"/>
                <w:szCs w:val="20"/>
              </w:rPr>
              <w:t xml:space="preserve">CRITICAL: Idempotency Constraint</w:t>
            </w:r>
          </w:p>
          <w:p>
            <w:r>
              <w:rPr>
                <w:rFonts w:ascii="Arial" w:cs="Arial" w:eastAsia="Arial" w:hAnsi="Arial"/>
                <w:color w:val="333333"/>
                <w:sz w:val="19"/>
                <w:szCs w:val="19"/>
              </w:rPr>
              <w:t xml:space="preserve">A composite unique index is enforced: UNIQUE (schedule_id, billing_period_start). If a cron job retries or a race condition occurs, the database physically rejects duplicate invoice creation for the same billing period.</w:t>
            </w:r>
          </w:p>
        </w:tc>
      </w:tr>
    </w:tbl>
    <w:p>
      <w:pPr>
        <w:spacing w:after="60"/>
      </w:pPr>
    </w:p>
    <w:p>
      <w:pPr>
        <w:pStyle w:val="Heading2"/>
        <w:spacing w:after="150" w:before="300"/>
      </w:pPr>
      <w:r>
        <w:rPr>
          <w:rFonts w:ascii="Arial" w:cs="Arial" w:eastAsia="Arial" w:hAnsi="Arial"/>
          <w:b/>
          <w:bCs/>
          <w:color w:val="0F3460"/>
          <w:sz w:val="26"/>
          <w:szCs w:val="26"/>
        </w:rPr>
        <w:t xml:space="preserve">1.4 Transaction_Events</w:t>
      </w:r>
    </w:p>
    <w:p>
      <w:pPr>
        <w:spacing w:after="120" w:line="276"/>
      </w:pPr>
      <w:r>
        <w:rPr>
          <w:rFonts w:ascii="Arial" w:cs="Arial" w:eastAsia="Arial" w:hAnsi="Arial"/>
          <w:color w:val="333333"/>
          <w:sz w:val="21"/>
          <w:szCs w:val="21"/>
        </w:rPr>
        <w:t xml:space="preserve">Immutable audit ledger feeding the real-time vertical timeline inside each tenant profile. Every state change is logged as an individual event.</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826"/>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482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bCs/>
                <w:color w:val="333333"/>
                <w:sz w:val="19"/>
                <w:szCs w:val="19"/>
              </w:rPr>
              <w:t xml:space="preserve">id</w:t>
            </w:r>
          </w:p>
        </w:tc>
        <w:tc>
          <w:tcPr>
            <w:tcW w:type="dxa" w:w="1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333333"/>
                <w:sz w:val="19"/>
                <w:szCs w:val="19"/>
              </w:rPr>
              <w:t xml:space="preserve">UUIDv4</w:t>
            </w:r>
          </w:p>
        </w:tc>
        <w:tc>
          <w:tcPr>
            <w:tcW w:type="dxa" w:w="4826"/>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333333"/>
                <w:sz w:val="19"/>
                <w:szCs w:val="19"/>
              </w:rPr>
              <w:t xml:space="preserve">Primary Key</w:t>
            </w:r>
          </w:p>
        </w:tc>
      </w:tr>
      <w:tr>
        <w:tc>
          <w:tcPr>
            <w:tcW w:type="dxa" w:w="2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bCs/>
                <w:color w:val="333333"/>
                <w:sz w:val="19"/>
                <w:szCs w:val="19"/>
              </w:rPr>
              <w:t xml:space="preserve">invoice_id</w:t>
            </w:r>
          </w:p>
        </w:tc>
        <w:tc>
          <w:tcPr>
            <w:tcW w:type="dxa" w:w="1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333333"/>
                <w:sz w:val="19"/>
                <w:szCs w:val="19"/>
              </w:rPr>
              <w:t xml:space="preserve">UUIDv4, FK</w:t>
            </w:r>
          </w:p>
        </w:tc>
        <w:tc>
          <w:tcPr>
            <w:tcW w:type="dxa" w:w="4826"/>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r>
              <w:rPr>
                <w:rFonts w:ascii="Arial" w:cs="Arial" w:eastAsia="Arial" w:hAnsi="Arial"/>
                <w:color w:val="333333"/>
                <w:sz w:val="19"/>
                <w:szCs w:val="19"/>
              </w:rPr>
              <w:t xml:space="preserve">Links to parent invoice</w:t>
            </w:r>
          </w:p>
        </w:tc>
      </w:tr>
      <w:tr>
        <w:tc>
          <w:tcPr>
            <w:tcW w:type="dxa" w:w="2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bCs/>
                <w:color w:val="333333"/>
                <w:sz w:val="19"/>
                <w:szCs w:val="19"/>
              </w:rPr>
              <w:t xml:space="preserve">event_type</w:t>
            </w:r>
          </w:p>
        </w:tc>
        <w:tc>
          <w:tcPr>
            <w:tcW w:type="dxa" w:w="1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333333"/>
                <w:sz w:val="19"/>
                <w:szCs w:val="19"/>
              </w:rPr>
              <w:t xml:space="preserve">ENUM</w:t>
            </w:r>
          </w:p>
        </w:tc>
        <w:tc>
          <w:tcPr>
            <w:tcW w:type="dxa" w:w="4826"/>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333333"/>
                <w:sz w:val="19"/>
                <w:szCs w:val="19"/>
              </w:rPr>
              <w:t xml:space="preserve">Created, Sent, Delivery_Confirmed, Delivery_Failed, Opened, Payment_Attempted, Payment_Success, Payment_Declined, Reminder_Sent</w:t>
            </w:r>
          </w:p>
        </w:tc>
      </w:tr>
      <w:tr>
        <w:tc>
          <w:tcPr>
            <w:tcW w:type="dxa" w:w="2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bCs/>
                <w:color w:val="333333"/>
                <w:sz w:val="19"/>
                <w:szCs w:val="19"/>
              </w:rPr>
              <w:t xml:space="preserve">payload_snapshot</w:t>
            </w:r>
          </w:p>
        </w:tc>
        <w:tc>
          <w:tcPr>
            <w:tcW w:type="dxa" w:w="1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333333"/>
                <w:sz w:val="19"/>
                <w:szCs w:val="19"/>
              </w:rPr>
              <w:t xml:space="preserve">JSONB</w:t>
            </w:r>
          </w:p>
        </w:tc>
        <w:tc>
          <w:tcPr>
            <w:tcW w:type="dxa" w:w="4826"/>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r>
              <w:rPr>
                <w:rFonts w:ascii="Arial" w:cs="Arial" w:eastAsia="Arial" w:hAnsi="Arial"/>
                <w:color w:val="333333"/>
                <w:sz w:val="19"/>
                <w:szCs w:val="19"/>
              </w:rPr>
              <w:t xml:space="preserve">Raw gateway response data or carrier delivery status</w:t>
            </w:r>
          </w:p>
        </w:tc>
      </w:tr>
      <w:tr>
        <w:tc>
          <w:tcPr>
            <w:tcW w:type="dxa" w:w="2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bCs/>
                <w:color w:val="333333"/>
                <w:sz w:val="19"/>
                <w:szCs w:val="19"/>
              </w:rPr>
              <w:t xml:space="preserve">timestamp</w:t>
            </w:r>
          </w:p>
        </w:tc>
        <w:tc>
          <w:tcPr>
            <w:tcW w:type="dxa" w:w="18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333333"/>
                <w:sz w:val="19"/>
                <w:szCs w:val="19"/>
              </w:rPr>
              <w:t xml:space="preserve">TIMESTAMP</w:t>
            </w:r>
          </w:p>
        </w:tc>
        <w:tc>
          <w:tcPr>
            <w:tcW w:type="dxa" w:w="4826"/>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333333"/>
                <w:sz w:val="19"/>
                <w:szCs w:val="19"/>
              </w:rPr>
              <w:t xml:space="preserve">Event occurrence time</w:t>
            </w:r>
          </w:p>
        </w:tc>
      </w:tr>
    </w:tbl>
    <w:p>
      <w:r>
        <w:br/>
      </w:r>
    </w:p>
    <w:p>
      <w:pPr>
        <w:pStyle w:val="Heading1"/>
        <w:spacing w:after="200" w:before="400"/>
      </w:pPr>
      <w:r>
        <w:rPr>
          <w:rFonts w:ascii="Arial" w:cs="Arial" w:eastAsia="Arial" w:hAnsi="Arial"/>
          <w:b/>
          <w:bCs/>
          <w:color w:val="1A1A2E"/>
          <w:sz w:val="32"/>
          <w:szCs w:val="32"/>
        </w:rPr>
        <w:t xml:space="preserve">2. Timezone-Aware Scheduling Engine</w:t>
      </w:r>
    </w:p>
    <w:p>
      <w:pPr>
        <w:spacing w:after="120" w:line="276"/>
      </w:pPr>
      <w:r>
        <w:rPr>
          <w:rFonts w:ascii="Arial" w:cs="Arial" w:eastAsia="Arial" w:hAnsi="Arial"/>
          <w:color w:val="333333"/>
          <w:sz w:val="21"/>
          <w:szCs w:val="21"/>
        </w:rPr>
        <w:t xml:space="preserve">The automation loop runs on an hourly cron cycle rather than a static midnight UTC pass, ensuring invoices are generated and dispatched during the merchant's local business hours regardless of geographic region.</w:t>
      </w:r>
    </w:p>
    <w:p>
      <w:pPr>
        <w:spacing w:after="60"/>
      </w:pPr>
    </w:p>
    <w:p>
      <w:pPr>
        <w:pStyle w:val="Heading2"/>
        <w:spacing w:after="150" w:before="300"/>
      </w:pPr>
      <w:r>
        <w:rPr>
          <w:rFonts w:ascii="Arial" w:cs="Arial" w:eastAsia="Arial" w:hAnsi="Arial"/>
          <w:b/>
          <w:bCs/>
          <w:color w:val="0F3460"/>
          <w:sz w:val="26"/>
          <w:szCs w:val="26"/>
        </w:rPr>
        <w:t xml:space="preserve">2.1 The Two-Phase Dispatch Model</w:t>
      </w:r>
    </w:p>
    <w:p>
      <w:pPr>
        <w:spacing w:after="120" w:line="276"/>
      </w:pPr>
      <w:r>
        <w:rPr>
          <w:rFonts w:ascii="Arial" w:cs="Arial" w:eastAsia="Arial" w:hAnsi="Arial"/>
          <w:b/>
          <w:bCs/>
          <w:color w:val="333333"/>
          <w:sz w:val="21"/>
          <w:szCs w:val="21"/>
        </w:rPr>
        <w:t xml:space="preserve">Generation Run (2:00 AM local time): </w:t>
      </w:r>
      <w:r>
        <w:rPr>
          <w:rFonts w:ascii="Arial" w:cs="Arial" w:eastAsia="Arial" w:hAnsi="Arial"/>
          <w:color w:val="333333"/>
          <w:sz w:val="21"/>
          <w:szCs w:val="21"/>
        </w:rPr>
        <w:t xml:space="preserve">The cron evaluates active schedules where the current date matches next_run_date and status is Active. It resolves the merchant's timezone (e.g., Pacific/Auckland) and triggers only after the local clock crosses 02:00 AM. New invoice records are created with status Pending_Dispatch.</w:t>
      </w:r>
    </w:p>
    <w:p>
      <w:pPr>
        <w:spacing w:after="120" w:line="276"/>
      </w:pPr>
      <w:r>
        <w:rPr>
          <w:rFonts w:ascii="Arial" w:cs="Arial" w:eastAsia="Arial" w:hAnsi="Arial"/>
          <w:b/>
          <w:bCs/>
          <w:color w:val="333333"/>
          <w:sz w:val="21"/>
          <w:szCs w:val="21"/>
        </w:rPr>
        <w:t xml:space="preserve">Daylight Dispatch Run (8:30 AM local time): </w:t>
      </w:r>
      <w:r>
        <w:rPr>
          <w:rFonts w:ascii="Arial" w:cs="Arial" w:eastAsia="Arial" w:hAnsi="Arial"/>
          <w:color w:val="333333"/>
          <w:sz w:val="21"/>
          <w:szCs w:val="21"/>
        </w:rPr>
        <w:t xml:space="preserve">The message delivery queue holds all payloads until 8:30 AM in the merchant's local timezone. This creates a 6.5-hour waking-hours review window where landlords can see queued items and make adjustments before any communication reaches tenants.</w:t>
      </w:r>
    </w:p>
    <w:p>
      <w:pPr>
        <w:spacing w:after="60"/>
      </w:pPr>
    </w:p>
    <w:p>
      <w:pPr>
        <w:pStyle w:val="Heading2"/>
        <w:spacing w:after="150" w:before="300"/>
      </w:pPr>
      <w:r>
        <w:rPr>
          <w:rFonts w:ascii="Arial" w:cs="Arial" w:eastAsia="Arial" w:hAnsi="Arial"/>
          <w:b/>
          <w:bCs/>
          <w:color w:val="0F3460"/>
          <w:sz w:val="26"/>
          <w:szCs w:val="26"/>
        </w:rPr>
        <w:t xml:space="preserve">2.2 Fortnightly Cadence Rule</w:t>
      </w:r>
    </w:p>
    <w:p>
      <w:pPr>
        <w:spacing w:after="120" w:line="276"/>
      </w:pPr>
      <w:r>
        <w:rPr>
          <w:rFonts w:ascii="Arial" w:cs="Arial" w:eastAsia="Arial" w:hAnsi="Arial"/>
          <w:color w:val="333333"/>
          <w:sz w:val="21"/>
          <w:szCs w:val="21"/>
        </w:rPr>
        <w:t xml:space="preserve">A Fortnightly frequency is programmatically defined as exactly 14 calendar days. When an invoice is generated, next_run_date advances using strict interval addition: next_run_date = current_date + INTERVAL '14 days'. No calendar drift or ambiguity.</w:t>
      </w:r>
    </w:p>
    <w:p>
      <w:pPr>
        <w:spacing w:after="60"/>
      </w:pPr>
    </w:p>
    <w:p>
      <w:pPr>
        <w:pStyle w:val="Heading2"/>
        <w:spacing w:after="150" w:before="300"/>
      </w:pPr>
      <w:r>
        <w:rPr>
          <w:rFonts w:ascii="Arial" w:cs="Arial" w:eastAsia="Arial" w:hAnsi="Arial"/>
          <w:b/>
          <w:bCs/>
          <w:color w:val="0F3460"/>
          <w:sz w:val="26"/>
          <w:szCs w:val="26"/>
        </w:rPr>
        <w:t xml:space="preserve">2.3 Pause Next Cycle Toggle</w:t>
      </w:r>
    </w:p>
    <w:p>
      <w:pPr>
        <w:spacing w:after="120" w:line="276"/>
      </w:pPr>
      <w:r>
        <w:rPr>
          <w:rFonts w:ascii="Arial" w:cs="Arial" w:eastAsia="Arial" w:hAnsi="Arial"/>
          <w:color w:val="333333"/>
          <w:sz w:val="21"/>
          <w:szCs w:val="21"/>
        </w:rPr>
        <w:t xml:space="preserve">Landlords can toggle a pause_next_cycle flag inside the tenant profile panel. When set to true, the cron engine bypasses link generation for that period, silently advances next_run_date to the following cycle, and resets the flag back to false. The schedule itself remains Active.</w:t>
      </w:r>
    </w:p>
    <w:p>
      <w:pPr>
        <w:spacing w:after="60"/>
      </w:pPr>
    </w:p>
    <w:p>
      <w:pPr>
        <w:pStyle w:val="Heading2"/>
        <w:spacing w:after="150" w:before="300"/>
      </w:pPr>
      <w:r>
        <w:rPr>
          <w:rFonts w:ascii="Arial" w:cs="Arial" w:eastAsia="Arial" w:hAnsi="Arial"/>
          <w:b/>
          <w:bCs/>
          <w:color w:val="0F3460"/>
          <w:sz w:val="26"/>
          <w:szCs w:val="26"/>
        </w:rPr>
        <w:t xml:space="preserve">2.4 Token Generation</w:t>
      </w:r>
    </w:p>
    <w:p>
      <w:pPr>
        <w:spacing w:after="120" w:line="276"/>
      </w:pPr>
      <w:r>
        <w:rPr>
          <w:rFonts w:ascii="Arial" w:cs="Arial" w:eastAsia="Arial" w:hAnsi="Arial"/>
          <w:color w:val="333333"/>
          <w:sz w:val="21"/>
          <w:szCs w:val="21"/>
        </w:rPr>
        <w:t xml:space="preserve">Each invoice receives a cryptographically secure, unguessable high-entropy URL token using url-safe base64 character sets. Tokens are sufficiently long to prevent brute-force discovery. Example format: tapt.link/r/uX8a29fK_1zQ9w.</w:t>
      </w:r>
    </w:p>
    <w:p>
      <w:r>
        <w:br/>
      </w:r>
    </w:p>
    <w:p>
      <w:pPr>
        <w:pStyle w:val="Heading1"/>
        <w:spacing w:after="200" w:before="400"/>
      </w:pPr>
      <w:r>
        <w:rPr>
          <w:rFonts w:ascii="Arial" w:cs="Arial" w:eastAsia="Arial" w:hAnsi="Arial"/>
          <w:b/>
          <w:bCs/>
          <w:color w:val="1A1A2E"/>
          <w:sz w:val="32"/>
          <w:szCs w:val="32"/>
        </w:rPr>
        <w:t xml:space="preserve">3. Overdue Engine &amp; Business Rules</w:t>
      </w:r>
    </w:p>
    <w:p>
      <w:pPr>
        <w:pStyle w:val="Heading2"/>
        <w:spacing w:after="150" w:before="300"/>
      </w:pPr>
      <w:r>
        <w:rPr>
          <w:rFonts w:ascii="Arial" w:cs="Arial" w:eastAsia="Arial" w:hAnsi="Arial"/>
          <w:b/>
          <w:bCs/>
          <w:color w:val="0F3460"/>
          <w:sz w:val="26"/>
          <w:szCs w:val="26"/>
        </w:rPr>
        <w:t xml:space="preserve">3.1 Due Window Definition</w:t>
      </w:r>
    </w:p>
    <w:p>
      <w:pPr>
        <w:pStyle w:val="ListParagraph"/>
        <w:numPr>
          <w:ilvl w:val="0"/>
          <w:numId w:val="2"/>
        </w:numPr>
        <w:spacing w:after="80" w:line="276"/>
      </w:pPr>
      <w:r>
        <w:rPr>
          <w:rFonts w:ascii="Arial" w:cs="Arial" w:eastAsia="Arial" w:hAnsi="Arial"/>
          <w:b/>
          <w:bCs/>
          <w:color w:val="333333"/>
          <w:sz w:val="21"/>
          <w:szCs w:val="21"/>
        </w:rPr>
        <w:t xml:space="preserve">Automated invoices: </w:t>
      </w:r>
      <w:r>
        <w:rPr>
          <w:rFonts w:ascii="Arial" w:cs="Arial" w:eastAsia="Arial" w:hAnsi="Arial"/>
          <w:color w:val="333333"/>
          <w:sz w:val="21"/>
          <w:szCs w:val="21"/>
        </w:rPr>
        <w:t xml:space="preserve">due_at is set to 23:59:59 on the designated date of the rent cycle.</w:t>
      </w:r>
    </w:p>
    <w:p>
      <w:pPr>
        <w:pStyle w:val="ListParagraph"/>
        <w:numPr>
          <w:ilvl w:val="0"/>
          <w:numId w:val="2"/>
        </w:numPr>
        <w:spacing w:after="80" w:line="276"/>
      </w:pPr>
      <w:r>
        <w:rPr>
          <w:rFonts w:ascii="Arial" w:cs="Arial" w:eastAsia="Arial" w:hAnsi="Arial"/>
          <w:b/>
          <w:bCs/>
          <w:color w:val="333333"/>
          <w:sz w:val="21"/>
          <w:szCs w:val="21"/>
        </w:rPr>
        <w:t xml:space="preserve">Manual terminal sends: </w:t>
      </w:r>
      <w:r>
        <w:rPr>
          <w:rFonts w:ascii="Arial" w:cs="Arial" w:eastAsia="Arial" w:hAnsi="Arial"/>
          <w:color w:val="333333"/>
          <w:sz w:val="21"/>
          <w:szCs w:val="21"/>
        </w:rPr>
        <w:t xml:space="preserve">Default to 7 days from creation. Quick-select pills offer Due on Receipt (+2 hours), +7 Days, +14 Days, or a custom calendar date.</w:t>
      </w:r>
    </w:p>
    <w:p>
      <w:pPr>
        <w:spacing w:after="60"/>
      </w:pPr>
    </w:p>
    <w:p>
      <w:pPr>
        <w:pStyle w:val="Heading2"/>
        <w:spacing w:after="150" w:before="300"/>
      </w:pPr>
      <w:r>
        <w:rPr>
          <w:rFonts w:ascii="Arial" w:cs="Arial" w:eastAsia="Arial" w:hAnsi="Arial"/>
          <w:b/>
          <w:bCs/>
          <w:color w:val="0F3460"/>
          <w:sz w:val="26"/>
          <w:szCs w:val="26"/>
        </w:rPr>
        <w:t xml:space="preserve">3.2 Status Mutation Trigger</w:t>
      </w:r>
    </w:p>
    <w:p>
      <w:pPr>
        <w:spacing w:after="120" w:line="276"/>
      </w:pPr>
      <w:r>
        <w:rPr>
          <w:rFonts w:ascii="Arial" w:cs="Arial" w:eastAsia="Arial" w:hAnsi="Arial"/>
          <w:color w:val="333333"/>
          <w:sz w:val="21"/>
          <w:szCs w:val="21"/>
        </w:rPr>
        <w:t xml:space="preserve">A background checker evaluates all non-paid invoice rows every hour. The moment local system time passes due_at on an unpaid invoice, the system executes an atomic transaction flipping the record to Overdue. This triggers immediate recalculation of dashboard KPI counts.</w:t>
      </w:r>
    </w:p>
    <w:p>
      <w:pPr>
        <w:spacing w:after="60"/>
      </w:pPr>
    </w:p>
    <w:p>
      <w:pPr>
        <w:pStyle w:val="Heading2"/>
        <w:spacing w:after="150" w:before="300"/>
      </w:pPr>
      <w:r>
        <w:rPr>
          <w:rFonts w:ascii="Arial" w:cs="Arial" w:eastAsia="Arial" w:hAnsi="Arial"/>
          <w:b/>
          <w:bCs/>
          <w:color w:val="0F3460"/>
          <w:sz w:val="26"/>
          <w:szCs w:val="26"/>
        </w:rPr>
        <w:t xml:space="preserve">3.3 Send Reminder Throttling</w:t>
      </w:r>
    </w:p>
    <w:p>
      <w:pPr>
        <w:pStyle w:val="ListParagraph"/>
        <w:numPr>
          <w:ilvl w:val="0"/>
          <w:numId w:val="2"/>
        </w:numPr>
        <w:spacing w:after="80" w:line="276"/>
      </w:pPr>
      <w:r>
        <w:rPr>
          <w:rFonts w:ascii="Arial" w:cs="Arial" w:eastAsia="Arial" w:hAnsi="Arial"/>
          <w:color w:val="333333"/>
          <w:sz w:val="21"/>
          <w:szCs w:val="21"/>
        </w:rPr>
        <w:t xml:space="preserve">Clicking Send Reminder sets a last_reminder_sent_at timestamp on the invoice record.</w:t>
      </w:r>
    </w:p>
    <w:p>
      <w:pPr>
        <w:pStyle w:val="ListParagraph"/>
        <w:numPr>
          <w:ilvl w:val="0"/>
          <w:numId w:val="2"/>
        </w:numPr>
        <w:spacing w:after="80" w:line="276"/>
      </w:pPr>
      <w:r>
        <w:rPr>
          <w:rFonts w:ascii="Arial" w:cs="Arial" w:eastAsia="Arial" w:hAnsi="Arial"/>
          <w:color w:val="333333"/>
          <w:sz w:val="21"/>
          <w:szCs w:val="21"/>
        </w:rPr>
        <w:t xml:space="preserve">The button enters a disabled state for 24 hours with a visible countdown (e.g., "Reminder Sent — Resend available in 14h").</w:t>
      </w:r>
    </w:p>
    <w:p>
      <w:pPr>
        <w:pStyle w:val="ListParagraph"/>
        <w:numPr>
          <w:ilvl w:val="0"/>
          <w:numId w:val="2"/>
        </w:numPr>
        <w:spacing w:after="80" w:line="276"/>
      </w:pPr>
      <w:r>
        <w:rPr>
          <w:rFonts w:ascii="Arial" w:cs="Arial" w:eastAsia="Arial" w:hAnsi="Arial"/>
          <w:color w:val="333333"/>
          <w:sz w:val="21"/>
          <w:szCs w:val="21"/>
        </w:rPr>
        <w:t xml:space="preserve">The system looks up the tenant's preferred delivery channel and fires a high-priority alert with the outstanding balance and a refreshed payment link.</w:t>
      </w:r>
    </w:p>
    <w:p>
      <w:pPr>
        <w:pStyle w:val="ListParagraph"/>
        <w:numPr>
          <w:ilvl w:val="0"/>
          <w:numId w:val="2"/>
        </w:numPr>
        <w:spacing w:after="80" w:line="276"/>
      </w:pPr>
      <w:r>
        <w:rPr>
          <w:rFonts w:ascii="Arial" w:cs="Arial" w:eastAsia="Arial" w:hAnsi="Arial"/>
          <w:color w:val="333333"/>
          <w:sz w:val="21"/>
          <w:szCs w:val="21"/>
        </w:rPr>
        <w:t xml:space="preserve">A Reminder_Sent event is logged to the Transaction_Events timeline.</w:t>
      </w:r>
    </w:p>
    <w:p>
      <w:r>
        <w:br/>
      </w:r>
    </w:p>
    <w:p>
      <w:pPr>
        <w:pStyle w:val="Heading1"/>
        <w:spacing w:after="200" w:before="400"/>
      </w:pPr>
      <w:r>
        <w:rPr>
          <w:rFonts w:ascii="Arial" w:cs="Arial" w:eastAsia="Arial" w:hAnsi="Arial"/>
          <w:b/>
          <w:bCs/>
          <w:color w:val="1A1A2E"/>
          <w:sz w:val="32"/>
          <w:szCs w:val="32"/>
        </w:rPr>
        <w:t xml:space="preserve">4. Tenant Lifecycle &amp; Archiving</w:t>
      </w:r>
    </w:p>
    <w:p>
      <w:pPr>
        <w:pStyle w:val="Heading2"/>
        <w:spacing w:after="150" w:before="300"/>
      </w:pPr>
      <w:r>
        <w:rPr>
          <w:rFonts w:ascii="Arial" w:cs="Arial" w:eastAsia="Arial" w:hAnsi="Arial"/>
          <w:b/>
          <w:bCs/>
          <w:color w:val="0F3460"/>
          <w:sz w:val="26"/>
          <w:szCs w:val="26"/>
        </w:rPr>
        <w:t xml:space="preserve">4.1 Archive Event</w:t>
      </w:r>
    </w:p>
    <w:p>
      <w:pPr>
        <w:spacing w:after="120" w:line="276"/>
      </w:pPr>
      <w:r>
        <w:rPr>
          <w:rFonts w:ascii="Arial" w:cs="Arial" w:eastAsia="Arial" w:hAnsi="Arial"/>
          <w:color w:val="333333"/>
          <w:sz w:val="21"/>
          <w:szCs w:val="21"/>
        </w:rPr>
        <w:t xml:space="preserve">When a tenancy ends, clicking Archive Tenant transitions the profile status to Archived and the linked Active_Schedule status to Terminated. This permanently stops all future auto-generation cron events for that tenant.</w:t>
      </w:r>
    </w:p>
    <w:p>
      <w:pPr>
        <w:spacing w:after="60"/>
      </w:pPr>
    </w:p>
    <w:p>
      <w:pPr>
        <w:pStyle w:val="Heading2"/>
        <w:spacing w:after="150" w:before="300"/>
      </w:pPr>
      <w:r>
        <w:rPr>
          <w:rFonts w:ascii="Arial" w:cs="Arial" w:eastAsia="Arial" w:hAnsi="Arial"/>
          <w:b/>
          <w:bCs/>
          <w:color w:val="0F3460"/>
          <w:sz w:val="26"/>
          <w:szCs w:val="26"/>
        </w:rPr>
        <w:t xml:space="preserve">4.2 Historical Retention</w:t>
      </w:r>
    </w:p>
    <w:p>
      <w:pPr>
        <w:spacing w:after="120" w:line="276"/>
      </w:pPr>
      <w:r>
        <w:rPr>
          <w:rFonts w:ascii="Arial" w:cs="Arial" w:eastAsia="Arial" w:hAnsi="Arial"/>
          <w:color w:val="333333"/>
          <w:sz w:val="21"/>
          <w:szCs w:val="21"/>
        </w:rPr>
        <w:t xml:space="preserve">All existing invoices and transaction events remain fully intact and searchable via the history dashboard for bookkeeping compliance. Archived profiles appear in a separate filtered view.</w:t>
      </w:r>
    </w:p>
    <w:p>
      <w:pPr>
        <w:spacing w:after="60"/>
      </w:pPr>
    </w:p>
    <w:p>
      <w:pPr>
        <w:pStyle w:val="Heading2"/>
        <w:spacing w:after="150" w:before="300"/>
      </w:pPr>
      <w:r>
        <w:rPr>
          <w:rFonts w:ascii="Arial" w:cs="Arial" w:eastAsia="Arial" w:hAnsi="Arial"/>
          <w:b/>
          <w:bCs/>
          <w:color w:val="0F3460"/>
          <w:sz w:val="26"/>
          <w:szCs w:val="26"/>
        </w:rPr>
        <w:t xml:space="preserve">4.3 Outstanding Balances</w:t>
      </w:r>
    </w:p>
    <w:p>
      <w:pPr>
        <w:spacing w:after="120" w:line="276"/>
      </w:pPr>
      <w:r>
        <w:rPr>
          <w:rFonts w:ascii="Arial" w:cs="Arial" w:eastAsia="Arial" w:hAnsi="Arial"/>
          <w:color w:val="333333"/>
          <w:sz w:val="21"/>
          <w:szCs w:val="21"/>
        </w:rPr>
        <w:t xml:space="preserve">Any invoice marked Overdue at the moment of archive remains active in the system ledger for 30 days, allowing the landlord to process collections or manual settlement. Landlords can explicitly void outstanding invoices via a Void Invoice action.</w:t>
      </w:r>
    </w:p>
    <w:p>
      <w:pPr>
        <w:spacing w:after="60"/>
      </w:pPr>
    </w:p>
    <w:p>
      <w:pPr>
        <w:pStyle w:val="Heading2"/>
        <w:spacing w:after="150" w:before="300"/>
      </w:pPr>
      <w:r>
        <w:rPr>
          <w:rFonts w:ascii="Arial" w:cs="Arial" w:eastAsia="Arial" w:hAnsi="Arial"/>
          <w:b/>
          <w:bCs/>
          <w:color w:val="0F3460"/>
          <w:sz w:val="26"/>
          <w:szCs w:val="26"/>
        </w:rPr>
        <w:t xml:space="preserve">4.4 Address Re-entry</w:t>
      </w:r>
    </w:p>
    <w:p>
      <w:pPr>
        <w:spacing w:after="120" w:line="276"/>
      </w:pPr>
      <w:r>
        <w:rPr>
          <w:rFonts w:ascii="Arial" w:cs="Arial" w:eastAsia="Arial" w:hAnsi="Arial"/>
          <w:color w:val="333333"/>
          <w:sz w:val="21"/>
          <w:szCs w:val="21"/>
        </w:rPr>
        <w:t xml:space="preserve">The physical address string is immediately freed at the database level upon archiving, allowing the landlord to create a new tenant profile for the same property address instantly.</w:t>
      </w:r>
    </w:p>
    <w:p>
      <w:r>
        <w:br/>
      </w:r>
    </w:p>
    <w:p>
      <w:pPr>
        <w:pStyle w:val="Heading1"/>
        <w:spacing w:after="200" w:before="400"/>
      </w:pPr>
      <w:r>
        <w:rPr>
          <w:rFonts w:ascii="Arial" w:cs="Arial" w:eastAsia="Arial" w:hAnsi="Arial"/>
          <w:b/>
          <w:bCs/>
          <w:color w:val="1A1A2E"/>
          <w:sz w:val="32"/>
          <w:szCs w:val="32"/>
        </w:rPr>
        <w:t xml:space="preserve">5. User Interface Specification</w:t>
      </w:r>
    </w:p>
    <w:p>
      <w:pPr>
        <w:pStyle w:val="Heading2"/>
        <w:spacing w:after="150" w:before="300"/>
      </w:pPr>
      <w:r>
        <w:rPr>
          <w:rFonts w:ascii="Arial" w:cs="Arial" w:eastAsia="Arial" w:hAnsi="Arial"/>
          <w:b/>
          <w:bCs/>
          <w:color w:val="0F3460"/>
          <w:sz w:val="26"/>
          <w:szCs w:val="26"/>
        </w:rPr>
        <w:t xml:space="preserve">5.1 Tenant Profile Directory (Replaces Stock Page)</w:t>
      </w:r>
    </w:p>
    <w:p>
      <w:pPr>
        <w:spacing w:after="120" w:line="276"/>
      </w:pPr>
      <w:r>
        <w:rPr>
          <w:rFonts w:ascii="Arial" w:cs="Arial" w:eastAsia="Arial" w:hAnsi="Arial"/>
          <w:color w:val="333333"/>
          <w:sz w:val="21"/>
          <w:szCs w:val="21"/>
        </w:rPr>
        <w:t xml:space="preserve">The retail product catalog is replaced with a high-density directory of tenancies. Selecting a profile triggers a side-drawer panel with two zones:</w:t>
      </w:r>
    </w:p>
    <w:p>
      <w:pPr>
        <w:spacing w:after="60"/>
      </w:pPr>
    </w:p>
    <w:p>
      <w:pPr>
        <w:spacing w:after="100" w:before="200"/>
      </w:pPr>
      <w:r>
        <w:rPr>
          <w:rFonts w:ascii="Arial" w:cs="Arial" w:eastAsia="Arial" w:hAnsi="Arial"/>
          <w:b/>
          <w:bCs/>
          <w:color w:val="0F3460"/>
          <w:sz w:val="22"/>
          <w:szCs w:val="22"/>
        </w:rPr>
        <w:t xml:space="preserve">Top Section: Profile Context Card</w:t>
      </w:r>
    </w:p>
    <w:p>
      <w:pPr>
        <w:pStyle w:val="ListParagraph"/>
        <w:numPr>
          <w:ilvl w:val="0"/>
          <w:numId w:val="2"/>
        </w:numPr>
        <w:spacing w:after="80" w:line="276"/>
      </w:pPr>
      <w:r>
        <w:rPr>
          <w:rFonts w:ascii="Arial" w:cs="Arial" w:eastAsia="Arial" w:hAnsi="Arial"/>
          <w:color w:val="333333"/>
          <w:sz w:val="21"/>
          <w:szCs w:val="21"/>
        </w:rPr>
        <w:t xml:space="preserve">Left side displays the primary tenant name in bold with the property address below it.</w:t>
      </w:r>
    </w:p>
    <w:p>
      <w:pPr>
        <w:pStyle w:val="ListParagraph"/>
        <w:numPr>
          <w:ilvl w:val="0"/>
          <w:numId w:val="2"/>
        </w:numPr>
        <w:spacing w:after="80" w:line="276"/>
      </w:pPr>
      <w:r>
        <w:rPr>
          <w:rFonts w:ascii="Arial" w:cs="Arial" w:eastAsia="Arial" w:hAnsi="Arial"/>
          <w:color w:val="333333"/>
          <w:sz w:val="21"/>
          <w:szCs w:val="21"/>
        </w:rPr>
        <w:t xml:space="preserve">Right side lists Phone, Email, and co-tenant names.</w:t>
      </w:r>
    </w:p>
    <w:p>
      <w:pPr>
        <w:pStyle w:val="ListParagraph"/>
        <w:numPr>
          <w:ilvl w:val="0"/>
          <w:numId w:val="2"/>
        </w:numPr>
        <w:spacing w:after="80" w:line="276"/>
      </w:pPr>
      <w:r>
        <w:rPr>
          <w:rFonts w:ascii="Arial" w:cs="Arial" w:eastAsia="Arial" w:hAnsi="Arial"/>
          <w:color w:val="333333"/>
          <w:sz w:val="21"/>
          <w:szCs w:val="21"/>
        </w:rPr>
        <w:t xml:space="preserve">A fixed Edit icon in the upper right flips the card into inline editable state for rapid contact updates without page reloads.</w:t>
      </w:r>
    </w:p>
    <w:p>
      <w:pPr>
        <w:spacing w:after="60"/>
      </w:pPr>
    </w:p>
    <w:p>
      <w:pPr>
        <w:spacing w:after="100" w:before="200"/>
      </w:pPr>
      <w:r>
        <w:rPr>
          <w:rFonts w:ascii="Arial" w:cs="Arial" w:eastAsia="Arial" w:hAnsi="Arial"/>
          <w:b/>
          <w:bCs/>
          <w:color w:val="0F3460"/>
          <w:sz w:val="22"/>
          <w:szCs w:val="22"/>
        </w:rPr>
        <w:t xml:space="preserve">Main Section: Activity Ledger Timeline</w:t>
      </w:r>
    </w:p>
    <w:p>
      <w:pPr>
        <w:pStyle w:val="ListParagraph"/>
        <w:numPr>
          <w:ilvl w:val="0"/>
          <w:numId w:val="2"/>
        </w:numPr>
        <w:spacing w:after="80" w:line="276"/>
      </w:pPr>
      <w:r>
        <w:rPr>
          <w:rFonts w:ascii="Arial" w:cs="Arial" w:eastAsia="Arial" w:hAnsi="Arial"/>
          <w:color w:val="333333"/>
          <w:sz w:val="21"/>
          <w:szCs w:val="21"/>
        </w:rPr>
        <w:t xml:space="preserve">A scrolling chronological tree logging every state change across the tenancy lifespan.</w:t>
      </w:r>
    </w:p>
    <w:p>
      <w:pPr>
        <w:pStyle w:val="ListParagraph"/>
        <w:numPr>
          <w:ilvl w:val="0"/>
          <w:numId w:val="2"/>
        </w:numPr>
        <w:spacing w:after="80" w:line="276"/>
      </w:pPr>
      <w:r>
        <w:rPr>
          <w:rFonts w:ascii="Arial" w:cs="Arial" w:eastAsia="Arial" w:hAnsi="Arial"/>
          <w:color w:val="333333"/>
          <w:sz w:val="21"/>
          <w:szCs w:val="21"/>
        </w:rPr>
        <w:t xml:space="preserve">Clicking a Paid node opens a modal with the PDF receipt (download, print, or re-send options).</w:t>
      </w:r>
    </w:p>
    <w:p>
      <w:pPr>
        <w:pStyle w:val="ListParagraph"/>
        <w:numPr>
          <w:ilvl w:val="0"/>
          <w:numId w:val="2"/>
        </w:numPr>
        <w:spacing w:after="80" w:line="276"/>
      </w:pPr>
      <w:r>
        <w:rPr>
          <w:rFonts w:ascii="Arial" w:cs="Arial" w:eastAsia="Arial" w:hAnsi="Arial"/>
          <w:color w:val="333333"/>
          <w:sz w:val="21"/>
          <w:szCs w:val="21"/>
        </w:rPr>
        <w:t xml:space="preserve">Clicking a Sent or Delivered node reveals the raw payment link URL with a Copy to Clipboard button.</w:t>
      </w:r>
    </w:p>
    <w:p>
      <w:pPr>
        <w:spacing w:after="60"/>
      </w:pPr>
    </w:p>
    <w:p>
      <w:pPr>
        <w:pStyle w:val="Heading2"/>
        <w:spacing w:after="150" w:before="300"/>
      </w:pPr>
      <w:r>
        <w:rPr>
          <w:rFonts w:ascii="Arial" w:cs="Arial" w:eastAsia="Arial" w:hAnsi="Arial"/>
          <w:b/>
          <w:bCs/>
          <w:color w:val="0F3460"/>
          <w:sz w:val="26"/>
          <w:szCs w:val="26"/>
        </w:rPr>
        <w:t xml:space="preserve">5.2 Terminal Interface</w:t>
      </w:r>
    </w:p>
    <w:p>
      <w:pPr>
        <w:spacing w:after="120" w:line="276"/>
      </w:pPr>
      <w:r>
        <w:rPr>
          <w:rFonts w:ascii="Arial" w:cs="Arial" w:eastAsia="Arial" w:hAnsi="Arial"/>
          <w:color w:val="333333"/>
          <w:sz w:val="21"/>
          <w:szCs w:val="21"/>
        </w:rPr>
        <w:t xml:space="preserve">The terminal maintains its calculator-style core mechanics but replaces retail modifiers with property-targeting selectors:</w:t>
      </w:r>
    </w:p>
    <w:p>
      <w:pPr>
        <w:spacing w:after="60"/>
      </w:pPr>
    </w:p>
    <w:p>
      <w:pPr>
        <w:pStyle w:val="ListParagraph"/>
        <w:numPr>
          <w:ilvl w:val="0"/>
          <w:numId w:val="3"/>
        </w:numPr>
        <w:spacing w:after="80" w:line="276"/>
      </w:pPr>
      <w:r>
        <w:rPr>
          <w:rFonts w:ascii="Arial" w:cs="Arial" w:eastAsia="Arial" w:hAnsi="Arial"/>
          <w:b/>
          <w:bCs/>
          <w:color w:val="333333"/>
          <w:sz w:val="21"/>
          <w:szCs w:val="21"/>
        </w:rPr>
        <w:t xml:space="preserve">Input Amount: </w:t>
      </w:r>
      <w:r>
        <w:rPr>
          <w:rFonts w:ascii="Arial" w:cs="Arial" w:eastAsia="Arial" w:hAnsi="Arial"/>
          <w:color w:val="333333"/>
          <w:sz w:val="21"/>
          <w:szCs w:val="21"/>
        </w:rPr>
        <w:t xml:space="preserve">Landlord enters the dollar value via the numeric keypad.</w:t>
      </w:r>
    </w:p>
    <w:p>
      <w:pPr>
        <w:pStyle w:val="ListParagraph"/>
        <w:numPr>
          <w:ilvl w:val="0"/>
          <w:numId w:val="3"/>
        </w:numPr>
        <w:spacing w:after="80" w:line="276"/>
      </w:pPr>
      <w:r>
        <w:rPr>
          <w:rFonts w:ascii="Arial" w:cs="Arial" w:eastAsia="Arial" w:hAnsi="Arial"/>
          <w:b/>
          <w:bCs/>
          <w:color w:val="333333"/>
          <w:sz w:val="21"/>
          <w:szCs w:val="21"/>
        </w:rPr>
        <w:t xml:space="preserve">Attach Tenant: </w:t>
      </w:r>
      <w:r>
        <w:rPr>
          <w:rFonts w:ascii="Arial" w:cs="Arial" w:eastAsia="Arial" w:hAnsi="Arial"/>
          <w:color w:val="333333"/>
          <w:sz w:val="21"/>
          <w:szCs w:val="21"/>
        </w:rPr>
        <w:t xml:space="preserve">Tapping + Attach Tenant opens a search overlay filtering by address or name. Selecting a tenant pins their profile to the current terminal slot.</w:t>
      </w:r>
    </w:p>
    <w:p>
      <w:pPr>
        <w:pStyle w:val="ListParagraph"/>
        <w:numPr>
          <w:ilvl w:val="0"/>
          <w:numId w:val="3"/>
        </w:numPr>
        <w:spacing w:after="80" w:line="276"/>
      </w:pPr>
      <w:r>
        <w:rPr>
          <w:rFonts w:ascii="Arial" w:cs="Arial" w:eastAsia="Arial" w:hAnsi="Arial"/>
          <w:b/>
          <w:bCs/>
          <w:color w:val="333333"/>
          <w:sz w:val="21"/>
          <w:szCs w:val="21"/>
        </w:rPr>
        <w:t xml:space="preserve">Select Channel: </w:t>
      </w:r>
      <w:r>
        <w:rPr>
          <w:rFonts w:ascii="Arial" w:cs="Arial" w:eastAsia="Arial" w:hAnsi="Arial"/>
          <w:color w:val="333333"/>
          <w:sz w:val="21"/>
          <w:szCs w:val="21"/>
        </w:rPr>
        <w:t xml:space="preserve">Horizontal pill selector for SMS or Email, overriding the default for this specific send.</w:t>
      </w:r>
    </w:p>
    <w:p>
      <w:pPr>
        <w:pStyle w:val="ListParagraph"/>
        <w:numPr>
          <w:ilvl w:val="0"/>
          <w:numId w:val="3"/>
        </w:numPr>
        <w:spacing w:after="80" w:line="276"/>
      </w:pPr>
      <w:r>
        <w:rPr>
          <w:rFonts w:ascii="Arial" w:cs="Arial" w:eastAsia="Arial" w:hAnsi="Arial"/>
          <w:b/>
          <w:bCs/>
          <w:color w:val="333333"/>
          <w:sz w:val="21"/>
          <w:szCs w:val="21"/>
        </w:rPr>
        <w:t xml:space="preserve">Set Due Date: </w:t>
      </w:r>
      <w:r>
        <w:rPr>
          <w:rFonts w:ascii="Arial" w:cs="Arial" w:eastAsia="Arial" w:hAnsi="Arial"/>
          <w:color w:val="333333"/>
          <w:sz w:val="21"/>
          <w:szCs w:val="21"/>
        </w:rPr>
        <w:t xml:space="preserve">Quick-select pills (Due on Receipt, +7 Days, +14 Days) or custom calendar input. Default: +7 Days.</w:t>
      </w:r>
    </w:p>
    <w:p>
      <w:pPr>
        <w:pStyle w:val="ListParagraph"/>
        <w:numPr>
          <w:ilvl w:val="0"/>
          <w:numId w:val="3"/>
        </w:numPr>
        <w:spacing w:after="80" w:line="276"/>
      </w:pPr>
      <w:r>
        <w:rPr>
          <w:rFonts w:ascii="Arial" w:cs="Arial" w:eastAsia="Arial" w:hAnsi="Arial"/>
          <w:b/>
          <w:bCs/>
          <w:color w:val="333333"/>
          <w:sz w:val="21"/>
          <w:szCs w:val="21"/>
        </w:rPr>
        <w:t xml:space="preserve">Confirm &amp; Send: </w:t>
      </w:r>
      <w:r>
        <w:rPr>
          <w:rFonts w:ascii="Arial" w:cs="Arial" w:eastAsia="Arial" w:hAnsi="Arial"/>
          <w:color w:val="333333"/>
          <w:sz w:val="21"/>
          <w:szCs w:val="21"/>
        </w:rPr>
        <w:t xml:space="preserve">Clears the terminal for the next property and pushes the transaction into the Active Stack.</w:t>
      </w:r>
    </w:p>
    <w:p>
      <w:pPr>
        <w:spacing w:after="60"/>
      </w:pPr>
    </w:p>
    <w:p>
      <w:pPr>
        <w:pStyle w:val="Heading2"/>
        <w:spacing w:after="150" w:before="300"/>
      </w:pPr>
      <w:r>
        <w:rPr>
          <w:rFonts w:ascii="Arial" w:cs="Arial" w:eastAsia="Arial" w:hAnsi="Arial"/>
          <w:b/>
          <w:bCs/>
          <w:color w:val="0F3460"/>
          <w:sz w:val="26"/>
          <w:szCs w:val="26"/>
        </w:rPr>
        <w:t xml:space="preserve">5.3 Active Stack</w:t>
      </w:r>
    </w:p>
    <w:p>
      <w:pPr>
        <w:spacing w:after="120" w:line="276"/>
      </w:pPr>
      <w:r>
        <w:rPr>
          <w:rFonts w:ascii="Arial" w:cs="Arial" w:eastAsia="Arial" w:hAnsi="Arial"/>
          <w:color w:val="333333"/>
          <w:sz w:val="21"/>
          <w:szCs w:val="21"/>
        </w:rPr>
        <w:t xml:space="preserve">A real-time ledger component at the terminal footer showing transactions processed during the current session.</w:t>
      </w:r>
    </w:p>
    <w:p>
      <w:pPr>
        <w:pStyle w:val="ListParagraph"/>
        <w:numPr>
          <w:ilvl w:val="0"/>
          <w:numId w:val="2"/>
        </w:numPr>
        <w:spacing w:after="80" w:line="276"/>
      </w:pPr>
      <w:r>
        <w:rPr>
          <w:rFonts w:ascii="Arial" w:cs="Arial" w:eastAsia="Arial" w:hAnsi="Arial"/>
          <w:b/>
          <w:bCs/>
          <w:color w:val="333333"/>
          <w:sz w:val="21"/>
          <w:szCs w:val="21"/>
        </w:rPr>
        <w:t xml:space="preserve">Row fields: </w:t>
      </w:r>
      <w:r>
        <w:rPr>
          <w:rFonts w:ascii="Arial" w:cs="Arial" w:eastAsia="Arial" w:hAnsi="Arial"/>
          <w:color w:val="333333"/>
          <w:sz w:val="21"/>
          <w:szCs w:val="21"/>
        </w:rPr>
        <w:t xml:space="preserve">Property Address, Tenant Name, Amount, Delivery Route Icon, Live Status Tag.</w:t>
      </w:r>
    </w:p>
    <w:p>
      <w:pPr>
        <w:pStyle w:val="ListParagraph"/>
        <w:numPr>
          <w:ilvl w:val="0"/>
          <w:numId w:val="2"/>
        </w:numPr>
        <w:spacing w:after="80" w:line="276"/>
      </w:pPr>
      <w:r>
        <w:rPr>
          <w:rFonts w:ascii="Arial" w:cs="Arial" w:eastAsia="Arial" w:hAnsi="Arial"/>
          <w:b/>
          <w:bCs/>
          <w:color w:val="333333"/>
          <w:sz w:val="21"/>
          <w:szCs w:val="21"/>
        </w:rPr>
        <w:t xml:space="preserve">Status states: </w:t>
      </w:r>
      <w:r>
        <w:rPr>
          <w:rFonts w:ascii="Arial" w:cs="Arial" w:eastAsia="Arial" w:hAnsi="Arial"/>
          <w:color w:val="333333"/>
          <w:sz w:val="21"/>
          <w:szCs w:val="21"/>
        </w:rPr>
        <w:t xml:space="preserve">Sending... → Sent/Delivered → Paid (flips green on wallet authorization).</w:t>
      </w:r>
    </w:p>
    <w:p>
      <w:pPr>
        <w:spacing w:after="60"/>
      </w:pPr>
    </w:p>
    <w:p>
      <w:pPr>
        <w:pStyle w:val="Heading2"/>
        <w:spacing w:after="150" w:before="300"/>
      </w:pPr>
      <w:r>
        <w:rPr>
          <w:rFonts w:ascii="Arial" w:cs="Arial" w:eastAsia="Arial" w:hAnsi="Arial"/>
          <w:b/>
          <w:bCs/>
          <w:color w:val="0F3460"/>
          <w:sz w:val="26"/>
          <w:szCs w:val="26"/>
        </w:rPr>
        <w:t xml:space="preserve">5.4 Analytics Dashboard</w:t>
      </w:r>
    </w:p>
    <w:p>
      <w:pPr>
        <w:spacing w:after="120" w:line="276"/>
      </w:pPr>
      <w:r>
        <w:rPr>
          <w:rFonts w:ascii="Arial" w:cs="Arial" w:eastAsia="Arial" w:hAnsi="Arial"/>
          <w:color w:val="333333"/>
          <w:sz w:val="21"/>
          <w:szCs w:val="21"/>
        </w:rPr>
        <w:t xml:space="preserve">When a merchant is configured for the Property Management vertical, all retail widgets are replaced with four KPI blocks and an operational data grid.</w:t>
      </w:r>
    </w:p>
    <w:p>
      <w:pPr>
        <w:spacing w:after="60"/>
      </w:pPr>
    </w:p>
    <w:p>
      <w:pPr>
        <w:spacing w:after="100" w:before="200"/>
      </w:pPr>
      <w:r>
        <w:rPr>
          <w:rFonts w:ascii="Arial" w:cs="Arial" w:eastAsia="Arial" w:hAnsi="Arial"/>
          <w:b/>
          <w:bCs/>
          <w:color w:val="0F3460"/>
          <w:sz w:val="22"/>
          <w:szCs w:val="22"/>
        </w:rPr>
        <w:t xml:space="preserve">KPI Blocks</w:t>
      </w:r>
    </w:p>
    <w:p>
      <w:pPr>
        <w:pStyle w:val="ListParagraph"/>
        <w:numPr>
          <w:ilvl w:val="0"/>
          <w:numId w:val="2"/>
        </w:numPr>
        <w:spacing w:after="80" w:line="276"/>
      </w:pPr>
      <w:r>
        <w:rPr>
          <w:rFonts w:ascii="Arial" w:cs="Arial" w:eastAsia="Arial" w:hAnsi="Arial"/>
          <w:b/>
          <w:bCs/>
          <w:color w:val="333333"/>
          <w:sz w:val="21"/>
          <w:szCs w:val="21"/>
        </w:rPr>
        <w:t xml:space="preserve">Total Revenue: </w:t>
      </w:r>
      <w:r>
        <w:rPr>
          <w:rFonts w:ascii="Arial" w:cs="Arial" w:eastAsia="Arial" w:hAnsi="Arial"/>
          <w:color w:val="333333"/>
          <w:sz w:val="21"/>
          <w:szCs w:val="21"/>
        </w:rPr>
        <w:t xml:space="preserve">Aggregated sum of all settled rent payments in the selected calendar view.</w:t>
      </w:r>
    </w:p>
    <w:p>
      <w:pPr>
        <w:pStyle w:val="ListParagraph"/>
        <w:numPr>
          <w:ilvl w:val="0"/>
          <w:numId w:val="2"/>
        </w:numPr>
        <w:spacing w:after="80" w:line="276"/>
      </w:pPr>
      <w:r>
        <w:rPr>
          <w:rFonts w:ascii="Arial" w:cs="Arial" w:eastAsia="Arial" w:hAnsi="Arial"/>
          <w:b/>
          <w:bCs/>
          <w:color w:val="333333"/>
          <w:sz w:val="21"/>
          <w:szCs w:val="21"/>
        </w:rPr>
        <w:t xml:space="preserve">Total Payments Sent: </w:t>
      </w:r>
      <w:r>
        <w:rPr>
          <w:rFonts w:ascii="Arial" w:cs="Arial" w:eastAsia="Arial" w:hAnsi="Arial"/>
          <w:color w:val="333333"/>
          <w:sz w:val="21"/>
          <w:szCs w:val="21"/>
        </w:rPr>
        <w:t xml:space="preserve">Count and volume of invoices awaiting payment.</w:t>
      </w:r>
    </w:p>
    <w:p>
      <w:pPr>
        <w:pStyle w:val="ListParagraph"/>
        <w:numPr>
          <w:ilvl w:val="0"/>
          <w:numId w:val="2"/>
        </w:numPr>
        <w:spacing w:after="80" w:line="276"/>
      </w:pPr>
      <w:r>
        <w:rPr>
          <w:rFonts w:ascii="Arial" w:cs="Arial" w:eastAsia="Arial" w:hAnsi="Arial"/>
          <w:b/>
          <w:bCs/>
          <w:color w:val="333333"/>
          <w:sz w:val="21"/>
          <w:szCs w:val="21"/>
        </w:rPr>
        <w:t xml:space="preserve">Total Payments Paid: </w:t>
      </w:r>
      <w:r>
        <w:rPr>
          <w:rFonts w:ascii="Arial" w:cs="Arial" w:eastAsia="Arial" w:hAnsi="Arial"/>
          <w:color w:val="333333"/>
          <w:sz w:val="21"/>
          <w:szCs w:val="21"/>
        </w:rPr>
        <w:t xml:space="preserve">Count of completed, verified transactions.</w:t>
      </w:r>
    </w:p>
    <w:p>
      <w:pPr>
        <w:pStyle w:val="ListParagraph"/>
        <w:numPr>
          <w:ilvl w:val="0"/>
          <w:numId w:val="2"/>
        </w:numPr>
        <w:spacing w:after="80" w:line="276"/>
      </w:pPr>
      <w:r>
        <w:rPr>
          <w:rFonts w:ascii="Arial" w:cs="Arial" w:eastAsia="Arial" w:hAnsi="Arial"/>
          <w:b/>
          <w:bCs/>
          <w:color w:val="333333"/>
          <w:sz w:val="21"/>
          <w:szCs w:val="21"/>
        </w:rPr>
        <w:t xml:space="preserve">Total Payments Overdue: </w:t>
      </w:r>
      <w:r>
        <w:rPr>
          <w:rFonts w:ascii="Arial" w:cs="Arial" w:eastAsia="Arial" w:hAnsi="Arial"/>
          <w:color w:val="333333"/>
          <w:sz w:val="21"/>
          <w:szCs w:val="21"/>
        </w:rPr>
        <w:t xml:space="preserve">Volume of outstanding balances past due.</w:t>
      </w:r>
    </w:p>
    <w:p>
      <w:pPr>
        <w:spacing w:after="60"/>
      </w:pPr>
    </w:p>
    <w:p>
      <w:pPr>
        <w:spacing w:after="100" w:before="200"/>
      </w:pPr>
      <w:r>
        <w:rPr>
          <w:rFonts w:ascii="Arial" w:cs="Arial" w:eastAsia="Arial" w:hAnsi="Arial"/>
          <w:b/>
          <w:bCs/>
          <w:color w:val="0F3460"/>
          <w:sz w:val="22"/>
          <w:szCs w:val="22"/>
        </w:rPr>
        <w:t xml:space="preserve">Record Tracking Rows</w:t>
      </w:r>
    </w:p>
    <w:p>
      <w:pPr>
        <w:spacing w:after="120" w:line="276"/>
      </w:pPr>
      <w:r>
        <w:rPr>
          <w:rFonts w:ascii="Arial" w:cs="Arial" w:eastAsia="Arial" w:hAnsi="Arial"/>
          <w:color w:val="333333"/>
          <w:sz w:val="21"/>
          <w:szCs w:val="21"/>
        </w:rPr>
        <w:t xml:space="preserve">A flat data table below the KPIs showing all properties: Address, Tenant Name, Amount, Last Paid Date, Overdue Status, and a Send Reminder action button on overdue rows.</w:t>
      </w:r>
    </w:p>
    <w:p>
      <w:pPr>
        <w:spacing w:after="60"/>
      </w:pPr>
    </w:p>
    <w:p>
      <w:pPr>
        <w:pStyle w:val="Heading2"/>
        <w:spacing w:after="150" w:before="300"/>
      </w:pPr>
      <w:r>
        <w:rPr>
          <w:rFonts w:ascii="Arial" w:cs="Arial" w:eastAsia="Arial" w:hAnsi="Arial"/>
          <w:b/>
          <w:bCs/>
          <w:color w:val="0F3460"/>
          <w:sz w:val="26"/>
          <w:szCs w:val="26"/>
        </w:rPr>
        <w:t xml:space="preserve">5.5 Empty State &amp; Onboarding</w:t>
      </w:r>
    </w:p>
    <w:p>
      <w:pPr>
        <w:spacing w:after="120" w:line="276"/>
      </w:pPr>
      <w:r>
        <w:rPr>
          <w:rFonts w:ascii="Arial" w:cs="Arial" w:eastAsia="Arial" w:hAnsi="Arial"/>
          <w:color w:val="333333"/>
          <w:sz w:val="21"/>
          <w:szCs w:val="21"/>
        </w:rPr>
        <w:t xml:space="preserve">New accounts with no tenants see a conversion-oriented layout with zero-balance KPI blocks showing instructional text (e.g., "Awaiting active tenant billing streams"), a central CTA button to Add Your First Tenant Profile, and a downloadable CSV import template for bulk onboarding from PropertyMe, Palace, or similar systems.</w:t>
      </w:r>
    </w:p>
    <w:p>
      <w:r>
        <w:br/>
      </w:r>
    </w:p>
    <w:p>
      <w:pPr>
        <w:pStyle w:val="Heading1"/>
        <w:spacing w:after="200" w:before="400"/>
      </w:pPr>
      <w:r>
        <w:rPr>
          <w:rFonts w:ascii="Arial" w:cs="Arial" w:eastAsia="Arial" w:hAnsi="Arial"/>
          <w:b/>
          <w:bCs/>
          <w:color w:val="1A1A2E"/>
          <w:sz w:val="32"/>
          <w:szCs w:val="32"/>
        </w:rPr>
        <w:t xml:space="preserve">6. Guest Checkout &amp; Payment Framework</w:t>
      </w:r>
    </w:p>
    <w:p>
      <w:pPr>
        <w:pStyle w:val="Heading2"/>
        <w:spacing w:after="150" w:before="300"/>
      </w:pPr>
      <w:r>
        <w:rPr>
          <w:rFonts w:ascii="Arial" w:cs="Arial" w:eastAsia="Arial" w:hAnsi="Arial"/>
          <w:b/>
          <w:bCs/>
          <w:color w:val="0F3460"/>
          <w:sz w:val="26"/>
          <w:szCs w:val="26"/>
        </w:rPr>
        <w:t xml:space="preserve">6.1 Frictionless Tenant Experience</w:t>
      </w:r>
    </w:p>
    <w:p>
      <w:pPr>
        <w:spacing w:after="120" w:line="276"/>
      </w:pPr>
      <w:r>
        <w:rPr>
          <w:rFonts w:ascii="Arial" w:cs="Arial" w:eastAsia="Arial" w:hAnsi="Arial"/>
          <w:color w:val="333333"/>
          <w:sz w:val="21"/>
          <w:szCs w:val="21"/>
        </w:rPr>
        <w:t xml:space="preserve">Tenants do not sign up, create passwords, download apps, or log in. Clicking the payment link opens a minimalist, mobile-optimized web application.</w:t>
      </w:r>
    </w:p>
    <w:p>
      <w:pPr>
        <w:spacing w:after="60"/>
      </w:pPr>
    </w:p>
    <w:p>
      <w:pPr>
        <w:pStyle w:val="ListParagraph"/>
        <w:numPr>
          <w:ilvl w:val="0"/>
          <w:numId w:val="2"/>
        </w:numPr>
        <w:spacing w:after="80" w:line="276"/>
      </w:pPr>
      <w:r>
        <w:rPr>
          <w:rFonts w:ascii="Arial" w:cs="Arial" w:eastAsia="Arial" w:hAnsi="Arial"/>
          <w:b/>
          <w:bCs/>
          <w:color w:val="333333"/>
          <w:sz w:val="21"/>
          <w:szCs w:val="21"/>
        </w:rPr>
        <w:t xml:space="preserve">Rental Summary: </w:t>
      </w:r>
      <w:r>
        <w:rPr>
          <w:rFonts w:ascii="Arial" w:cs="Arial" w:eastAsia="Arial" w:hAnsi="Arial"/>
          <w:color w:val="333333"/>
          <w:sz w:val="21"/>
          <w:szCs w:val="21"/>
        </w:rPr>
        <w:t xml:space="preserve">Top of checkout displays landlord trading name, property address, tenant names, and rent amount due.</w:t>
      </w:r>
    </w:p>
    <w:p>
      <w:pPr>
        <w:pStyle w:val="ListParagraph"/>
        <w:numPr>
          <w:ilvl w:val="0"/>
          <w:numId w:val="2"/>
        </w:numPr>
        <w:spacing w:after="80" w:line="276"/>
      </w:pPr>
      <w:r>
        <w:rPr>
          <w:rFonts w:ascii="Arial" w:cs="Arial" w:eastAsia="Arial" w:hAnsi="Arial"/>
          <w:b/>
          <w:bCs/>
          <w:color w:val="333333"/>
          <w:sz w:val="21"/>
          <w:szCs w:val="21"/>
        </w:rPr>
        <w:t xml:space="preserve">Wallet Detection: </w:t>
      </w:r>
      <w:r>
        <w:rPr>
          <w:rFonts w:ascii="Arial" w:cs="Arial" w:eastAsia="Arial" w:hAnsi="Arial"/>
          <w:color w:val="333333"/>
          <w:sz w:val="21"/>
          <w:szCs w:val="21"/>
        </w:rPr>
        <w:t xml:space="preserve">iOS/macOS devices surface Apple Pay at the top; Android/Chrome devices surface Google Pay. A standard card input field sits below as fallback.</w:t>
      </w:r>
    </w:p>
    <w:p>
      <w:pPr>
        <w:pStyle w:val="ListParagraph"/>
        <w:numPr>
          <w:ilvl w:val="0"/>
          <w:numId w:val="2"/>
        </w:numPr>
        <w:spacing w:after="80" w:line="276"/>
      </w:pPr>
      <w:r>
        <w:rPr>
          <w:rFonts w:ascii="Arial" w:cs="Arial" w:eastAsia="Arial" w:hAnsi="Arial"/>
          <w:b/>
          <w:bCs/>
          <w:color w:val="333333"/>
          <w:sz w:val="21"/>
          <w:szCs w:val="21"/>
        </w:rPr>
        <w:t xml:space="preserve">One-Tap Payment: </w:t>
      </w:r>
      <w:r>
        <w:rPr>
          <w:rFonts w:ascii="Arial" w:cs="Arial" w:eastAsia="Arial" w:hAnsi="Arial"/>
          <w:color w:val="333333"/>
          <w:sz w:val="21"/>
          <w:szCs w:val="21"/>
        </w:rPr>
        <w:t xml:space="preserve">Tenant taps the wallet button, completes biometric verification (FaceID/TouchID), and the transaction clears instantly.</w:t>
      </w:r>
    </w:p>
    <w:p>
      <w:pPr>
        <w:spacing w:after="60"/>
      </w:pPr>
    </w:p>
    <w:p>
      <w:pPr>
        <w:pStyle w:val="Heading2"/>
        <w:spacing w:after="150" w:before="300"/>
      </w:pPr>
      <w:r>
        <w:rPr>
          <w:rFonts w:ascii="Arial" w:cs="Arial" w:eastAsia="Arial" w:hAnsi="Arial"/>
          <w:b/>
          <w:bCs/>
          <w:color w:val="0F3460"/>
          <w:sz w:val="26"/>
          <w:szCs w:val="26"/>
        </w:rPr>
        <w:t xml:space="preserve">6.2 Post-Authorization Flow</w:t>
      </w:r>
    </w:p>
    <w:p>
      <w:pPr>
        <w:pStyle w:val="ListParagraph"/>
        <w:numPr>
          <w:ilvl w:val="0"/>
          <w:numId w:val="3"/>
        </w:numPr>
        <w:spacing w:after="80" w:line="276"/>
      </w:pPr>
      <w:r>
        <w:rPr>
          <w:rFonts w:ascii="Arial" w:cs="Arial" w:eastAsia="Arial" w:hAnsi="Arial"/>
          <w:color w:val="333333"/>
          <w:sz w:val="21"/>
          <w:szCs w:val="21"/>
        </w:rPr>
        <w:t xml:space="preserve">Checkout interface displays a green success animation.</w:t>
      </w:r>
    </w:p>
    <w:p>
      <w:pPr>
        <w:pStyle w:val="ListParagraph"/>
        <w:numPr>
          <w:ilvl w:val="0"/>
          <w:numId w:val="3"/>
        </w:numPr>
        <w:spacing w:after="80" w:line="276"/>
      </w:pPr>
      <w:r>
        <w:rPr>
          <w:rFonts w:ascii="Arial" w:cs="Arial" w:eastAsia="Arial" w:hAnsi="Arial"/>
          <w:color w:val="333333"/>
          <w:sz w:val="21"/>
          <w:szCs w:val="21"/>
        </w:rPr>
        <w:t xml:space="preserve">Backend fires automated email with structured PDF receipt (property address, tenant names, amount, transaction ID).</w:t>
      </w:r>
    </w:p>
    <w:p>
      <w:pPr>
        <w:pStyle w:val="ListParagraph"/>
        <w:numPr>
          <w:ilvl w:val="0"/>
          <w:numId w:val="3"/>
        </w:numPr>
        <w:spacing w:after="80" w:line="276"/>
      </w:pPr>
      <w:r>
        <w:rPr>
          <w:rFonts w:ascii="Arial" w:cs="Arial" w:eastAsia="Arial" w:hAnsi="Arial"/>
          <w:color w:val="333333"/>
          <w:sz w:val="21"/>
          <w:szCs w:val="21"/>
        </w:rPr>
        <w:t xml:space="preserve">Landlord's Active Stack and Analytics dashboard flip corresponding records to Paid in real time via websocket.</w:t>
      </w:r>
    </w:p>
    <w:p>
      <w:pPr>
        <w:spacing w:after="60"/>
      </w:pPr>
    </w:p>
    <w:p>
      <w:pPr>
        <w:pStyle w:val="Heading2"/>
        <w:spacing w:after="150" w:before="300"/>
      </w:pPr>
      <w:r>
        <w:rPr>
          <w:rFonts w:ascii="Arial" w:cs="Arial" w:eastAsia="Arial" w:hAnsi="Arial"/>
          <w:b/>
          <w:bCs/>
          <w:color w:val="0F3460"/>
          <w:sz w:val="26"/>
          <w:szCs w:val="26"/>
        </w:rPr>
        <w:t xml:space="preserve">6.3 Payment Failure Handling</w:t>
      </w:r>
    </w:p>
    <w:p>
      <w:pPr>
        <w:pStyle w:val="ListParagraph"/>
        <w:numPr>
          <w:ilvl w:val="0"/>
          <w:numId w:val="2"/>
        </w:numPr>
        <w:spacing w:after="80" w:line="276"/>
      </w:pPr>
      <w:r>
        <w:rPr>
          <w:rFonts w:ascii="Arial" w:cs="Arial" w:eastAsia="Arial" w:hAnsi="Arial"/>
          <w:b/>
          <w:bCs/>
          <w:color w:val="333333"/>
          <w:sz w:val="21"/>
          <w:szCs w:val="21"/>
        </w:rPr>
        <w:t xml:space="preserve">Tenant side: </w:t>
      </w:r>
      <w:r>
        <w:rPr>
          <w:rFonts w:ascii="Arial" w:cs="Arial" w:eastAsia="Arial" w:hAnsi="Arial"/>
          <w:color w:val="333333"/>
          <w:sz w:val="21"/>
          <w:szCs w:val="21"/>
        </w:rPr>
        <w:t xml:space="preserve">Contextual error toast above the wallet area with explicit reason (e.g., "Declined: Insufficient Funds"). Payment layout returns to active state for retry.</w:t>
      </w:r>
    </w:p>
    <w:p>
      <w:pPr>
        <w:pStyle w:val="ListParagraph"/>
        <w:numPr>
          <w:ilvl w:val="0"/>
          <w:numId w:val="2"/>
        </w:numPr>
        <w:spacing w:after="80" w:line="276"/>
      </w:pPr>
      <w:r>
        <w:rPr>
          <w:rFonts w:ascii="Arial" w:cs="Arial" w:eastAsia="Arial" w:hAnsi="Arial"/>
          <w:b/>
          <w:bCs/>
          <w:color w:val="333333"/>
          <w:sz w:val="21"/>
          <w:szCs w:val="21"/>
        </w:rPr>
        <w:t xml:space="preserve">Landlord side: </w:t>
      </w:r>
      <w:r>
        <w:rPr>
          <w:rFonts w:ascii="Arial" w:cs="Arial" w:eastAsia="Arial" w:hAnsi="Arial"/>
          <w:color w:val="333333"/>
          <w:sz w:val="21"/>
          <w:szCs w:val="21"/>
        </w:rPr>
        <w:t xml:space="preserve">Payment_Declined event logged to Transaction_Events, visible instantly on the profile timeline.</w:t>
      </w:r>
    </w:p>
    <w:p>
      <w:pPr>
        <w:spacing w:after="60"/>
      </w:pPr>
    </w:p>
    <w:p>
      <w:pPr>
        <w:pStyle w:val="Heading2"/>
        <w:spacing w:after="150" w:before="300"/>
      </w:pPr>
      <w:r>
        <w:rPr>
          <w:rFonts w:ascii="Arial" w:cs="Arial" w:eastAsia="Arial" w:hAnsi="Arial"/>
          <w:b/>
          <w:bCs/>
          <w:color w:val="0F3460"/>
          <w:sz w:val="26"/>
          <w:szCs w:val="26"/>
        </w:rPr>
        <w:t xml:space="preserve">6.4 Rate Limiting</w:t>
      </w:r>
    </w:p>
    <w:p>
      <w:pPr>
        <w:spacing w:after="120" w:line="276"/>
      </w:pPr>
      <w:r>
        <w:rPr>
          <w:rFonts w:ascii="Arial" w:cs="Arial" w:eastAsia="Arial" w:hAnsi="Arial"/>
          <w:color w:val="333333"/>
          <w:sz w:val="21"/>
          <w:szCs w:val="21"/>
        </w:rPr>
        <w:t xml:space="preserve">The /checkout/pay endpoint enforces a maximum of 10 authentication requests per minute per unique invoice token. Exceeding this triggers a 429 Too Many Requests response, protecting against card-testing bots.</w:t>
      </w:r>
    </w:p>
    <w:p>
      <w:r>
        <w:br/>
      </w:r>
    </w:p>
    <w:p>
      <w:pPr>
        <w:pStyle w:val="Heading1"/>
        <w:spacing w:after="200" w:before="400"/>
      </w:pPr>
      <w:r>
        <w:rPr>
          <w:rFonts w:ascii="Arial" w:cs="Arial" w:eastAsia="Arial" w:hAnsi="Arial"/>
          <w:b/>
          <w:bCs/>
          <w:color w:val="1A1A2E"/>
          <w:sz w:val="32"/>
          <w:szCs w:val="32"/>
        </w:rPr>
        <w:t xml:space="preserve">7. Webhook Architecture</w:t>
      </w:r>
    </w:p>
    <w:p>
      <w:pPr>
        <w:pStyle w:val="Heading2"/>
        <w:spacing w:after="150" w:before="300"/>
      </w:pPr>
      <w:r>
        <w:rPr>
          <w:rFonts w:ascii="Arial" w:cs="Arial" w:eastAsia="Arial" w:hAnsi="Arial"/>
          <w:b/>
          <w:bCs/>
          <w:color w:val="0F3460"/>
          <w:sz w:val="26"/>
          <w:szCs w:val="26"/>
        </w:rPr>
        <w:t xml:space="preserve">7.1 Inbound Payment Webhook Flow</w:t>
      </w:r>
    </w:p>
    <w:p>
      <w:pPr>
        <w:pStyle w:val="ListParagraph"/>
        <w:numPr>
          <w:ilvl w:val="0"/>
          <w:numId w:val="3"/>
        </w:numPr>
        <w:spacing w:after="80" w:line="276"/>
      </w:pPr>
      <w:r>
        <w:rPr>
          <w:rFonts w:ascii="Arial" w:cs="Arial" w:eastAsia="Arial" w:hAnsi="Arial"/>
          <w:b/>
          <w:bCs/>
          <w:color w:val="333333"/>
          <w:sz w:val="21"/>
          <w:szCs w:val="21"/>
        </w:rPr>
        <w:t xml:space="preserve">Signature Verification: </w:t>
      </w:r>
      <w:r>
        <w:rPr>
          <w:rFonts w:ascii="Arial" w:cs="Arial" w:eastAsia="Arial" w:hAnsi="Arial"/>
          <w:color w:val="333333"/>
          <w:sz w:val="21"/>
          <w:szCs w:val="21"/>
        </w:rPr>
        <w:t xml:space="preserve">Incoming webhook request headers are matched against verified cryptographic tokens to prevent payload spoofing.</w:t>
      </w:r>
    </w:p>
    <w:p>
      <w:pPr>
        <w:pStyle w:val="ListParagraph"/>
        <w:numPr>
          <w:ilvl w:val="0"/>
          <w:numId w:val="3"/>
        </w:numPr>
        <w:spacing w:after="80" w:line="276"/>
      </w:pPr>
      <w:r>
        <w:rPr>
          <w:rFonts w:ascii="Arial" w:cs="Arial" w:eastAsia="Arial" w:hAnsi="Arial"/>
          <w:b/>
          <w:bCs/>
          <w:color w:val="333333"/>
          <w:sz w:val="21"/>
          <w:szCs w:val="21"/>
        </w:rPr>
        <w:t xml:space="preserve">Async Queue: </w:t>
      </w:r>
      <w:r>
        <w:rPr>
          <w:rFonts w:ascii="Arial" w:cs="Arial" w:eastAsia="Arial" w:hAnsi="Arial"/>
          <w:color w:val="333333"/>
          <w:sz w:val="21"/>
          <w:szCs w:val="21"/>
        </w:rPr>
        <w:t xml:space="preserve">Validated payload is pushed to a persistent message queue. Server immediately returns 200 OK to the gateway.</w:t>
      </w:r>
    </w:p>
    <w:p>
      <w:pPr>
        <w:pStyle w:val="ListParagraph"/>
        <w:numPr>
          <w:ilvl w:val="0"/>
          <w:numId w:val="3"/>
        </w:numPr>
        <w:spacing w:after="80" w:line="276"/>
      </w:pPr>
      <w:r>
        <w:rPr>
          <w:rFonts w:ascii="Arial" w:cs="Arial" w:eastAsia="Arial" w:hAnsi="Arial"/>
          <w:b/>
          <w:bCs/>
          <w:color w:val="333333"/>
          <w:sz w:val="21"/>
          <w:szCs w:val="21"/>
        </w:rPr>
        <w:t xml:space="preserve">State Transformation: </w:t>
      </w:r>
      <w:r>
        <w:rPr>
          <w:rFonts w:ascii="Arial" w:cs="Arial" w:eastAsia="Arial" w:hAnsi="Arial"/>
          <w:color w:val="333333"/>
          <w:sz w:val="21"/>
          <w:szCs w:val="21"/>
        </w:rPr>
        <w:t xml:space="preserve">Queue worker locates the invoice via secure_token, updates status to Paid, sets paid_at, and inserts a Payment_Success event.</w:t>
      </w:r>
    </w:p>
    <w:p>
      <w:pPr>
        <w:pStyle w:val="ListParagraph"/>
        <w:numPr>
          <w:ilvl w:val="0"/>
          <w:numId w:val="3"/>
        </w:numPr>
        <w:spacing w:after="80" w:line="276"/>
      </w:pPr>
      <w:r>
        <w:rPr>
          <w:rFonts w:ascii="Arial" w:cs="Arial" w:eastAsia="Arial" w:hAnsi="Arial"/>
          <w:b/>
          <w:bCs/>
          <w:color w:val="333333"/>
          <w:sz w:val="21"/>
          <w:szCs w:val="21"/>
        </w:rPr>
        <w:t xml:space="preserve">Downstream Broadcast: </w:t>
      </w:r>
      <w:r>
        <w:rPr>
          <w:rFonts w:ascii="Arial" w:cs="Arial" w:eastAsia="Arial" w:hAnsi="Arial"/>
          <w:color w:val="333333"/>
          <w:sz w:val="21"/>
          <w:szCs w:val="21"/>
        </w:rPr>
        <w:t xml:space="preserve">Success event triggers websocket push to landlord's browser, and initializes PDF receipt generation and tenant email dispatch.</w:t>
      </w:r>
    </w:p>
    <w:p>
      <w:pPr>
        <w:spacing w:after="60"/>
      </w:pPr>
    </w:p>
    <w:p>
      <w:pPr>
        <w:pStyle w:val="Heading2"/>
        <w:spacing w:after="150" w:before="300"/>
      </w:pPr>
      <w:r>
        <w:rPr>
          <w:rFonts w:ascii="Arial" w:cs="Arial" w:eastAsia="Arial" w:hAnsi="Arial"/>
          <w:b/>
          <w:bCs/>
          <w:color w:val="0F3460"/>
          <w:sz w:val="26"/>
          <w:szCs w:val="26"/>
        </w:rPr>
        <w:t xml:space="preserve">7.2 Manual Reconciliation Overrides</w:t>
      </w:r>
    </w:p>
    <w:p>
      <w:pPr>
        <w:pStyle w:val="ListParagraph"/>
        <w:numPr>
          <w:ilvl w:val="0"/>
          <w:numId w:val="2"/>
        </w:numPr>
        <w:spacing w:after="80" w:line="276"/>
      </w:pPr>
      <w:r>
        <w:rPr>
          <w:rFonts w:ascii="Arial" w:cs="Arial" w:eastAsia="Arial" w:hAnsi="Arial"/>
          <w:b/>
          <w:bCs/>
          <w:color w:val="333333"/>
          <w:sz w:val="21"/>
          <w:szCs w:val="21"/>
        </w:rPr>
        <w:t xml:space="preserve">Mark as Paid (External): </w:t>
      </w:r>
      <w:r>
        <w:rPr>
          <w:rFonts w:ascii="Arial" w:cs="Arial" w:eastAsia="Arial" w:hAnsi="Arial"/>
          <w:color w:val="333333"/>
          <w:sz w:val="21"/>
          <w:szCs w:val="21"/>
        </w:rPr>
        <w:t xml:space="preserve">Confirmation modal. Sets invoice to Paid, updates paid_at, adds external payment tag, logs specialized event to timeline.</w:t>
      </w:r>
    </w:p>
    <w:p>
      <w:pPr>
        <w:pStyle w:val="ListParagraph"/>
        <w:numPr>
          <w:ilvl w:val="0"/>
          <w:numId w:val="2"/>
        </w:numPr>
        <w:spacing w:after="80" w:line="276"/>
      </w:pPr>
      <w:r>
        <w:rPr>
          <w:rFonts w:ascii="Arial" w:cs="Arial" w:eastAsia="Arial" w:hAnsi="Arial"/>
          <w:b/>
          <w:bCs/>
          <w:color w:val="333333"/>
          <w:sz w:val="21"/>
          <w:szCs w:val="21"/>
        </w:rPr>
        <w:t xml:space="preserve">Void Invoice: </w:t>
      </w:r>
      <w:r>
        <w:rPr>
          <w:rFonts w:ascii="Arial" w:cs="Arial" w:eastAsia="Arial" w:hAnsi="Arial"/>
          <w:color w:val="333333"/>
          <w:sz w:val="21"/>
          <w:szCs w:val="21"/>
        </w:rPr>
        <w:t xml:space="preserve">Sets status to Voided, removes from overdue KPI calculations, disables the public checkout link.</w:t>
      </w:r>
    </w:p>
    <w:p>
      <w:r>
        <w:br/>
      </w:r>
    </w:p>
    <w:p>
      <w:pPr>
        <w:pStyle w:val="Heading1"/>
        <w:spacing w:after="200" w:before="400"/>
      </w:pPr>
      <w:r>
        <w:rPr>
          <w:rFonts w:ascii="Arial" w:cs="Arial" w:eastAsia="Arial" w:hAnsi="Arial"/>
          <w:b/>
          <w:bCs/>
          <w:color w:val="1A1A2E"/>
          <w:sz w:val="32"/>
          <w:szCs w:val="32"/>
        </w:rPr>
        <w:t xml:space="preserve">8. SMS &amp; Notification Infrastructure</w:t>
      </w:r>
    </w:p>
    <w:p>
      <w:pPr>
        <w:pStyle w:val="Heading2"/>
        <w:spacing w:after="150" w:before="300"/>
      </w:pPr>
      <w:r>
        <w:rPr>
          <w:rFonts w:ascii="Arial" w:cs="Arial" w:eastAsia="Arial" w:hAnsi="Arial"/>
          <w:b/>
          <w:bCs/>
          <w:color w:val="0F3460"/>
          <w:sz w:val="26"/>
          <w:szCs w:val="26"/>
        </w:rPr>
        <w:t xml:space="preserve">8.1 SMS Delivery</w:t>
      </w:r>
    </w:p>
    <w:p>
      <w:pPr>
        <w:pStyle w:val="ListParagraph"/>
        <w:numPr>
          <w:ilvl w:val="0"/>
          <w:numId w:val="2"/>
        </w:numPr>
        <w:spacing w:after="80" w:line="276"/>
      </w:pPr>
      <w:r>
        <w:rPr>
          <w:rFonts w:ascii="Arial" w:cs="Arial" w:eastAsia="Arial" w:hAnsi="Arial"/>
          <w:color w:val="333333"/>
          <w:sz w:val="21"/>
          <w:szCs w:val="21"/>
        </w:rPr>
        <w:t xml:space="preserve">Outbound via high-volume local telecom gateways with pre-registered alphanumeric sender ID or dedicated transactional shortcode.</w:t>
      </w:r>
    </w:p>
    <w:p>
      <w:pPr>
        <w:pStyle w:val="ListParagraph"/>
        <w:numPr>
          <w:ilvl w:val="0"/>
          <w:numId w:val="2"/>
        </w:numPr>
        <w:spacing w:after="80" w:line="276"/>
      </w:pPr>
      <w:r>
        <w:rPr>
          <w:rFonts w:ascii="Arial" w:cs="Arial" w:eastAsia="Arial" w:hAnsi="Arial"/>
          <w:color w:val="333333"/>
          <w:sz w:val="21"/>
          <w:szCs w:val="21"/>
        </w:rPr>
        <w:t xml:space="preserve">Message displays under verified business name (e.g., "TaptPay").</w:t>
      </w:r>
    </w:p>
    <w:p>
      <w:pPr>
        <w:pStyle w:val="ListParagraph"/>
        <w:numPr>
          <w:ilvl w:val="0"/>
          <w:numId w:val="2"/>
        </w:numPr>
        <w:spacing w:after="80" w:line="276"/>
      </w:pPr>
      <w:r>
        <w:rPr>
          <w:rFonts w:ascii="Arial" w:cs="Arial" w:eastAsia="Arial" w:hAnsi="Arial"/>
          <w:color w:val="333333"/>
          <w:sz w:val="21"/>
          <w:szCs w:val="21"/>
        </w:rPr>
        <w:t xml:space="preserve">Plain-text formatting to avoid spam filter triggering.</w:t>
      </w:r>
    </w:p>
    <w:p>
      <w:pPr>
        <w:pStyle w:val="ListParagraph"/>
        <w:numPr>
          <w:ilvl w:val="0"/>
          <w:numId w:val="2"/>
        </w:numPr>
        <w:spacing w:after="80" w:line="276"/>
      </w:pPr>
      <w:r>
        <w:rPr>
          <w:rFonts w:ascii="Arial" w:cs="Arial" w:eastAsia="Arial" w:hAnsi="Arial"/>
          <w:b/>
          <w:bCs/>
          <w:color w:val="333333"/>
          <w:sz w:val="21"/>
          <w:szCs w:val="21"/>
        </w:rPr>
        <w:t xml:space="preserve">Template: </w:t>
      </w:r>
      <w:r>
        <w:rPr>
          <w:rFonts w:ascii="Arial" w:cs="Arial" w:eastAsia="Arial" w:hAnsi="Arial"/>
          <w:color w:val="333333"/>
          <w:sz w:val="21"/>
          <w:szCs w:val="21"/>
        </w:rPr>
        <w:t xml:space="preserve">"Hi [First Name], your rent of $[Amount] for [Address] is ready. Pay securely here: [Link]"</w:t>
      </w:r>
    </w:p>
    <w:p>
      <w:pPr>
        <w:spacing w:after="60"/>
      </w:pPr>
    </w:p>
    <w:p>
      <w:pPr>
        <w:pStyle w:val="Heading2"/>
        <w:spacing w:after="150" w:before="300"/>
      </w:pPr>
      <w:r>
        <w:rPr>
          <w:rFonts w:ascii="Arial" w:cs="Arial" w:eastAsia="Arial" w:hAnsi="Arial"/>
          <w:b/>
          <w:bCs/>
          <w:color w:val="0F3460"/>
          <w:sz w:val="26"/>
          <w:szCs w:val="26"/>
        </w:rPr>
        <w:t xml:space="preserve">8.2 Email Delivery</w:t>
      </w:r>
    </w:p>
    <w:p>
      <w:pPr>
        <w:pStyle w:val="ListParagraph"/>
        <w:numPr>
          <w:ilvl w:val="0"/>
          <w:numId w:val="2"/>
        </w:numPr>
        <w:spacing w:after="80" w:line="276"/>
      </w:pPr>
      <w:r>
        <w:rPr>
          <w:rFonts w:ascii="Arial" w:cs="Arial" w:eastAsia="Arial" w:hAnsi="Arial"/>
          <w:color w:val="333333"/>
          <w:sz w:val="21"/>
          <w:szCs w:val="21"/>
        </w:rPr>
        <w:t xml:space="preserve">HTML responsive email via trusted SMTP relay.</w:t>
      </w:r>
    </w:p>
    <w:p>
      <w:pPr>
        <w:pStyle w:val="ListParagraph"/>
        <w:numPr>
          <w:ilvl w:val="0"/>
          <w:numId w:val="2"/>
        </w:numPr>
        <w:spacing w:after="80" w:line="276"/>
      </w:pPr>
      <w:r>
        <w:rPr>
          <w:rFonts w:ascii="Arial" w:cs="Arial" w:eastAsia="Arial" w:hAnsi="Arial"/>
          <w:color w:val="333333"/>
          <w:sz w:val="21"/>
          <w:szCs w:val="21"/>
        </w:rPr>
        <w:t xml:space="preserve">Clean layout: property name, rent period, prominent "Pay Rent Now" CTA button.</w:t>
      </w:r>
    </w:p>
    <w:p>
      <w:pPr>
        <w:pStyle w:val="ListParagraph"/>
        <w:numPr>
          <w:ilvl w:val="0"/>
          <w:numId w:val="2"/>
        </w:numPr>
        <w:spacing w:after="80" w:line="276"/>
      </w:pPr>
      <w:r>
        <w:rPr>
          <w:rFonts w:ascii="Arial" w:cs="Arial" w:eastAsia="Arial" w:hAnsi="Arial"/>
          <w:color w:val="333333"/>
          <w:sz w:val="21"/>
          <w:szCs w:val="21"/>
        </w:rPr>
        <w:t xml:space="preserve">Email open tracking is informational only (not used for automated logic) due to Apple Mail Privacy Protection false positives.</w:t>
      </w:r>
    </w:p>
    <w:p>
      <w:pPr>
        <w:spacing w:after="60"/>
      </w:pPr>
    </w:p>
    <w:p>
      <w:pPr>
        <w:pStyle w:val="Heading2"/>
        <w:spacing w:after="150" w:before="300"/>
      </w:pPr>
      <w:r>
        <w:rPr>
          <w:rFonts w:ascii="Arial" w:cs="Arial" w:eastAsia="Arial" w:hAnsi="Arial"/>
          <w:b/>
          <w:bCs/>
          <w:color w:val="0F3460"/>
          <w:sz w:val="26"/>
          <w:szCs w:val="26"/>
        </w:rPr>
        <w:t xml:space="preserve">8.3 PDF Receipts</w:t>
      </w:r>
    </w:p>
    <w:p>
      <w:pPr>
        <w:spacing w:after="120" w:line="276"/>
      </w:pPr>
      <w:r>
        <w:rPr>
          <w:rFonts w:ascii="Arial" w:cs="Arial" w:eastAsia="Arial" w:hAnsi="Arial"/>
          <w:color w:val="333333"/>
          <w:sz w:val="21"/>
          <w:szCs w:val="21"/>
        </w:rPr>
        <w:t xml:space="preserve">Auto-generated after every successful payment. Emailed to tenant with property address, tenant names, amount paid, and transaction ID. Viewable and re-sendable from the landlord's profile timeline.</w:t>
      </w:r>
    </w:p>
    <w:p>
      <w:r>
        <w:br/>
      </w:r>
    </w:p>
    <w:p>
      <w:pPr>
        <w:pStyle w:val="Heading1"/>
        <w:spacing w:after="200" w:before="400"/>
      </w:pPr>
      <w:r>
        <w:rPr>
          <w:rFonts w:ascii="Arial" w:cs="Arial" w:eastAsia="Arial" w:hAnsi="Arial"/>
          <w:b/>
          <w:bCs/>
          <w:color w:val="1A1A2E"/>
          <w:sz w:val="32"/>
          <w:szCs w:val="32"/>
        </w:rPr>
        <w:t xml:space="preserve">9. CSV Onboarding Import Specification</w:t>
      </w:r>
    </w:p>
    <w:p>
      <w:pPr>
        <w:pStyle w:val="Heading2"/>
        <w:spacing w:after="150" w:before="300"/>
      </w:pPr>
      <w:r>
        <w:rPr>
          <w:rFonts w:ascii="Arial" w:cs="Arial" w:eastAsia="Arial" w:hAnsi="Arial"/>
          <w:b/>
          <w:bCs/>
          <w:color w:val="0F3460"/>
          <w:sz w:val="26"/>
          <w:szCs w:val="26"/>
        </w:rPr>
        <w:t xml:space="preserve">9.1 Expected Schema</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226"/>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Column Header</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522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Validation Rule</w:t>
            </w:r>
          </w:p>
        </w:tc>
      </w:tr>
      <w:tr>
        <w:tc>
          <w:tcPr>
            <w:tcW w:type="dxa" w:w="2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bCs/>
                <w:color w:val="333333"/>
                <w:sz w:val="19"/>
                <w:szCs w:val="19"/>
              </w:rPr>
              <w:t xml:space="preserve">property_address</w:t>
            </w:r>
          </w:p>
        </w:tc>
        <w:tc>
          <w:tcPr>
            <w:tcW w:type="dxa" w:w="16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333333"/>
                <w:sz w:val="19"/>
                <w:szCs w:val="19"/>
              </w:rPr>
              <w:t xml:space="preserve">VARCHAR, Required</w:t>
            </w:r>
          </w:p>
        </w:tc>
        <w:tc>
          <w:tcPr>
            <w:tcW w:type="dxa" w:w="5226"/>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333333"/>
                <w:sz w:val="19"/>
                <w:szCs w:val="19"/>
              </w:rPr>
              <w:t xml:space="preserve">Reject row if empty</w:t>
            </w:r>
          </w:p>
        </w:tc>
      </w:tr>
      <w:tr>
        <w:tc>
          <w:tcPr>
            <w:tcW w:type="dxa" w:w="22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r>
              <w:rPr>
                <w:rFonts w:ascii="Arial" w:cs="Arial" w:eastAsia="Arial" w:hAnsi="Arial"/>
                <w:b/>
                <w:bCs/>
                <w:color w:val="333333"/>
                <w:sz w:val="19"/>
                <w:szCs w:val="19"/>
              </w:rPr>
              <w:t xml:space="preserve">tenant_first_name</w:t>
            </w:r>
          </w:p>
        </w:tc>
        <w:tc>
          <w:tcPr>
            <w:tcW w:type="dxa" w:w="16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r>
              <w:rPr>
                <w:rFonts w:ascii="Arial" w:cs="Arial" w:eastAsia="Arial" w:hAnsi="Arial"/>
                <w:color w:val="333333"/>
                <w:sz w:val="19"/>
                <w:szCs w:val="19"/>
              </w:rPr>
              <w:t xml:space="preserve">VARCHAR, Required</w:t>
            </w:r>
          </w:p>
        </w:tc>
        <w:tc>
          <w:tcPr>
            <w:tcW w:type="dxa" w:w="5226"/>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r>
              <w:rPr>
                <w:rFonts w:ascii="Arial" w:cs="Arial" w:eastAsia="Arial" w:hAnsi="Arial"/>
                <w:color w:val="333333"/>
                <w:sz w:val="19"/>
                <w:szCs w:val="19"/>
              </w:rPr>
              <w:t xml:space="preserve">Reject row if empty</w:t>
            </w:r>
          </w:p>
        </w:tc>
      </w:tr>
      <w:tr>
        <w:tc>
          <w:tcPr>
            <w:tcW w:type="dxa" w:w="2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bCs/>
                <w:color w:val="333333"/>
                <w:sz w:val="19"/>
                <w:szCs w:val="19"/>
              </w:rPr>
              <w:t xml:space="preserve">tenant_email</w:t>
            </w:r>
          </w:p>
        </w:tc>
        <w:tc>
          <w:tcPr>
            <w:tcW w:type="dxa" w:w="16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333333"/>
                <w:sz w:val="19"/>
                <w:szCs w:val="19"/>
              </w:rPr>
              <w:t xml:space="preserve">VARCHAR, Optional</w:t>
            </w:r>
          </w:p>
        </w:tc>
        <w:tc>
          <w:tcPr>
            <w:tcW w:type="dxa" w:w="5226"/>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333333"/>
                <w:sz w:val="19"/>
                <w:szCs w:val="19"/>
              </w:rPr>
              <w:t xml:space="preserve">Validate email regex syntax</w:t>
            </w:r>
          </w:p>
        </w:tc>
      </w:tr>
      <w:tr>
        <w:tc>
          <w:tcPr>
            <w:tcW w:type="dxa" w:w="22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r>
              <w:rPr>
                <w:rFonts w:ascii="Arial" w:cs="Arial" w:eastAsia="Arial" w:hAnsi="Arial"/>
                <w:b/>
                <w:bCs/>
                <w:color w:val="333333"/>
                <w:sz w:val="19"/>
                <w:szCs w:val="19"/>
              </w:rPr>
              <w:t xml:space="preserve">tenant_phone</w:t>
            </w:r>
          </w:p>
        </w:tc>
        <w:tc>
          <w:tcPr>
            <w:tcW w:type="dxa" w:w="16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r>
              <w:rPr>
                <w:rFonts w:ascii="Arial" w:cs="Arial" w:eastAsia="Arial" w:hAnsi="Arial"/>
                <w:color w:val="333333"/>
                <w:sz w:val="19"/>
                <w:szCs w:val="19"/>
              </w:rPr>
              <w:t xml:space="preserve">VARCHAR, Optional</w:t>
            </w:r>
          </w:p>
        </w:tc>
        <w:tc>
          <w:tcPr>
            <w:tcW w:type="dxa" w:w="5226"/>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r>
              <w:rPr>
                <w:rFonts w:ascii="Arial" w:cs="Arial" w:eastAsia="Arial" w:hAnsi="Arial"/>
                <w:color w:val="333333"/>
                <w:sz w:val="19"/>
                <w:szCs w:val="19"/>
              </w:rPr>
              <w:t xml:space="preserve">Sanitize to E.164 format</w:t>
            </w:r>
          </w:p>
        </w:tc>
      </w:tr>
      <w:tr>
        <w:tc>
          <w:tcPr>
            <w:tcW w:type="dxa" w:w="2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bCs/>
                <w:color w:val="333333"/>
                <w:sz w:val="19"/>
                <w:szCs w:val="19"/>
              </w:rPr>
              <w:t xml:space="preserve">rent_amount</w:t>
            </w:r>
          </w:p>
        </w:tc>
        <w:tc>
          <w:tcPr>
            <w:tcW w:type="dxa" w:w="16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333333"/>
                <w:sz w:val="19"/>
                <w:szCs w:val="19"/>
              </w:rPr>
              <w:t xml:space="preserve">DECIMAL, Required</w:t>
            </w:r>
          </w:p>
        </w:tc>
        <w:tc>
          <w:tcPr>
            <w:tcW w:type="dxa" w:w="5226"/>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333333"/>
                <w:sz w:val="19"/>
                <w:szCs w:val="19"/>
              </w:rPr>
              <w:t xml:space="preserve">Convert to absolute cents on ingress</w:t>
            </w:r>
          </w:p>
        </w:tc>
      </w:tr>
      <w:tr>
        <w:tc>
          <w:tcPr>
            <w:tcW w:type="dxa" w:w="22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r>
              <w:rPr>
                <w:rFonts w:ascii="Arial" w:cs="Arial" w:eastAsia="Arial" w:hAnsi="Arial"/>
                <w:b/>
                <w:bCs/>
                <w:color w:val="333333"/>
                <w:sz w:val="19"/>
                <w:szCs w:val="19"/>
              </w:rPr>
              <w:t xml:space="preserve">billing_frequency</w:t>
            </w:r>
          </w:p>
        </w:tc>
        <w:tc>
          <w:tcPr>
            <w:tcW w:type="dxa" w:w="16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r>
              <w:rPr>
                <w:rFonts w:ascii="Arial" w:cs="Arial" w:eastAsia="Arial" w:hAnsi="Arial"/>
                <w:color w:val="333333"/>
                <w:sz w:val="19"/>
                <w:szCs w:val="19"/>
              </w:rPr>
              <w:t xml:space="preserve">ENUM, Required</w:t>
            </w:r>
          </w:p>
        </w:tc>
        <w:tc>
          <w:tcPr>
            <w:tcW w:type="dxa" w:w="5226"/>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r>
              <w:rPr>
                <w:rFonts w:ascii="Arial" w:cs="Arial" w:eastAsia="Arial" w:hAnsi="Arial"/>
                <w:color w:val="333333"/>
                <w:sz w:val="19"/>
                <w:szCs w:val="19"/>
              </w:rPr>
              <w:t xml:space="preserve">Must match: Weekly, Fortnightly, Monthly</w:t>
            </w:r>
          </w:p>
        </w:tc>
      </w:tr>
      <w:tr>
        <w:tc>
          <w:tcPr>
            <w:tcW w:type="dxa" w:w="2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bCs/>
                <w:color w:val="333333"/>
                <w:sz w:val="19"/>
                <w:szCs w:val="19"/>
              </w:rPr>
              <w:t xml:space="preserve">external_id</w:t>
            </w:r>
          </w:p>
        </w:tc>
        <w:tc>
          <w:tcPr>
            <w:tcW w:type="dxa" w:w="16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333333"/>
                <w:sz w:val="19"/>
                <w:szCs w:val="19"/>
              </w:rPr>
              <w:t xml:space="preserve">VARCHAR, Optional</w:t>
            </w:r>
          </w:p>
        </w:tc>
        <w:tc>
          <w:tcPr>
            <w:tcW w:type="dxa" w:w="5226"/>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333333"/>
                <w:sz w:val="19"/>
                <w:szCs w:val="19"/>
              </w:rPr>
              <w:t xml:space="preserve">Maps to external_ref_id for third-party sync</w:t>
            </w:r>
          </w:p>
        </w:tc>
      </w:tr>
    </w:tbl>
    <w:p>
      <w:pPr>
        <w:spacing w:after="60"/>
      </w:pPr>
    </w:p>
    <w:p>
      <w:pPr>
        <w:pStyle w:val="Heading2"/>
        <w:spacing w:after="150" w:before="300"/>
      </w:pPr>
      <w:r>
        <w:rPr>
          <w:rFonts w:ascii="Arial" w:cs="Arial" w:eastAsia="Arial" w:hAnsi="Arial"/>
          <w:b/>
          <w:bCs/>
          <w:color w:val="0F3460"/>
          <w:sz w:val="26"/>
          <w:szCs w:val="26"/>
        </w:rPr>
        <w:t xml:space="preserve">9.2 Processing Rules</w:t>
      </w:r>
    </w:p>
    <w:p>
      <w:pPr>
        <w:pStyle w:val="ListParagraph"/>
        <w:numPr>
          <w:ilvl w:val="0"/>
          <w:numId w:val="2"/>
        </w:numPr>
        <w:spacing w:after="80" w:line="276"/>
      </w:pPr>
      <w:r>
        <w:rPr>
          <w:rFonts w:ascii="Arial" w:cs="Arial" w:eastAsia="Arial" w:hAnsi="Arial"/>
          <w:color w:val="333333"/>
          <w:sz w:val="21"/>
          <w:szCs w:val="21"/>
        </w:rPr>
        <w:t xml:space="preserve">Malformed rows are skipped; processing continues for the rest of the file.</w:t>
      </w:r>
    </w:p>
    <w:p>
      <w:pPr>
        <w:pStyle w:val="ListParagraph"/>
        <w:numPr>
          <w:ilvl w:val="0"/>
          <w:numId w:val="2"/>
        </w:numPr>
        <w:spacing w:after="80" w:line="276"/>
      </w:pPr>
      <w:r>
        <w:rPr>
          <w:rFonts w:ascii="Arial" w:cs="Arial" w:eastAsia="Arial" w:hAnsi="Arial"/>
          <w:color w:val="333333"/>
          <w:sz w:val="21"/>
          <w:szCs w:val="21"/>
        </w:rPr>
        <w:t xml:space="preserve">Post-processing summary highlights exact lines that failed (e.g., "Line 14 skipped: Invalid phone format").</w:t>
      </w:r>
    </w:p>
    <w:p>
      <w:pPr>
        <w:pStyle w:val="ListParagraph"/>
        <w:numPr>
          <w:ilvl w:val="0"/>
          <w:numId w:val="2"/>
        </w:numPr>
        <w:spacing w:after="80" w:line="276"/>
      </w:pPr>
      <w:r>
        <w:rPr>
          <w:rFonts w:ascii="Arial" w:cs="Arial" w:eastAsia="Arial" w:hAnsi="Arial"/>
          <w:color w:val="333333"/>
          <w:sz w:val="21"/>
          <w:szCs w:val="21"/>
        </w:rPr>
        <w:t xml:space="preserve">Each valid row atomically creates both a Tenant_Profile and its corresponding Active_Schedule in a single transaction.</w:t>
      </w:r>
    </w:p>
    <w:p>
      <w:pPr>
        <w:spacing w:after="60"/>
      </w:pPr>
    </w:p>
    <w:p>
      <w:pPr>
        <w:pStyle w:val="Heading2"/>
        <w:spacing w:after="150" w:before="300"/>
      </w:pPr>
      <w:r>
        <w:rPr>
          <w:rFonts w:ascii="Arial" w:cs="Arial" w:eastAsia="Arial" w:hAnsi="Arial"/>
          <w:b/>
          <w:bCs/>
          <w:color w:val="0F3460"/>
          <w:sz w:val="26"/>
          <w:szCs w:val="26"/>
        </w:rPr>
        <w:t xml:space="preserve">9.3 Dry-Run Preview</w:t>
      </w:r>
    </w:p>
    <w:p>
      <w:pPr>
        <w:spacing w:after="120" w:line="276"/>
      </w:pPr>
      <w:r>
        <w:rPr>
          <w:rFonts w:ascii="Arial" w:cs="Arial" w:eastAsia="Arial" w:hAnsi="Arial"/>
          <w:color w:val="333333"/>
          <w:sz w:val="21"/>
          <w:szCs w:val="21"/>
        </w:rPr>
        <w:t xml:space="preserve">Before committing, the UI presents a preview summary: "This file will create 24 profiles and 24 schedules. 2 rows skipped due to errors." The landlord clicks an explicit Confirm &amp; Commit button to execute the database transaction.</w:t>
      </w:r>
    </w:p>
    <w:p>
      <w:r>
        <w:br/>
      </w:r>
    </w:p>
    <w:p>
      <w:pPr>
        <w:pStyle w:val="Heading1"/>
        <w:spacing w:after="200" w:before="400"/>
      </w:pPr>
      <w:r>
        <w:rPr>
          <w:rFonts w:ascii="Arial" w:cs="Arial" w:eastAsia="Arial" w:hAnsi="Arial"/>
          <w:b/>
          <w:bCs/>
          <w:color w:val="1A1A2E"/>
          <w:sz w:val="32"/>
          <w:szCs w:val="32"/>
        </w:rPr>
        <w:t xml:space="preserve">10. Implementation Roadmap</w:t>
      </w:r>
    </w:p>
    <w:p>
      <w:pPr>
        <w:spacing w:after="120" w:line="276"/>
      </w:pPr>
      <w:r>
        <w:rPr>
          <w:rFonts w:ascii="Arial" w:cs="Arial" w:eastAsia="Arial" w:hAnsi="Arial"/>
          <w:color w:val="333333"/>
          <w:sz w:val="21"/>
          <w:szCs w:val="21"/>
        </w:rPr>
        <w:t xml:space="preserve">Development is structured across five sequential 2-week sprints. Team: 2 full-stack backend developers, 1 frontend specialist, 1 QA specialist.</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226"/>
      </w:tblGrid>
      <w:tr>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Sprint</w:t>
            </w:r>
          </w:p>
        </w:tc>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Focus</w:t>
            </w:r>
          </w:p>
        </w:tc>
        <w:tc>
          <w:tcPr>
            <w:tcW w:type="dxa" w:w="522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Deliverables</w:t>
            </w:r>
          </w:p>
        </w:tc>
      </w:tr>
      <w:tr>
        <w:tc>
          <w:tcPr>
            <w:tcW w:type="dxa" w:w="1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bCs/>
                <w:color w:val="333333"/>
                <w:sz w:val="19"/>
                <w:szCs w:val="19"/>
              </w:rPr>
              <w:t xml:space="preserve">1 (Wk 1-2)</w:t>
            </w:r>
          </w:p>
        </w:tc>
        <w:tc>
          <w:tcPr>
            <w:tcW w:type="dxa" w:w="26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333333"/>
                <w:sz w:val="19"/>
                <w:szCs w:val="19"/>
              </w:rPr>
              <w:t xml:space="preserve">Schema &amp; API CRUD</w:t>
            </w:r>
          </w:p>
        </w:tc>
        <w:tc>
          <w:tcPr>
            <w:tcW w:type="dxa" w:w="5226"/>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333333"/>
                <w:sz w:val="19"/>
                <w:szCs w:val="19"/>
              </w:rPr>
              <w:t xml:space="preserve">Five-table schema migration with idempotency constraints. Backend CRUD API endpoints for tenant profile management.</w:t>
            </w:r>
          </w:p>
        </w:tc>
      </w:tr>
      <w:tr>
        <w:tc>
          <w:tcPr>
            <w:tcW w:type="dxa" w:w="12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r>
              <w:rPr>
                <w:rFonts w:ascii="Arial" w:cs="Arial" w:eastAsia="Arial" w:hAnsi="Arial"/>
                <w:b/>
                <w:bCs/>
                <w:color w:val="333333"/>
                <w:sz w:val="19"/>
                <w:szCs w:val="19"/>
              </w:rPr>
              <w:t xml:space="preserve">2 (Wk 3-4)</w:t>
            </w:r>
          </w:p>
        </w:tc>
        <w:tc>
          <w:tcPr>
            <w:tcW w:type="dxa" w:w="26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r>
              <w:rPr>
                <w:rFonts w:ascii="Arial" w:cs="Arial" w:eastAsia="Arial" w:hAnsi="Arial"/>
                <w:color w:val="333333"/>
                <w:sz w:val="19"/>
                <w:szCs w:val="19"/>
              </w:rPr>
              <w:t xml:space="preserve">Checkout Core &amp; Webhooks</w:t>
            </w:r>
          </w:p>
        </w:tc>
        <w:tc>
          <w:tcPr>
            <w:tcW w:type="dxa" w:w="5226"/>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r>
              <w:rPr>
                <w:rFonts w:ascii="Arial" w:cs="Arial" w:eastAsia="Arial" w:hAnsi="Arial"/>
                <w:color w:val="333333"/>
                <w:sz w:val="19"/>
                <w:szCs w:val="19"/>
              </w:rPr>
              <w:t xml:space="preserve">Secure token checkout web app with Apple Pay/Google Pay detection. Webhook ingress handlers. PDF receipt generation engine.</w:t>
            </w:r>
          </w:p>
        </w:tc>
      </w:tr>
      <w:tr>
        <w:tc>
          <w:tcPr>
            <w:tcW w:type="dxa" w:w="1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bCs/>
                <w:color w:val="333333"/>
                <w:sz w:val="19"/>
                <w:szCs w:val="19"/>
              </w:rPr>
              <w:t xml:space="preserve">3 (Wk 5-6)</w:t>
            </w:r>
          </w:p>
        </w:tc>
        <w:tc>
          <w:tcPr>
            <w:tcW w:type="dxa" w:w="26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333333"/>
                <w:sz w:val="19"/>
                <w:szCs w:val="19"/>
              </w:rPr>
              <w:t xml:space="preserve">UI Shell &amp; Active Stack</w:t>
            </w:r>
          </w:p>
        </w:tc>
        <w:tc>
          <w:tcPr>
            <w:tcW w:type="dxa" w:w="5226"/>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333333"/>
                <w:sz w:val="19"/>
                <w:szCs w:val="19"/>
              </w:rPr>
              <w:t xml:space="preserve">Refactored terminal with tenant autocomplete. Active Stack real-time component. Tenant profile directory with timeline.</w:t>
            </w:r>
          </w:p>
        </w:tc>
      </w:tr>
      <w:tr>
        <w:tc>
          <w:tcPr>
            <w:tcW w:type="dxa" w:w="12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r>
              <w:rPr>
                <w:rFonts w:ascii="Arial" w:cs="Arial" w:eastAsia="Arial" w:hAnsi="Arial"/>
                <w:b/>
                <w:bCs/>
                <w:color w:val="333333"/>
                <w:sz w:val="19"/>
                <w:szCs w:val="19"/>
              </w:rPr>
              <w:t xml:space="preserve">4 (Wk 7-8)</w:t>
            </w:r>
          </w:p>
        </w:tc>
        <w:tc>
          <w:tcPr>
            <w:tcW w:type="dxa" w:w="2600"/>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r>
              <w:rPr>
                <w:rFonts w:ascii="Arial" w:cs="Arial" w:eastAsia="Arial" w:hAnsi="Arial"/>
                <w:color w:val="333333"/>
                <w:sz w:val="19"/>
                <w:szCs w:val="19"/>
              </w:rPr>
              <w:t xml:space="preserve">Gateways &amp; SMS</w:t>
            </w:r>
          </w:p>
        </w:tc>
        <w:tc>
          <w:tcPr>
            <w:tcW w:type="dxa" w:w="5226"/>
            <w:tcBorders>
              <w:top w:val="single" w:color="CCCCCC" w:sz="1"/>
              <w:left w:val="single" w:color="CCCCCC" w:sz="1"/>
              <w:bottom w:val="single" w:color="CCCCCC" w:sz="1"/>
              <w:right w:val="single" w:color="CCCCCC" w:sz="1"/>
            </w:tcBorders>
            <w:shd w:fill="F5F5F5" w:color="auto" w:val="clear"/>
            <w:tcMar>
              <w:top w:type="dxa" w:w="80"/>
              <w:left w:type="dxa" w:w="120"/>
              <w:bottom w:type="dxa" w:w="80"/>
              <w:right w:type="dxa" w:w="120"/>
            </w:tcMar>
          </w:tcPr>
          <w:p>
            <w:r>
              <w:rPr>
                <w:rFonts w:ascii="Arial" w:cs="Arial" w:eastAsia="Arial" w:hAnsi="Arial"/>
                <w:color w:val="333333"/>
                <w:sz w:val="19"/>
                <w:szCs w:val="19"/>
              </w:rPr>
              <w:t xml:space="preserve">SMS gateway integration with alphanumeric sender provisioning. Email templates and SMTP relay. Stale queue monitoring alert.</w:t>
            </w:r>
          </w:p>
        </w:tc>
      </w:tr>
      <w:tr>
        <w:tc>
          <w:tcPr>
            <w:tcW w:type="dxa" w:w="12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b/>
                <w:bCs/>
                <w:color w:val="333333"/>
                <w:sz w:val="19"/>
                <w:szCs w:val="19"/>
              </w:rPr>
              <w:t xml:space="preserve">5 (Wk 9-10)</w:t>
            </w:r>
          </w:p>
        </w:tc>
        <w:tc>
          <w:tcPr>
            <w:tcW w:type="dxa" w:w="26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333333"/>
                <w:sz w:val="19"/>
                <w:szCs w:val="19"/>
              </w:rPr>
              <w:t xml:space="preserve">Analytics &amp; Launch</w:t>
            </w:r>
          </w:p>
        </w:tc>
        <w:tc>
          <w:tcPr>
            <w:tcW w:type="dxa" w:w="5226"/>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r>
              <w:rPr>
                <w:rFonts w:ascii="Arial" w:cs="Arial" w:eastAsia="Arial" w:hAnsi="Arial"/>
                <w:color w:val="333333"/>
                <w:sz w:val="19"/>
                <w:szCs w:val="19"/>
              </w:rPr>
              <w:t xml:space="preserve">Dashboard KPI aggregation queries. Reminder throttle logic. CSV import with dry-run. Comprehensive device testing and QA.</w:t>
            </w:r>
          </w:p>
        </w:tc>
      </w:tr>
    </w:tbl>
    <w:p>
      <w:r>
        <w:br/>
      </w:r>
    </w:p>
    <w:p>
      <w:pPr>
        <w:pStyle w:val="Heading1"/>
        <w:spacing w:after="200" w:before="400"/>
      </w:pPr>
      <w:r>
        <w:rPr>
          <w:rFonts w:ascii="Arial" w:cs="Arial" w:eastAsia="Arial" w:hAnsi="Arial"/>
          <w:b/>
          <w:bCs/>
          <w:color w:val="1A1A2E"/>
          <w:sz w:val="32"/>
          <w:szCs w:val="32"/>
        </w:rPr>
        <w:t xml:space="preserve">11. Engineering Handoff Checklist</w:t>
      </w:r>
    </w:p>
    <w:p>
      <w:pPr>
        <w:pStyle w:val="Heading2"/>
        <w:spacing w:after="150" w:before="300"/>
      </w:pPr>
      <w:r>
        <w:rPr>
          <w:rFonts w:ascii="Arial" w:cs="Arial" w:eastAsia="Arial" w:hAnsi="Arial"/>
          <w:b/>
          <w:bCs/>
          <w:color w:val="0F3460"/>
          <w:sz w:val="26"/>
          <w:szCs w:val="26"/>
        </w:rPr>
        <w:t xml:space="preserve">11.1 Stale Queue Alert (Sprint 4)</w:t>
      </w:r>
    </w:p>
    <w:p>
      <w:pPr>
        <w:spacing w:after="120" w:line="276"/>
      </w:pPr>
      <w:r>
        <w:rPr>
          <w:rFonts w:ascii="Arial" w:cs="Arial" w:eastAsia="Arial" w:hAnsi="Arial"/>
          <w:color w:val="333333"/>
          <w:sz w:val="21"/>
          <w:szCs w:val="21"/>
        </w:rPr>
        <w:t xml:space="preserve">If any invoice remains in Pending_Dispatch for more than 12 hours, trigger an immediate high-priority alert (Slack hook or pager) to the engineering team. This catches a failed 8:30 AM dispatch run before the next cycle compounds the problem.</w:t>
      </w:r>
    </w:p>
    <w:p>
      <w:pPr>
        <w:spacing w:after="60"/>
      </w:pPr>
    </w:p>
    <w:p>
      <w:pPr>
        <w:pStyle w:val="Heading2"/>
        <w:spacing w:after="150" w:before="300"/>
      </w:pPr>
      <w:r>
        <w:rPr>
          <w:rFonts w:ascii="Arial" w:cs="Arial" w:eastAsia="Arial" w:hAnsi="Arial"/>
          <w:b/>
          <w:bCs/>
          <w:color w:val="0F3460"/>
          <w:sz w:val="26"/>
          <w:szCs w:val="26"/>
        </w:rPr>
        <w:t xml:space="preserve">11.2 CSV Dry-Run Preview (Sprint 5)</w:t>
      </w:r>
    </w:p>
    <w:p>
      <w:pPr>
        <w:spacing w:after="120" w:line="276"/>
      </w:pPr>
      <w:r>
        <w:rPr>
          <w:rFonts w:ascii="Arial" w:cs="Arial" w:eastAsia="Arial" w:hAnsi="Arial"/>
          <w:color w:val="333333"/>
          <w:sz w:val="21"/>
          <w:szCs w:val="21"/>
        </w:rPr>
        <w:t xml:space="preserve">Enforce a two-step import flow. Step 1: Parse, validate, and render a summary. Step 2: Landlord clicks Confirm &amp; Commit to execute the atomic transaction. Prevents bulk directory pollution from malformed files.</w:t>
      </w:r>
    </w:p>
    <w:p>
      <w:pPr>
        <w:spacing w:after="60"/>
      </w:pPr>
    </w:p>
    <w:p>
      <w:pPr>
        <w:pStyle w:val="Heading2"/>
        <w:spacing w:after="150" w:before="300"/>
      </w:pPr>
      <w:r>
        <w:rPr>
          <w:rFonts w:ascii="Arial" w:cs="Arial" w:eastAsia="Arial" w:hAnsi="Arial"/>
          <w:b/>
          <w:bCs/>
          <w:color w:val="0F3460"/>
          <w:sz w:val="26"/>
          <w:szCs w:val="26"/>
        </w:rPr>
        <w:t xml:space="preserve">11.3 Webhook Testing Strategy (Sprint 2)</w:t>
      </w:r>
    </w:p>
    <w:p>
      <w:pPr>
        <w:spacing w:after="120" w:line="276"/>
      </w:pPr>
      <w:r>
        <w:rPr>
          <w:rFonts w:ascii="Arial" w:cs="Arial" w:eastAsia="Arial" w:hAnsi="Arial"/>
          <w:color w:val="333333"/>
          <w:sz w:val="21"/>
          <w:szCs w:val="21"/>
        </w:rPr>
        <w:t xml:space="preserve">Align on an explicit testing approach on day one of Sprint 2. Use the payment provider's sandbox endpoint, a local webhook tunnel (e.g., ngrok), or version-controlled mock payload fixtures. Ensure payment success and decline flows are fully modeled before frontend work begins.</w:t>
      </w:r>
    </w:p>
    <w:p>
      <w:pPr>
        <w:spacing w:after="60"/>
      </w:pPr>
    </w:p>
    <w:p>
      <w:pPr>
        <w:pStyle w:val="Heading2"/>
        <w:spacing w:after="150" w:before="300"/>
      </w:pPr>
      <w:r>
        <w:rPr>
          <w:rFonts w:ascii="Arial" w:cs="Arial" w:eastAsia="Arial" w:hAnsi="Arial"/>
          <w:b/>
          <w:bCs/>
          <w:color w:val="0F3460"/>
          <w:sz w:val="26"/>
          <w:szCs w:val="26"/>
        </w:rPr>
        <w:t xml:space="preserve">11.4 Ticket Structure</w:t>
      </w:r>
    </w:p>
    <w:p>
      <w:pPr>
        <w:pStyle w:val="ListParagraph"/>
        <w:numPr>
          <w:ilvl w:val="0"/>
          <w:numId w:val="3"/>
        </w:numPr>
        <w:spacing w:after="80" w:line="276"/>
      </w:pPr>
      <w:r>
        <w:rPr>
          <w:rFonts w:ascii="Arial" w:cs="Arial" w:eastAsia="Arial" w:hAnsi="Arial"/>
          <w:b/>
          <w:bCs/>
          <w:color w:val="333333"/>
          <w:sz w:val="21"/>
          <w:szCs w:val="21"/>
        </w:rPr>
        <w:t xml:space="preserve">Ticket 1 [Backend]: </w:t>
      </w:r>
      <w:r>
        <w:rPr>
          <w:rFonts w:ascii="Arial" w:cs="Arial" w:eastAsia="Arial" w:hAnsi="Arial"/>
          <w:color w:val="333333"/>
          <w:sz w:val="21"/>
          <w:szCs w:val="21"/>
        </w:rPr>
        <w:t xml:space="preserve">DB Migration — 5-table schema with idempotency constraints and indexes.</w:t>
      </w:r>
    </w:p>
    <w:p>
      <w:pPr>
        <w:pStyle w:val="ListParagraph"/>
        <w:numPr>
          <w:ilvl w:val="0"/>
          <w:numId w:val="3"/>
        </w:numPr>
        <w:spacing w:after="80" w:line="276"/>
      </w:pPr>
      <w:r>
        <w:rPr>
          <w:rFonts w:ascii="Arial" w:cs="Arial" w:eastAsia="Arial" w:hAnsi="Arial"/>
          <w:b/>
          <w:bCs/>
          <w:color w:val="333333"/>
          <w:sz w:val="21"/>
          <w:szCs w:val="21"/>
        </w:rPr>
        <w:t xml:space="preserve">Ticket 2 [Backend/Frontend]: </w:t>
      </w:r>
      <w:r>
        <w:rPr>
          <w:rFonts w:ascii="Arial" w:cs="Arial" w:eastAsia="Arial" w:hAnsi="Arial"/>
          <w:color w:val="333333"/>
          <w:sz w:val="21"/>
          <w:szCs w:val="21"/>
        </w:rPr>
        <w:t xml:space="preserve">Hosted checkout engine, Apple/Google Pay integration, webhook handlers.</w:t>
      </w:r>
    </w:p>
    <w:p>
      <w:pPr>
        <w:pStyle w:val="ListParagraph"/>
        <w:numPr>
          <w:ilvl w:val="0"/>
          <w:numId w:val="3"/>
        </w:numPr>
        <w:spacing w:after="80" w:line="276"/>
      </w:pPr>
      <w:r>
        <w:rPr>
          <w:rFonts w:ascii="Arial" w:cs="Arial" w:eastAsia="Arial" w:hAnsi="Arial"/>
          <w:b/>
          <w:bCs/>
          <w:color w:val="333333"/>
          <w:sz w:val="21"/>
          <w:szCs w:val="21"/>
        </w:rPr>
        <w:t xml:space="preserve">Ticket 3 [Frontend]: </w:t>
      </w:r>
      <w:r>
        <w:rPr>
          <w:rFonts w:ascii="Arial" w:cs="Arial" w:eastAsia="Arial" w:hAnsi="Arial"/>
          <w:color w:val="333333"/>
          <w:sz w:val="21"/>
          <w:szCs w:val="21"/>
        </w:rPr>
        <w:t xml:space="preserve">Refactored terminal, Active Stack, tenant directory panel.</w:t>
      </w:r>
    </w:p>
    <w:p>
      <w:pPr>
        <w:pStyle w:val="ListParagraph"/>
        <w:numPr>
          <w:ilvl w:val="0"/>
          <w:numId w:val="3"/>
        </w:numPr>
        <w:spacing w:after="80" w:line="276"/>
      </w:pPr>
      <w:r>
        <w:rPr>
          <w:rFonts w:ascii="Arial" w:cs="Arial" w:eastAsia="Arial" w:hAnsi="Arial"/>
          <w:b/>
          <w:bCs/>
          <w:color w:val="333333"/>
          <w:sz w:val="21"/>
          <w:szCs w:val="21"/>
        </w:rPr>
        <w:t xml:space="preserve">Ticket 4 [Backend]: </w:t>
      </w:r>
      <w:r>
        <w:rPr>
          <w:rFonts w:ascii="Arial" w:cs="Arial" w:eastAsia="Arial" w:hAnsi="Arial"/>
          <w:color w:val="333333"/>
          <w:sz w:val="21"/>
          <w:szCs w:val="21"/>
        </w:rPr>
        <w:t xml:space="preserve">SMS gateway integration, email templates, stale queue monitoring.</w:t>
      </w:r>
    </w:p>
    <w:p>
      <w:pPr>
        <w:pStyle w:val="ListParagraph"/>
        <w:numPr>
          <w:ilvl w:val="0"/>
          <w:numId w:val="3"/>
        </w:numPr>
        <w:spacing w:after="80" w:line="276"/>
      </w:pPr>
      <w:r>
        <w:rPr>
          <w:rFonts w:ascii="Arial" w:cs="Arial" w:eastAsia="Arial" w:hAnsi="Arial"/>
          <w:b/>
          <w:bCs/>
          <w:color w:val="333333"/>
          <w:sz w:val="21"/>
          <w:szCs w:val="21"/>
        </w:rPr>
        <w:t xml:space="preserve">Ticket 5 [Backend/Frontend]: </w:t>
      </w:r>
      <w:r>
        <w:rPr>
          <w:rFonts w:ascii="Arial" w:cs="Arial" w:eastAsia="Arial" w:hAnsi="Arial"/>
          <w:color w:val="333333"/>
          <w:sz w:val="21"/>
          <w:szCs w:val="21"/>
        </w:rPr>
        <w:t xml:space="preserve">Dashboard KPIs, CSV import with dry-run, reminder throttle, launch QA.</w:t>
      </w:r>
    </w:p>
    <w:p>
      <w:r>
        <w:br/>
      </w:r>
    </w:p>
    <w:p>
      <w:pPr>
        <w:pStyle w:val="Heading1"/>
        <w:spacing w:after="200" w:before="400"/>
      </w:pPr>
      <w:r>
        <w:rPr>
          <w:rFonts w:ascii="Arial" w:cs="Arial" w:eastAsia="Arial" w:hAnsi="Arial"/>
          <w:b/>
          <w:bCs/>
          <w:color w:val="1A1A2E"/>
          <w:sz w:val="32"/>
          <w:szCs w:val="32"/>
        </w:rPr>
        <w:t xml:space="preserve">12. Post-Launch Technical Debt Registry</w:t>
      </w:r>
    </w:p>
    <w:p>
      <w:pPr>
        <w:pStyle w:val="ListParagraph"/>
        <w:numPr>
          <w:ilvl w:val="0"/>
          <w:numId w:val="2"/>
        </w:numPr>
        <w:spacing w:after="80" w:line="276"/>
      </w:pPr>
      <w:r>
        <w:rPr>
          <w:rFonts w:ascii="Arial" w:cs="Arial" w:eastAsia="Arial" w:hAnsi="Arial"/>
          <w:b/>
          <w:bCs/>
          <w:color w:val="333333"/>
          <w:sz w:val="21"/>
          <w:szCs w:val="21"/>
        </w:rPr>
        <w:t xml:space="preserve">Co-Tenant Normalization: </w:t>
      </w:r>
      <w:r>
        <w:rPr>
          <w:rFonts w:ascii="Arial" w:cs="Arial" w:eastAsia="Arial" w:hAnsi="Arial"/>
          <w:color w:val="333333"/>
          <w:sz w:val="21"/>
          <w:szCs w:val="21"/>
        </w:rPr>
        <w:t xml:space="preserve">Migrate co_tenants_text from flat TEXT to a relational child table to support independent co-tenant notification streams.</w:t>
      </w:r>
    </w:p>
    <w:p>
      <w:pPr>
        <w:pStyle w:val="ListParagraph"/>
        <w:numPr>
          <w:ilvl w:val="0"/>
          <w:numId w:val="2"/>
        </w:numPr>
        <w:spacing w:after="80" w:line="276"/>
      </w:pPr>
      <w:r>
        <w:rPr>
          <w:rFonts w:ascii="Arial" w:cs="Arial" w:eastAsia="Arial" w:hAnsi="Arial"/>
          <w:b/>
          <w:bCs/>
          <w:color w:val="333333"/>
          <w:sz w:val="21"/>
          <w:szCs w:val="21"/>
        </w:rPr>
        <w:t xml:space="preserve">Email Open Tracking: </w:t>
      </w:r>
      <w:r>
        <w:rPr>
          <w:rFonts w:ascii="Arial" w:cs="Arial" w:eastAsia="Arial" w:hAnsi="Arial"/>
          <w:color w:val="333333"/>
          <w:sz w:val="21"/>
          <w:szCs w:val="21"/>
        </w:rPr>
        <w:t xml:space="preserve">Replace pixel-based open detection with checkout-link engagement records to bypass Apple Mail Privacy Protection false positives.</w:t>
      </w:r>
    </w:p>
    <w:p>
      <w:pPr>
        <w:pStyle w:val="ListParagraph"/>
        <w:numPr>
          <w:ilvl w:val="0"/>
          <w:numId w:val="2"/>
        </w:numPr>
        <w:spacing w:after="80" w:line="276"/>
      </w:pPr>
      <w:r>
        <w:rPr>
          <w:rFonts w:ascii="Arial" w:cs="Arial" w:eastAsia="Arial" w:hAnsi="Arial"/>
          <w:b/>
          <w:bCs/>
          <w:color w:val="333333"/>
          <w:sz w:val="21"/>
          <w:szCs w:val="21"/>
        </w:rPr>
        <w:t xml:space="preserve">Multi-User Access: </w:t>
      </w:r>
      <w:r>
        <w:rPr>
          <w:rFonts w:ascii="Arial" w:cs="Arial" w:eastAsia="Arial" w:hAnsi="Arial"/>
          <w:color w:val="333333"/>
          <w:sz w:val="21"/>
          <w:szCs w:val="21"/>
        </w:rPr>
        <w:t xml:space="preserve">Role-based access for property management companies with multiple staff members. Out of scope for v1 but expected as first enterprise request.</w:t>
      </w:r>
    </w:p>
    <w:p>
      <w:pPr>
        <w:spacing w:after="60"/>
      </w:pPr>
    </w:p>
    <w:p>
      <w:pPr>
        <w:pBdr>
          <w:bottom w:val="single" w:color="CCCCCC" w:sz="2" w:space="1"/>
        </w:pBdr>
        <w:spacing w:after="200" w:before="200"/>
      </w:pPr>
    </w:p>
    <w:p>
      <w:pPr>
        <w:pStyle w:val="Heading1"/>
        <w:spacing w:after="200" w:before="400"/>
      </w:pPr>
      <w:r>
        <w:rPr>
          <w:rFonts w:ascii="Arial" w:cs="Arial" w:eastAsia="Arial" w:hAnsi="Arial"/>
          <w:b/>
          <w:bCs/>
          <w:color w:val="1A1A2E"/>
          <w:sz w:val="32"/>
          <w:szCs w:val="32"/>
        </w:rPr>
        <w:t xml:space="preserve">Out of Scope (v1)</w:t>
      </w:r>
    </w:p>
    <w:p>
      <w:pPr>
        <w:pStyle w:val="ListParagraph"/>
        <w:numPr>
          <w:ilvl w:val="0"/>
          <w:numId w:val="2"/>
        </w:numPr>
        <w:spacing w:after="80" w:line="276"/>
      </w:pPr>
      <w:r>
        <w:rPr>
          <w:rFonts w:ascii="Arial" w:cs="Arial" w:eastAsia="Arial" w:hAnsi="Arial"/>
          <w:color w:val="333333"/>
          <w:sz w:val="21"/>
          <w:szCs w:val="21"/>
        </w:rPr>
        <w:t xml:space="preserve">Bond tracking and management</w:t>
      </w:r>
    </w:p>
    <w:p>
      <w:pPr>
        <w:pStyle w:val="ListParagraph"/>
        <w:numPr>
          <w:ilvl w:val="0"/>
          <w:numId w:val="2"/>
        </w:numPr>
        <w:spacing w:after="80" w:line="276"/>
      </w:pPr>
      <w:r>
        <w:rPr>
          <w:rFonts w:ascii="Arial" w:cs="Arial" w:eastAsia="Arial" w:hAnsi="Arial"/>
          <w:color w:val="333333"/>
          <w:sz w:val="21"/>
          <w:szCs w:val="21"/>
        </w:rPr>
        <w:t xml:space="preserve">Maintenance request workflows</w:t>
      </w:r>
    </w:p>
    <w:p>
      <w:pPr>
        <w:pStyle w:val="ListParagraph"/>
        <w:numPr>
          <w:ilvl w:val="0"/>
          <w:numId w:val="2"/>
        </w:numPr>
        <w:spacing w:after="80" w:line="276"/>
      </w:pPr>
      <w:r>
        <w:rPr>
          <w:rFonts w:ascii="Arial" w:cs="Arial" w:eastAsia="Arial" w:hAnsi="Arial"/>
          <w:color w:val="333333"/>
          <w:sz w:val="21"/>
          <w:szCs w:val="21"/>
        </w:rPr>
        <w:t xml:space="preserve">Multi-user / role-based team access</w:t>
      </w:r>
    </w:p>
    <w:p>
      <w:pPr>
        <w:pStyle w:val="ListParagraph"/>
        <w:numPr>
          <w:ilvl w:val="0"/>
          <w:numId w:val="2"/>
        </w:numPr>
        <w:spacing w:after="80" w:line="276"/>
      </w:pPr>
      <w:r>
        <w:rPr>
          <w:rFonts w:ascii="Arial" w:cs="Arial" w:eastAsia="Arial" w:hAnsi="Arial"/>
          <w:color w:val="333333"/>
          <w:sz w:val="21"/>
          <w:szCs w:val="21"/>
        </w:rPr>
        <w:t xml:space="preserve">In-app chat or messaging between landlord and tenant</w:t>
      </w:r>
    </w:p>
    <w:p>
      <w:pPr>
        <w:pStyle w:val="ListParagraph"/>
        <w:numPr>
          <w:ilvl w:val="0"/>
          <w:numId w:val="2"/>
        </w:numPr>
        <w:spacing w:after="80" w:line="276"/>
      </w:pPr>
      <w:r>
        <w:rPr>
          <w:rFonts w:ascii="Arial" w:cs="Arial" w:eastAsia="Arial" w:hAnsi="Arial"/>
          <w:color w:val="333333"/>
          <w:sz w:val="21"/>
          <w:szCs w:val="21"/>
        </w:rPr>
        <w:t xml:space="preserve">Integration with external accounting software (Xero, MYOB)</w:t>
      </w:r>
    </w:p>
    <w:p>
      <w:pPr>
        <w:spacing w:after="60"/>
      </w:pPr>
    </w:p>
    <w:p>
      <w:pPr>
        <w:pBdr>
          <w:bottom w:val="single" w:color="CCCCCC" w:sz="2" w:space="1"/>
        </w:pBdr>
        <w:spacing w:after="200" w:before="200"/>
      </w:pPr>
    </w:p>
    <w:p>
      <w:pPr>
        <w:spacing w:before="400"/>
        <w:jc w:val="center"/>
      </w:pPr>
      <w:r>
        <w:rPr>
          <w:rFonts w:ascii="Arial" w:cs="Arial" w:eastAsia="Arial" w:hAnsi="Arial"/>
          <w:b/>
          <w:bCs/>
          <w:color w:val="555555"/>
          <w:sz w:val="20"/>
          <w:szCs w:val="20"/>
        </w:rPr>
        <w:t xml:space="preserve">END OF SPECIFICATION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tabs>
        <w:tab w:val="right" w:pos="9026"/>
      </w:tabs>
    </w:pPr>
    <w:r>
      <w:rPr>
        <w:rFonts w:ascii="Arial" w:cs="Arial" w:eastAsia="Arial" w:hAnsi="Arial"/>
        <w:color w:val="555555"/>
        <w:sz w:val="16"/>
        <w:szCs w:val="16"/>
      </w:rPr>
      <w:t xml:space="preserve">Confidential</w:t>
    </w:r>
    <w:r>
      <w:t xml:space="preserve">	</w:t>
    </w:r>
    <w:r>
      <w:rPr>
        <w:rFonts w:ascii="Arial" w:cs="Arial" w:eastAsia="Arial" w:hAnsi="Arial"/>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55555"/>
        <w:sz w:val="16"/>
        <w:szCs w:val="16"/>
      </w:rPr>
      <w:t xml:space="preserve">Tapt Pay — Property Management Vertical #12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2E"/>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0F346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2026-05-22T10:48:51.926Z</dcterms:created>
  <dcterms:modified xsi:type="dcterms:W3CDTF">2026-05-22T10:48:51.927Z</dcterms:modified>
</cp:coreProperties>
</file>

<file path=docProps/custom.xml><?xml version="1.0" encoding="utf-8"?>
<Properties xmlns="http://schemas.openxmlformats.org/officeDocument/2006/custom-properties" xmlns:vt="http://schemas.openxmlformats.org/officeDocument/2006/docPropsVTypes"/>
</file>