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AXIOM: Adaptive eXecution with Intelligent Operations Memory</w:t>
      </w:r>
    </w:p>
    <w:p>
      <w:pPr>
        <w:spacing w:after="240"/>
        <w:jc w:val="center"/>
      </w:pPr>
      <w:r>
        <w:rPr>
          <w:rFonts w:ascii="Times New Roman" w:hAnsi="Times New Roman"/>
          <w:b/>
          <w:sz w:val="26"/>
        </w:rPr>
        <w:t>A Sparse Dynamic Routing Architecture for Cost-Efficient LLM Inference</w:t>
      </w:r>
    </w:p>
    <w:p>
      <w:pPr>
        <w:spacing w:after="400"/>
        <w:jc w:val="center"/>
      </w:pPr>
      <w:r>
        <w:rPr>
          <w:rFonts w:ascii="Times New Roman" w:hAnsi="Times New Roman"/>
          <w:sz w:val="24"/>
        </w:rPr>
        <w:t>Colin Oliver</w:t>
      </w:r>
      <w:r>
        <w:br/>
      </w:r>
      <w:r>
        <w:rPr>
          <w:rFonts w:ascii="Times New Roman" w:hAnsi="Times New Roman"/>
          <w:i/>
          <w:sz w:val="22"/>
        </w:rPr>
        <w:t>Independent Research</w:t>
      </w:r>
    </w:p>
    <w:tbl>
      <w:tblPr>
        <w:tblW w:type="auto" w:w="0"/>
        <w:jc w:val="center"/>
        <w:tblLook w:firstColumn="1" w:firstRow="1" w:lastColumn="0" w:lastRow="0" w:noHBand="0" w:noVBand="1" w:val="04A0"/>
      </w:tblPr>
      <w:tblGrid>
        <w:gridCol w:w="9360"/>
      </w:tblGrid>
      <w:tr>
        <w:tc>
          <w:tcPr>
            <w:tcW w:type="dxa" w:w="9360"/>
            <w:shd w:fill="E8EDF5"/>
          </w:tcPr>
          <w:p>
            <w:pPr>
              <w:spacing w:after="120"/>
              <w:jc w:val="center"/>
            </w:pPr>
            <w:r>
              <w:rPr>
                <w:rFonts w:ascii="Times New Roman" w:hAnsi="Times New Roman"/>
                <w:b/>
                <w:sz w:val="22"/>
              </w:rPr>
              <w:t>Abstract</w:t>
            </w:r>
          </w:p>
          <w:p>
            <w:pPr>
              <w:spacing w:after="80"/>
            </w:pPr>
            <w:r>
              <w:rPr>
                <w:rFonts w:ascii="Times New Roman" w:hAnsi="Times New Roman"/>
                <w:sz w:val="20"/>
              </w:rPr>
              <w:t>We present AXIOM (Adaptive eXecution with Intelligent Operations Memory), a novel sparse routing architecture for cost-efficient large language model inference. AXIOM routes incoming queries across three model tiers — Surface, Reasoning, and Deep — using a 128-dimensional structural encoder and a hierarchical resolver with dynamic coalition formation and non-local graph communication, requiring no preference data, no GPU infrastructure, and no ML frameworks. Implemented in pure Rust with 1,205,376 parameters, AXIOM achieves 95.0% routing accuracy on simple queries, 89.5% validation accuracy across 105 benchmark queries (65.0% on a 40-query adversarial set), and 58.1% cost reduction compared to routing all queries to a frontier model, with a mean routing latency of 1,311 microseconds. The primary architectural contribution is a sparse computation graph supporting four distinct traversal directions — forward, lateral, feedback, and temporal — enabling non-local communication between routing nodes that no existing LLM router provides. We identify and characterise the structural encoder ceiling — including nine adversarial cases that represent a genuine theoretical limit — and propose attention-based extensions as future work.</w:t>
            </w:r>
          </w:p>
        </w:tc>
      </w:tr>
    </w:tbl>
    <w:p/>
    <w:p>
      <w:pPr>
        <w:pStyle w:val="Heading1"/>
      </w:pPr>
      <w:r>
        <w:rPr>
          <w:color w:val="000000"/>
        </w:rPr>
        <w:t>1  Introduction</w:t>
      </w:r>
    </w:p>
    <w:p>
      <w:r>
        <w:t>Large language models vary substantially in cost and capability. Frontier models such as Claude Opus and GPT-4 provide the highest quality responses but incur significant inference costs, while smaller models are substantially cheaper but may produce inadequate responses for complex queries. For organisations processing high query volumes, routing every query to the most capable model is economically prohibitive, while routing all queries to the cheapest model degrades output quality.</w:t>
      </w:r>
    </w:p>
    <w:p>
      <w:r>
        <w:t>LLM routing addresses this problem by predicting query complexity and dispatching each query to an appropriately capable model. Existing approaches — most notably RouteLLM (Ong et al., 2024) — achieve strong results but require training on large datasets of human preference judgements, Python runtimes with PyTorch dependencies, and binary strong/weak routing decisions. A systematic survey of 75+ routing and cascading systems (see Section 2) reveals that every existing router makes a single forward-pass decision: input enters a classifier, a score exits, a model is selected. No existing router has nodes that communicate with each other about the routing decision.</w:t>
      </w:r>
    </w:p>
    <w:p>
      <w:r>
        <w:t>AXIOM takes a fundamentally different approach. Its sparse computation graph supports four distinct communication patterns — forward traversal, lateral traversal between same-tier nodes, feedback traversal from deeper to shallower tiers, and temporal traversal blending past routing decisions into present ones. This non-local graph communication is the primary architectural contribution and has no equivalent in the LLM routing literature.</w:t>
      </w:r>
    </w:p>
    <w:p>
      <w:r>
        <w:t>Secondary contributions include a vocabulary-independent 128-dimensional structural encoder using five feature groups (G1–G5), analytical initialisation with frozen surface-tier weights, dynamic coalition formation across routing tiers, and a training/inference mode split preventing embedding cache contamination.</w:t>
      </w:r>
    </w:p>
    <w:p>
      <w:pPr>
        <w:pStyle w:val="Heading1"/>
      </w:pPr>
      <w:r>
        <w:rPr>
          <w:color w:val="000000"/>
        </w:rPr>
        <w:t>2  Related Work</w:t>
      </w:r>
    </w:p>
    <w:p>
      <w:r>
        <w:rPr>
          <w:b/>
        </w:rPr>
        <w:t xml:space="preserve">LLM routing. </w:t>
      </w:r>
      <w:r>
        <w:t>RouteLLM (Ong et al., 2024) trains routers on Chatbot Arena preference data, achieving up to 85% cost reduction with 95% GPT-4 performance on MT Bench. Four architectures are evaluated: matrix factorisation, weighted Elo, BERT classifier, and causal LLM classifier. All are single-pass classifiers producing a scalar score. FrugalGPT (Chen et al., 2023) uses a sequential cascade — attempt a cheap model, score the output, escalate if insufficient. AutoMix (Madaan et al., 2023) uses a self-verification loop — ask the model if it is confident, escalate if not. Hybrid LLM (Ding et al., 2024) trains a binary complexity classifier. CSCR uses k-NN lookup in embedding space. None of these systems have inter-node communication. The routing decision is always made by a single component.</w:t>
      </w:r>
    </w:p>
    <w:p>
      <w:r>
        <w:t>The closest architectural analogy in the broader literature is Tryage (Hu et al., 2023), described as a “brain-inspired” thalamic router. However, Tryage is a single neural network predicting model performance — it has no actual inter-node communication. A survey published March 2026 (arXiv:2603.04445) provides a systematic analysis of 75+ multi-LLM routing and cascading approaches, covering query difficulty, preference-based, clustering, uncertainty quantification, reinforcement learning, and cascading paradigms. No surveyed system uses graph-based multi-directional communication between routing nodes.</w:t>
      </w:r>
    </w:p>
    <w:p>
      <w:r>
        <w:t>Predictive coding networks on arbitrary graph topologies (Salvatori et al., NeurIPS 2022) are the closest architectural precedent for AXIOM’s graph communication model, though applied in a completely different context. AXIOM is the first system to apply non-local graph communication to the LLM routing problem.</w:t>
      </w:r>
    </w:p>
    <w:p>
      <w:r>
        <w:rPr>
          <w:b/>
        </w:rPr>
        <w:t xml:space="preserve">Mixture of Experts. </w:t>
      </w:r>
      <w:r>
        <w:t>The MoE paradigm (Shazeer et al., 2017; Fedus et al., 2022) routes tokens to expert networks within a single model. AXIOM applies routing at the inter-model level — complete queries rather than tokens — without a jointly trained gating network.</w:t>
      </w:r>
    </w:p>
    <w:p>
      <w:r>
        <w:rPr>
          <w:b/>
        </w:rPr>
        <w:t xml:space="preserve">Complexity classification. </w:t>
      </w:r>
      <w:r>
        <w:t>Readability metrics (Kincaid et al., 1975) and syntactic complexity measures (Gibson, 1998; Yngve, 1960) inform AXIOM’s encoder design. AXIOM’s G5 features draw on these traditions while optimised for routing rather than readability scoring.</w:t>
      </w:r>
    </w:p>
    <w:p>
      <w:pPr>
        <w:pStyle w:val="Heading1"/>
      </w:pPr>
      <w:r>
        <w:rPr>
          <w:color w:val="000000"/>
        </w:rPr>
        <w:t>3  Architecture</w:t>
      </w:r>
    </w:p>
    <w:p>
      <w:pPr>
        <w:pStyle w:val="Heading2"/>
      </w:pPr>
      <w:r>
        <w:rPr>
          <w:color w:val="000000"/>
        </w:rPr>
        <w:t>3.1  Overview</w:t>
      </w:r>
    </w:p>
    <w:p>
      <w:r>
        <w:t>AXIOM comprises four components: a structural encoder producing a 128-dimensional representation; a sparse computation graph of ComputeNode instances with conditional, lateral, and feedback edges; a hierarchical resolver orchestrating routing decisions; and an embedding cache for repeated inputs. The system operates in two modes: RouteMode::Training (cache disabled) and RouteMode::Inference (cache enabled at cosine similarity threshold 0.92).</w:t>
      </w:r>
    </w:p>
    <w:p>
      <w:pPr>
        <w:pStyle w:val="Heading2"/>
      </w:pPr>
      <w:r>
        <w:rPr>
          <w:color w:val="000000"/>
        </w:rPr>
        <w:t>3.2  Non-Local Graph Communication</w:t>
      </w:r>
    </w:p>
    <w:p>
      <w:r>
        <w:t>The central architectural contribution is AXIOM’s sparse computation graph, which supports four distinct traversal directions. Every routing decision is traceable through a sequence of TraceStep records:</w:t>
      </w:r>
    </w:p>
    <w:p>
      <w:pPr>
        <w:spacing w:before="120" w:after="120"/>
        <w:ind w:left="567"/>
      </w:pPr>
      <w:r>
        <w:rPr>
          <w:rFonts w:ascii="Courier New" w:hAnsi="Courier New"/>
          <w:sz w:val="18"/>
        </w:rPr>
        <w:t>TraversalDirection { Forward, Lateral, Feedback, Temporal }</w:t>
      </w:r>
    </w:p>
    <w:p>
      <w:pPr>
        <w:spacing w:before="120" w:after="120"/>
        <w:ind w:left="567"/>
      </w:pPr>
      <w:r>
        <w:rPr>
          <w:rFonts w:ascii="Courier New" w:hAnsi="Courier New"/>
          <w:sz w:val="18"/>
        </w:rPr>
        <w:t>TraceStep { node_id, tier, direction, confidence_in, confidence_out, was_cached }</w:t>
      </w:r>
    </w:p>
    <w:p>
      <w:r>
        <w:t>Forward traversal (Surface → Reasoning → Deep) is conditional: a ConditionalEdge fires only when its EdgeCondition evaluates true for the current routing state. EdgeCondition variants are: Always, IfConfidenceAbove(f32), IfConfidenceBelow(f32), IfTier(Tier). Which edges fire depends on the input — this is not a fixed pipeline.</w:t>
      </w:r>
    </w:p>
    <w:p>
      <w:r>
        <w:t>Lateral traversal models cortical column behaviour. When a Surface node produces low confidence, lateral edges activate other Surface nodes at the same tier before escalating. A LateralEdge connects two same-tier nodes with a weight and LateralCondition. The RouteResult tracks lateral_count (how many lateral attempts were made) and lateral_prevented_escalation (how many avoided escalation to an expensive tier). This creates graceful degradation — the system exhausts cheap options before escalating.</w:t>
      </w:r>
    </w:p>
    <w:p>
      <w:r>
        <w:t>Feedback traversal runs upward: when a Deep node resolves an input with confidence above 0.90, it emits a FeedbackSignal to shallower tiers. FeedbackSignal carries: from_node, to_tier, reason (LowConfidenceResolved | ContradictionDetected | CacheInvalidation), and confidence_delta. This is not backpropagation — it is directional confidence nudging. If Deep repeatedly resolves inputs that Reasoning escalated unnecessarily, Reasoning’s base confidence lowers, reducing future over-escalation. The system corrects its own routing mistakes without external supervision.</w:t>
      </w:r>
    </w:p>
    <w:p>
      <w:r>
        <w:t>Temporal traversal gives AXIOM memory across routing decisions. A ring buffer of capacity 16 stores recent routing results. When a new input arrives with cosine similarity above 0.85 to a recent input, the past result blends into the current routing: current_output = 0.7 × live_output + 0.3 × temporal_match. A burst of complex queries influences routing of subsequent queries even if they appear simple in isolation.</w:t>
      </w:r>
    </w:p>
    <w:p>
      <w:r>
        <w:t>The communication topology distinguishes AXIOM from every surveyed alternative:</w:t>
      </w:r>
    </w:p>
    <w:p>
      <w:pPr>
        <w:spacing w:before="120" w:after="120"/>
        <w:ind w:left="567"/>
      </w:pPr>
      <w:r>
        <w:rPr>
          <w:rFonts w:ascii="Courier New" w:hAnsi="Courier New"/>
          <w:sz w:val="18"/>
        </w:rPr>
        <w:t>RouteLLM:  Input → [BERT] → score → model selection</w:t>
        <w:br/>
        <w:t>FrugalGPT: Input → [Model1] → score → maybe [Model2] → score → maybe [Model3]</w:t>
        <w:br/>
        <w:t>AXIOM:     Input → [Surface1] ←lateral→ [Surface2] → (conditional edge) →</w:t>
        <w:br/>
        <w:t xml:space="preserve">           [Reasoning3] ←coalition→ [Deep6] → (feedback signal upward)</w:t>
        <w:br/>
        <w:t xml:space="preserve">           with temporal_buffer blending throughout</w:t>
      </w:r>
    </w:p>
    <w:p>
      <w:pPr>
        <w:pStyle w:val="Heading2"/>
      </w:pPr>
      <w:r>
        <w:rPr>
          <w:color w:val="000000"/>
        </w:rPr>
        <w:t>3.3  Structural Encoder</w:t>
      </w:r>
    </w:p>
    <w:p>
      <w:r>
        <w:t>The encoder produces a 128-dimensional vector divided into five feature groups. G1 (26 dimensions): character n-gram profiles, amplified 3.0×. G2 (36 dimensions): syntactic proxy features including nested clause depth, pronoun density, and hapax ratio, amplified 3.0×. G3 (39 dimensions): position-weighted token signal. G4 (15 dimensions): scalar complexity measures including type-token ratio, lexical density, rare word ratio, academic ratio, polysyllabic ratio, and character entropy, amplified 4.0×. G5 (12 dimensions): structural syntax features — dependency depth proxy, constituent length variance, and function word position entropy, amplified 3.0×. A per-dimension penalty vector, learned from corpus statistics, applies targeted suppression to individual encoder dimensions during Surface confidence computation.</w:t>
      </w:r>
    </w:p>
    <w:p>
      <w:r>
        <w:t>G5 drives the magnitude penalty applied to Surface confidence. Surface nodes use cosine-only confidence (base_confidence weight = 0.0, set during analytical initialisation). The full confidence formula for Surface nodes is:</w:t>
      </w:r>
    </w:p>
    <w:p>
      <w:pPr>
        <w:spacing w:before="120" w:after="120"/>
        <w:ind w:left="567"/>
      </w:pPr>
      <w:r>
        <w:rPr>
          <w:rFonts w:ascii="Courier New" w:hAnsi="Courier New"/>
          <w:sz w:val="18"/>
        </w:rPr>
        <w:t>cosine_sim  = clamp(dot(input, weight_direction) /</w:t>
        <w:br/>
        <w:t xml:space="preserve">              (||input|| × ||weight_direction|| + 1e-8), 0, 1)</w:t>
        <w:br/>
        <w:t>g5_penalty  = clamp((g5_norm − g5_simple_mean_norm) /</w:t>
        <w:br/>
        <w:t xml:space="preserve">              (g5_complex_mean_norm − g5_simple_mean_norm), 0, 1)</w:t>
        <w:br/>
        <w:t>per_dim     = Σ weight_i × max(input[dim_i] − threshold_i, 0)</w:t>
        <w:br/>
        <w:t>confidence  = cosine_sim − g5_penalty × 0.35 − per_dim</w:t>
      </w:r>
    </w:p>
    <w:p>
      <w:r>
        <w:t>Parameters g5_simple_mean_norm = 2.4596 and g5_complex_mean_norm = 3.3316 are persisted to axiom_weights.json. For multi-sentence inputs, sentence chunking splits on punctuation boundaries, encodes independently, and averages G5 norms — confirmed ratio 1.00× on chunked versus unchunked equivalent input.</w:t>
      </w:r>
    </w:p>
    <w:p>
      <w:pPr>
        <w:pStyle w:val="Heading2"/>
      </w:pPr>
      <w:r>
        <w:rPr>
          <w:color w:val="000000"/>
        </w:rPr>
        <w:t>3.4  Analytical Initialisation and Frozen Surface Weights</w:t>
      </w:r>
    </w:p>
    <w:p>
      <w:r>
        <w:t>Surface-tier nodes are initialised analytically from the mean direction of simple training examples (AnalyticalInit) and frozen throughout training. This is the central training invariant. The rationale: the Surface tier needs to identify definitively simple inputs. Any gradient signal applied to Surface weights risks corrupting the geometric separation established at initialisation. Reasoning and Deep nodes are initialised with near-orthogonal weight directions (OrthogonalInit, mean pairwise cosine 0.0032) and updated via Oja’s rule during training.</w:t>
      </w:r>
    </w:p>
    <w:p>
      <w:pPr>
        <w:pStyle w:val="Heading2"/>
      </w:pPr>
      <w:r>
        <w:rPr>
          <w:color w:val="000000"/>
        </w:rPr>
        <w:t>3.5  Dynamic Coalition Formation</w:t>
      </w:r>
    </w:p>
    <w:p>
      <w:r>
        <w:t>When input escalates past Surface, AXIOM forms a temporary coalition. Every Reasoning and Deep node computes cosine similarity to the input. Nodes above bid_threshold = 0.10 enter the bidding pool. The coalition is assembled by weighted random sampling up to max_coalition_size = 4 (stochastic selection, proportional to similarity score). The highest-bidding node’s output becomes the final routing decision, but all coalition members process the input and update weights via Hebbian competition. This produces specialisation without explicit labels — nodes win bids on inputs they handle best, and their weights reinforce that specialisation.</w:t>
      </w:r>
    </w:p>
    <w:p>
      <w:r>
        <w:t>A typical coalition: [reasoning_standalone_4 (bid=0.943), reasoning_standalone_13 (bid=0.940), deep_standalone_6 (bid=0.943, RESOLVED), reasoning_standalone_12 (bid=0.937)] with resolved_by=deep_standalone_6, cross_tier=true. Cross-tier resolutions — where a Reasoning node outbids Deep nodes — are tracked separately. Post-training: 20 of 30 R+D nodes activate regularly. Deep tier handles 21.9% of routed queries. R+D pairwise cosine drifts from 0.0032 at initialisation toward input-specific principal components via Oja convergence.</w:t>
      </w:r>
    </w:p>
    <w:p>
      <w:pPr>
        <w:pStyle w:val="Heading1"/>
      </w:pPr>
      <w:r>
        <w:rPr>
          <w:color w:val="000000"/>
        </w:rPr>
        <w:t>4  Training Methodology</w:t>
      </w:r>
    </w:p>
    <w:p>
      <w:pPr>
        <w:pStyle w:val="Heading2"/>
      </w:pPr>
      <w:r>
        <w:rPr>
          <w:color w:val="000000"/>
        </w:rPr>
        <w:t>4.1  Corpus</w:t>
      </w:r>
    </w:p>
    <w:p>
      <w:r>
        <w:t>Training corpus: 2,558 sentences from three sources. Manually constructed simple/complex sentence pairs across academic, conversational, technical, and narrative domains. A 100-entry multi-paragraph corpus (34 simple, 33 moderate, 33 complex). An adversarial curriculum of 40 sentences targeting known failure modes including very short semantically complex queries and long simple inputs.</w:t>
      </w:r>
    </w:p>
    <w:p>
      <w:pPr>
        <w:pStyle w:val="Heading2"/>
      </w:pPr>
      <w:r>
        <w:rPr>
          <w:color w:val="000000"/>
        </w:rPr>
        <w:t>4.2  Training Procedure</w:t>
      </w:r>
    </w:p>
    <w:p>
      <w:r>
        <w:t>For each training example: encoder produces 128-dimensional representation; hierarchical resolver routes the input and computes confidence; Oja’s rule updates activated Reasoning and Deep node weight directions; G5 population statistics accumulate. Surface nodes receive no updates. After training: calibration computes simple_mean_confidence, complex_mean_confidence, and Surface escalation threshold from a held-out set of 27 sentences. Auto-tuner writes final configuration to axiom_config.json. G5 parameters and node weights write to axiom_weights.json (10.1 MB).</w:t>
      </w:r>
    </w:p>
    <w:p>
      <w:pPr>
        <w:pStyle w:val="Heading2"/>
      </w:pPr>
      <w:r>
        <w:rPr>
          <w:color w:val="000000"/>
        </w:rPr>
        <w:t>4.3  Production Configuration</w:t>
      </w:r>
    </w:p>
    <w:p>
      <w:r>
        <w:t>Production model: mid_dim = 128, 1,205,376 total parameters. Training time: 206 seconds (3.4 minutes). Peak RAM: 312 MB. No GPU at any stage. A scaling experiment at mid_dim = 512 (~4,800,000 parameters) produced identical adversarial accuracy (22/40) with approximately 4.7× longer training time. The bottleneck is the 128-dimensional encoder input, not node capacity — selected production configuration is 1.2M parameters.</w:t>
      </w:r>
    </w:p>
    <w:p>
      <w:pPr>
        <w:pStyle w:val="Heading1"/>
      </w:pPr>
      <w:r>
        <w:rPr>
          <w:color w:val="000000"/>
        </w:rPr>
        <w:t>5  Evaluation</w:t>
      </w:r>
    </w:p>
    <w:p>
      <w:pPr>
        <w:pStyle w:val="Heading2"/>
      </w:pPr>
      <w:r>
        <w:rPr>
          <w:color w:val="000000"/>
        </w:rPr>
        <w:t>5.1  Benchmark Datasets</w:t>
      </w:r>
    </w:p>
    <w:p>
      <w:r>
        <w:t>Two evaluation sets were constructed. Validation set: 105 sentences (40 simple, 33 moderate, 32 complex) spanning conversational queries, technical prose, and academic reasoning. Adversarial set: 40 sentences specifically targeting known failure modes — very short semantically complex queries (“Cogito ergo sum”), garden-path sentences (“the horse raced past the barn fell”), rare-vocabulary simple inputs (“the tintinnabulation resonated melodiously”), and long simple inputs with inflated structural features.</w:t>
      </w:r>
    </w:p>
    <w:p>
      <w:pPr>
        <w:pStyle w:val="Heading2"/>
      </w:pPr>
      <w:r>
        <w:rPr>
          <w:color w:val="000000"/>
        </w:rPr>
        <w:t>5.2  Routing Accuracy</w:t>
      </w:r>
    </w:p>
    <w:p>
      <w:r>
        <w:t>Table 1: Routing accuracy by evaluation set.</w:t>
      </w:r>
    </w:p>
    <w:tbl>
      <w:tblPr>
        <w:tblStyle w:val="LightShading"/>
        <w:tblW w:type="auto" w:w="0"/>
        <w:jc w:val="center"/>
        <w:tblLook w:firstColumn="1" w:firstRow="1" w:lastColumn="0" w:lastRow="0" w:noHBand="0" w:noVBand="1" w:val="04A0"/>
      </w:tblPr>
      <w:tblGrid>
        <w:gridCol w:w="2340"/>
        <w:gridCol w:w="2340"/>
        <w:gridCol w:w="2340"/>
        <w:gridCol w:w="2340"/>
      </w:tblGrid>
      <w:tr>
        <w:tc>
          <w:tcPr>
            <w:tcW w:type="dxa" w:w="2160"/>
          </w:tcPr>
          <w:p>
            <w:pPr>
              <w:jc w:val="center"/>
            </w:pPr>
            <w:r/>
            <w:r>
              <w:rPr>
                <w:rFonts w:ascii="Times New Roman" w:hAnsi="Times New Roman"/>
                <w:b/>
                <w:sz w:val="20"/>
              </w:rPr>
              <w:t>Dataset</w:t>
            </w:r>
          </w:p>
        </w:tc>
        <w:tc>
          <w:tcPr>
            <w:tcW w:type="dxa" w:w="1440"/>
          </w:tcPr>
          <w:p>
            <w:pPr>
              <w:jc w:val="center"/>
            </w:pPr>
            <w:r/>
            <w:r>
              <w:rPr>
                <w:rFonts w:ascii="Times New Roman" w:hAnsi="Times New Roman"/>
                <w:b/>
                <w:sz w:val="20"/>
              </w:rPr>
              <w:t>Queries</w:t>
            </w:r>
          </w:p>
        </w:tc>
        <w:tc>
          <w:tcPr>
            <w:tcW w:type="dxa" w:w="1440"/>
          </w:tcPr>
          <w:p>
            <w:pPr>
              <w:jc w:val="center"/>
            </w:pPr>
            <w:r/>
            <w:r>
              <w:rPr>
                <w:rFonts w:ascii="Times New Roman" w:hAnsi="Times New Roman"/>
                <w:b/>
                <w:sz w:val="20"/>
              </w:rPr>
              <w:t>Correct</w:t>
            </w:r>
          </w:p>
        </w:tc>
        <w:tc>
          <w:tcPr>
            <w:tcW w:type="dxa" w:w="1440"/>
          </w:tcPr>
          <w:p>
            <w:pPr>
              <w:jc w:val="center"/>
            </w:pPr>
            <w:r/>
            <w:r>
              <w:rPr>
                <w:rFonts w:ascii="Times New Roman" w:hAnsi="Times New Roman"/>
                <w:b/>
                <w:sz w:val="20"/>
              </w:rPr>
              <w:t>Accuracy</w:t>
            </w:r>
          </w:p>
        </w:tc>
      </w:tr>
      <w:tr>
        <w:tc>
          <w:tcPr>
            <w:tcW w:type="dxa" w:w="2160"/>
          </w:tcPr>
          <w:p>
            <w:pPr>
              <w:jc w:val="center"/>
            </w:pPr>
            <w:r/>
            <w:r>
              <w:rPr>
                <w:rFonts w:ascii="Times New Roman" w:hAnsi="Times New Roman"/>
                <w:sz w:val="20"/>
              </w:rPr>
              <w:t>Simple</w:t>
            </w:r>
          </w:p>
        </w:tc>
        <w:tc>
          <w:tcPr>
            <w:tcW w:type="dxa" w:w="1440"/>
          </w:tcPr>
          <w:p>
            <w:pPr>
              <w:jc w:val="center"/>
            </w:pPr>
            <w:r/>
            <w:r>
              <w:rPr>
                <w:rFonts w:ascii="Times New Roman" w:hAnsi="Times New Roman"/>
                <w:sz w:val="20"/>
              </w:rPr>
              <w:t>40</w:t>
            </w:r>
          </w:p>
        </w:tc>
        <w:tc>
          <w:tcPr>
            <w:tcW w:type="dxa" w:w="1440"/>
          </w:tcPr>
          <w:p>
            <w:pPr>
              <w:jc w:val="center"/>
            </w:pPr>
            <w:r/>
            <w:r>
              <w:rPr>
                <w:rFonts w:ascii="Times New Roman" w:hAnsi="Times New Roman"/>
                <w:sz w:val="20"/>
              </w:rPr>
              <w:t>38</w:t>
            </w:r>
          </w:p>
        </w:tc>
        <w:tc>
          <w:tcPr>
            <w:tcW w:type="dxa" w:w="1440"/>
          </w:tcPr>
          <w:p>
            <w:pPr>
              <w:jc w:val="center"/>
            </w:pPr>
            <w:r/>
            <w:r>
              <w:rPr>
                <w:rFonts w:ascii="Times New Roman" w:hAnsi="Times New Roman"/>
                <w:sz w:val="20"/>
              </w:rPr>
              <w:t>95.0%</w:t>
            </w:r>
          </w:p>
        </w:tc>
      </w:tr>
      <w:tr>
        <w:tc>
          <w:tcPr>
            <w:tcW w:type="dxa" w:w="2160"/>
          </w:tcPr>
          <w:p>
            <w:pPr>
              <w:jc w:val="center"/>
            </w:pPr>
            <w:r/>
            <w:r>
              <w:rPr>
                <w:rFonts w:ascii="Times New Roman" w:hAnsi="Times New Roman"/>
                <w:sz w:val="20"/>
              </w:rPr>
              <w:t>Moderate</w:t>
            </w:r>
          </w:p>
        </w:tc>
        <w:tc>
          <w:tcPr>
            <w:tcW w:type="dxa" w:w="1440"/>
          </w:tcPr>
          <w:p>
            <w:pPr>
              <w:jc w:val="center"/>
            </w:pPr>
            <w:r/>
            <w:r>
              <w:rPr>
                <w:rFonts w:ascii="Times New Roman" w:hAnsi="Times New Roman"/>
                <w:sz w:val="20"/>
              </w:rPr>
              <w:t>33</w:t>
            </w:r>
          </w:p>
        </w:tc>
        <w:tc>
          <w:tcPr>
            <w:tcW w:type="dxa" w:w="1440"/>
          </w:tcPr>
          <w:p>
            <w:pPr>
              <w:jc w:val="center"/>
            </w:pPr>
            <w:r/>
            <w:r>
              <w:rPr>
                <w:rFonts w:ascii="Times New Roman" w:hAnsi="Times New Roman"/>
                <w:sz w:val="20"/>
              </w:rPr>
              <w:t>31</w:t>
            </w:r>
          </w:p>
        </w:tc>
        <w:tc>
          <w:tcPr>
            <w:tcW w:type="dxa" w:w="1440"/>
          </w:tcPr>
          <w:p>
            <w:pPr>
              <w:jc w:val="center"/>
            </w:pPr>
            <w:r/>
            <w:r>
              <w:rPr>
                <w:rFonts w:ascii="Times New Roman" w:hAnsi="Times New Roman"/>
                <w:sz w:val="20"/>
              </w:rPr>
              <w:t>93.9%</w:t>
            </w:r>
          </w:p>
        </w:tc>
      </w:tr>
      <w:tr>
        <w:tc>
          <w:tcPr>
            <w:tcW w:type="dxa" w:w="2160"/>
          </w:tcPr>
          <w:p>
            <w:pPr>
              <w:jc w:val="center"/>
            </w:pPr>
            <w:r/>
            <w:r>
              <w:rPr>
                <w:rFonts w:ascii="Times New Roman" w:hAnsi="Times New Roman"/>
                <w:sz w:val="20"/>
              </w:rPr>
              <w:t>Complex</w:t>
            </w:r>
          </w:p>
        </w:tc>
        <w:tc>
          <w:tcPr>
            <w:tcW w:type="dxa" w:w="1440"/>
          </w:tcPr>
          <w:p>
            <w:pPr>
              <w:jc w:val="center"/>
            </w:pPr>
            <w:r/>
            <w:r>
              <w:rPr>
                <w:rFonts w:ascii="Times New Roman" w:hAnsi="Times New Roman"/>
                <w:sz w:val="20"/>
              </w:rPr>
              <w:t>32</w:t>
            </w:r>
          </w:p>
        </w:tc>
        <w:tc>
          <w:tcPr>
            <w:tcW w:type="dxa" w:w="1440"/>
          </w:tcPr>
          <w:p>
            <w:pPr>
              <w:jc w:val="center"/>
            </w:pPr>
            <w:r/>
            <w:r>
              <w:rPr>
                <w:rFonts w:ascii="Times New Roman" w:hAnsi="Times New Roman"/>
                <w:sz w:val="20"/>
              </w:rPr>
              <w:t>25</w:t>
            </w:r>
          </w:p>
        </w:tc>
        <w:tc>
          <w:tcPr>
            <w:tcW w:type="dxa" w:w="1440"/>
          </w:tcPr>
          <w:p>
            <w:pPr>
              <w:jc w:val="center"/>
            </w:pPr>
            <w:r/>
            <w:r>
              <w:rPr>
                <w:rFonts w:ascii="Times New Roman" w:hAnsi="Times New Roman"/>
                <w:sz w:val="20"/>
              </w:rPr>
              <w:t>78.1%</w:t>
            </w:r>
          </w:p>
        </w:tc>
      </w:tr>
      <w:tr>
        <w:tc>
          <w:tcPr>
            <w:tcW w:type="dxa" w:w="2160"/>
          </w:tcPr>
          <w:p>
            <w:pPr>
              <w:jc w:val="center"/>
            </w:pPr>
            <w:r/>
            <w:r>
              <w:rPr>
                <w:rFonts w:ascii="Times New Roman" w:hAnsi="Times New Roman"/>
                <w:sz w:val="20"/>
              </w:rPr>
              <w:t>Validation total</w:t>
            </w:r>
          </w:p>
        </w:tc>
        <w:tc>
          <w:tcPr>
            <w:tcW w:type="dxa" w:w="1440"/>
          </w:tcPr>
          <w:p>
            <w:pPr>
              <w:jc w:val="center"/>
            </w:pPr>
            <w:r/>
            <w:r>
              <w:rPr>
                <w:rFonts w:ascii="Times New Roman" w:hAnsi="Times New Roman"/>
                <w:sz w:val="20"/>
              </w:rPr>
              <w:t>105</w:t>
            </w:r>
          </w:p>
        </w:tc>
        <w:tc>
          <w:tcPr>
            <w:tcW w:type="dxa" w:w="1440"/>
          </w:tcPr>
          <w:p>
            <w:pPr>
              <w:jc w:val="center"/>
            </w:pPr>
            <w:r/>
            <w:r>
              <w:rPr>
                <w:rFonts w:ascii="Times New Roman" w:hAnsi="Times New Roman"/>
                <w:sz w:val="20"/>
              </w:rPr>
              <w:t>94</w:t>
            </w:r>
          </w:p>
        </w:tc>
        <w:tc>
          <w:tcPr>
            <w:tcW w:type="dxa" w:w="1440"/>
          </w:tcPr>
          <w:p>
            <w:pPr>
              <w:jc w:val="center"/>
            </w:pPr>
            <w:r/>
            <w:r>
              <w:rPr>
                <w:rFonts w:ascii="Times New Roman" w:hAnsi="Times New Roman"/>
                <w:sz w:val="20"/>
              </w:rPr>
              <w:t>89.5%</w:t>
            </w:r>
          </w:p>
        </w:tc>
      </w:tr>
      <w:tr>
        <w:tc>
          <w:tcPr>
            <w:tcW w:type="dxa" w:w="2160"/>
          </w:tcPr>
          <w:p>
            <w:pPr>
              <w:jc w:val="center"/>
            </w:pPr>
            <w:r/>
            <w:r>
              <w:rPr>
                <w:rFonts w:ascii="Times New Roman" w:hAnsi="Times New Roman"/>
                <w:sz w:val="20"/>
              </w:rPr>
              <w:t>Adversarial</w:t>
            </w:r>
          </w:p>
        </w:tc>
        <w:tc>
          <w:tcPr>
            <w:tcW w:type="dxa" w:w="1440"/>
          </w:tcPr>
          <w:p>
            <w:pPr>
              <w:jc w:val="center"/>
            </w:pPr>
            <w:r/>
            <w:r>
              <w:rPr>
                <w:rFonts w:ascii="Times New Roman" w:hAnsi="Times New Roman"/>
                <w:sz w:val="20"/>
              </w:rPr>
              <w:t>40</w:t>
            </w:r>
          </w:p>
        </w:tc>
        <w:tc>
          <w:tcPr>
            <w:tcW w:type="dxa" w:w="1440"/>
          </w:tcPr>
          <w:p>
            <w:pPr>
              <w:jc w:val="center"/>
            </w:pPr>
            <w:r/>
            <w:r>
              <w:rPr>
                <w:rFonts w:ascii="Times New Roman" w:hAnsi="Times New Roman"/>
                <w:sz w:val="20"/>
              </w:rPr>
              <w:t>26</w:t>
            </w:r>
          </w:p>
        </w:tc>
        <w:tc>
          <w:tcPr>
            <w:tcW w:type="dxa" w:w="1440"/>
          </w:tcPr>
          <w:p>
            <w:pPr>
              <w:jc w:val="center"/>
            </w:pPr>
            <w:r/>
            <w:r>
              <w:rPr>
                <w:rFonts w:ascii="Times New Roman" w:hAnsi="Times New Roman"/>
                <w:sz w:val="20"/>
              </w:rPr>
              <w:t>65.0%</w:t>
            </w:r>
          </w:p>
        </w:tc>
      </w:tr>
    </w:tbl>
    <w:p/>
    <w:p>
      <w:r>
        <w:t>Simple routing accuracy is 95.0% — nearly every simple query stays at Surface. This is the commercially critical result: false escalations to expensive tiers drive unnecessary cost. Complex accuracy of 78.1% indicates that the majority of complex queries are correctly escalated to Reasoning or Deep tiers. The adversarial score of 65.0% reflects the structural encoder ceiling described in Section 5.4.</w:t>
      </w:r>
    </w:p>
    <w:p>
      <w:pPr>
        <w:pStyle w:val="Heading2"/>
      </w:pPr>
      <w:r>
        <w:rPr>
          <w:color w:val="000000"/>
        </w:rPr>
        <w:t>5.3  Cost Model</w:t>
      </w:r>
    </w:p>
    <w:p>
      <w:r>
        <w:t>Table 2: Cost model assumptions per tier.</w:t>
      </w:r>
    </w:p>
    <w:tbl>
      <w:tblPr>
        <w:tblStyle w:val="LightShading"/>
        <w:tblW w:type="auto" w:w="0"/>
        <w:jc w:val="center"/>
        <w:tblLook w:firstColumn="1" w:firstRow="1" w:lastColumn="0" w:lastRow="0" w:noHBand="0" w:noVBand="1" w:val="04A0"/>
      </w:tblPr>
      <w:tblGrid>
        <w:gridCol w:w="1560"/>
        <w:gridCol w:w="1560"/>
        <w:gridCol w:w="1560"/>
        <w:gridCol w:w="1560"/>
        <w:gridCol w:w="1560"/>
        <w:gridCol w:w="1560"/>
      </w:tblGrid>
      <w:tr>
        <w:tc>
          <w:tcPr>
            <w:tcW w:type="dxa" w:w="1296"/>
          </w:tcPr>
          <w:p>
            <w:pPr>
              <w:jc w:val="center"/>
            </w:pPr>
            <w:r/>
            <w:r>
              <w:rPr>
                <w:rFonts w:ascii="Times New Roman" w:hAnsi="Times New Roman"/>
                <w:b/>
                <w:sz w:val="20"/>
              </w:rPr>
              <w:t>Tier</w:t>
            </w:r>
          </w:p>
        </w:tc>
        <w:tc>
          <w:tcPr>
            <w:tcW w:type="dxa" w:w="2016"/>
          </w:tcPr>
          <w:p>
            <w:pPr>
              <w:jc w:val="center"/>
            </w:pPr>
            <w:r/>
            <w:r>
              <w:rPr>
                <w:rFonts w:ascii="Times New Roman" w:hAnsi="Times New Roman"/>
                <w:b/>
                <w:sz w:val="20"/>
              </w:rPr>
              <w:t>Model</w:t>
            </w:r>
          </w:p>
        </w:tc>
        <w:tc>
          <w:tcPr>
            <w:tcW w:type="dxa" w:w="1152"/>
          </w:tcPr>
          <w:p>
            <w:pPr>
              <w:jc w:val="center"/>
            </w:pPr>
            <w:r/>
            <w:r>
              <w:rPr>
                <w:rFonts w:ascii="Times New Roman" w:hAnsi="Times New Roman"/>
                <w:b/>
                <w:sz w:val="20"/>
              </w:rPr>
              <w:t>Input $/M</w:t>
            </w:r>
          </w:p>
        </w:tc>
        <w:tc>
          <w:tcPr>
            <w:tcW w:type="dxa" w:w="1152"/>
          </w:tcPr>
          <w:p>
            <w:pPr>
              <w:jc w:val="center"/>
            </w:pPr>
            <w:r/>
            <w:r>
              <w:rPr>
                <w:rFonts w:ascii="Times New Roman" w:hAnsi="Times New Roman"/>
                <w:b/>
                <w:sz w:val="20"/>
              </w:rPr>
              <w:t>Output $/M</w:t>
            </w:r>
          </w:p>
        </w:tc>
        <w:tc>
          <w:tcPr>
            <w:tcW w:type="dxa" w:w="1296"/>
          </w:tcPr>
          <w:p>
            <w:pPr>
              <w:jc w:val="center"/>
            </w:pPr>
            <w:r/>
            <w:r>
              <w:rPr>
                <w:rFonts w:ascii="Times New Roman" w:hAnsi="Times New Roman"/>
                <w:b/>
                <w:sz w:val="20"/>
              </w:rPr>
              <w:t>Avg tokens in</w:t>
            </w:r>
          </w:p>
        </w:tc>
        <w:tc>
          <w:tcPr>
            <w:tcW w:type="dxa" w:w="1440"/>
          </w:tcPr>
          <w:p>
            <w:pPr>
              <w:jc w:val="center"/>
            </w:pPr>
            <w:r/>
            <w:r>
              <w:rPr>
                <w:rFonts w:ascii="Times New Roman" w:hAnsi="Times New Roman"/>
                <w:b/>
                <w:sz w:val="20"/>
              </w:rPr>
              <w:t>Avg tokens out</w:t>
            </w:r>
          </w:p>
        </w:tc>
      </w:tr>
      <w:tr>
        <w:tc>
          <w:tcPr>
            <w:tcW w:type="dxa" w:w="1296"/>
          </w:tcPr>
          <w:p>
            <w:pPr>
              <w:jc w:val="center"/>
            </w:pPr>
            <w:r/>
            <w:r>
              <w:rPr>
                <w:rFonts w:ascii="Times New Roman" w:hAnsi="Times New Roman"/>
                <w:sz w:val="20"/>
              </w:rPr>
              <w:t>Surface</w:t>
            </w:r>
          </w:p>
        </w:tc>
        <w:tc>
          <w:tcPr>
            <w:tcW w:type="dxa" w:w="2016"/>
          </w:tcPr>
          <w:p>
            <w:pPr>
              <w:jc w:val="center"/>
            </w:pPr>
            <w:r/>
            <w:r>
              <w:rPr>
                <w:rFonts w:ascii="Times New Roman" w:hAnsi="Times New Roman"/>
                <w:sz w:val="20"/>
              </w:rPr>
              <w:t>claude-haiku-4-5</w:t>
            </w:r>
          </w:p>
        </w:tc>
        <w:tc>
          <w:tcPr>
            <w:tcW w:type="dxa" w:w="1152"/>
          </w:tcPr>
          <w:p>
            <w:pPr>
              <w:jc w:val="center"/>
            </w:pPr>
            <w:r/>
            <w:r>
              <w:rPr>
                <w:rFonts w:ascii="Times New Roman" w:hAnsi="Times New Roman"/>
                <w:sz w:val="20"/>
              </w:rPr>
              <w:t>$0.80</w:t>
            </w:r>
          </w:p>
        </w:tc>
        <w:tc>
          <w:tcPr>
            <w:tcW w:type="dxa" w:w="1152"/>
          </w:tcPr>
          <w:p>
            <w:pPr>
              <w:jc w:val="center"/>
            </w:pPr>
            <w:r/>
            <w:r>
              <w:rPr>
                <w:rFonts w:ascii="Times New Roman" w:hAnsi="Times New Roman"/>
                <w:sz w:val="20"/>
              </w:rPr>
              <w:t>$4.00</w:t>
            </w:r>
          </w:p>
        </w:tc>
        <w:tc>
          <w:tcPr>
            <w:tcW w:type="dxa" w:w="1296"/>
          </w:tcPr>
          <w:p>
            <w:pPr>
              <w:jc w:val="center"/>
            </w:pPr>
            <w:r/>
            <w:r>
              <w:rPr>
                <w:rFonts w:ascii="Times New Roman" w:hAnsi="Times New Roman"/>
                <w:sz w:val="20"/>
              </w:rPr>
              <w:t>150</w:t>
            </w:r>
          </w:p>
        </w:tc>
        <w:tc>
          <w:tcPr>
            <w:tcW w:type="dxa" w:w="1440"/>
          </w:tcPr>
          <w:p>
            <w:pPr>
              <w:jc w:val="center"/>
            </w:pPr>
            <w:r/>
            <w:r>
              <w:rPr>
                <w:rFonts w:ascii="Times New Roman" w:hAnsi="Times New Roman"/>
                <w:sz w:val="20"/>
              </w:rPr>
              <w:t>200</w:t>
            </w:r>
          </w:p>
        </w:tc>
      </w:tr>
      <w:tr>
        <w:tc>
          <w:tcPr>
            <w:tcW w:type="dxa" w:w="1296"/>
          </w:tcPr>
          <w:p>
            <w:pPr>
              <w:jc w:val="center"/>
            </w:pPr>
            <w:r/>
            <w:r>
              <w:rPr>
                <w:rFonts w:ascii="Times New Roman" w:hAnsi="Times New Roman"/>
                <w:sz w:val="20"/>
              </w:rPr>
              <w:t>Reasoning</w:t>
            </w:r>
          </w:p>
        </w:tc>
        <w:tc>
          <w:tcPr>
            <w:tcW w:type="dxa" w:w="2016"/>
          </w:tcPr>
          <w:p>
            <w:pPr>
              <w:jc w:val="center"/>
            </w:pPr>
            <w:r/>
            <w:r>
              <w:rPr>
                <w:rFonts w:ascii="Times New Roman" w:hAnsi="Times New Roman"/>
                <w:sz w:val="20"/>
              </w:rPr>
              <w:t>claude-sonnet-4-5</w:t>
            </w:r>
          </w:p>
        </w:tc>
        <w:tc>
          <w:tcPr>
            <w:tcW w:type="dxa" w:w="1152"/>
          </w:tcPr>
          <w:p>
            <w:pPr>
              <w:jc w:val="center"/>
            </w:pPr>
            <w:r/>
            <w:r>
              <w:rPr>
                <w:rFonts w:ascii="Times New Roman" w:hAnsi="Times New Roman"/>
                <w:sz w:val="20"/>
              </w:rPr>
              <w:t>$3.00</w:t>
            </w:r>
          </w:p>
        </w:tc>
        <w:tc>
          <w:tcPr>
            <w:tcW w:type="dxa" w:w="1152"/>
          </w:tcPr>
          <w:p>
            <w:pPr>
              <w:jc w:val="center"/>
            </w:pPr>
            <w:r/>
            <w:r>
              <w:rPr>
                <w:rFonts w:ascii="Times New Roman" w:hAnsi="Times New Roman"/>
                <w:sz w:val="20"/>
              </w:rPr>
              <w:t>$15.00</w:t>
            </w:r>
          </w:p>
        </w:tc>
        <w:tc>
          <w:tcPr>
            <w:tcW w:type="dxa" w:w="1296"/>
          </w:tcPr>
          <w:p>
            <w:pPr>
              <w:jc w:val="center"/>
            </w:pPr>
            <w:r/>
            <w:r>
              <w:rPr>
                <w:rFonts w:ascii="Times New Roman" w:hAnsi="Times New Roman"/>
                <w:sz w:val="20"/>
              </w:rPr>
              <w:t>300</w:t>
            </w:r>
          </w:p>
        </w:tc>
        <w:tc>
          <w:tcPr>
            <w:tcW w:type="dxa" w:w="1440"/>
          </w:tcPr>
          <w:p>
            <w:pPr>
              <w:jc w:val="center"/>
            </w:pPr>
            <w:r/>
            <w:r>
              <w:rPr>
                <w:rFonts w:ascii="Times New Roman" w:hAnsi="Times New Roman"/>
                <w:sz w:val="20"/>
              </w:rPr>
              <w:t>500</w:t>
            </w:r>
          </w:p>
        </w:tc>
      </w:tr>
      <w:tr>
        <w:tc>
          <w:tcPr>
            <w:tcW w:type="dxa" w:w="1296"/>
          </w:tcPr>
          <w:p>
            <w:pPr>
              <w:jc w:val="center"/>
            </w:pPr>
            <w:r/>
            <w:r>
              <w:rPr>
                <w:rFonts w:ascii="Times New Roman" w:hAnsi="Times New Roman"/>
                <w:sz w:val="20"/>
              </w:rPr>
              <w:t>Deep</w:t>
            </w:r>
          </w:p>
        </w:tc>
        <w:tc>
          <w:tcPr>
            <w:tcW w:type="dxa" w:w="2016"/>
          </w:tcPr>
          <w:p>
            <w:pPr>
              <w:jc w:val="center"/>
            </w:pPr>
            <w:r/>
            <w:r>
              <w:rPr>
                <w:rFonts w:ascii="Times New Roman" w:hAnsi="Times New Roman"/>
                <w:sz w:val="20"/>
              </w:rPr>
              <w:t>claude-opus-4</w:t>
            </w:r>
          </w:p>
        </w:tc>
        <w:tc>
          <w:tcPr>
            <w:tcW w:type="dxa" w:w="1152"/>
          </w:tcPr>
          <w:p>
            <w:pPr>
              <w:jc w:val="center"/>
            </w:pPr>
            <w:r/>
            <w:r>
              <w:rPr>
                <w:rFonts w:ascii="Times New Roman" w:hAnsi="Times New Roman"/>
                <w:sz w:val="20"/>
              </w:rPr>
              <w:t>$15.00</w:t>
            </w:r>
          </w:p>
        </w:tc>
        <w:tc>
          <w:tcPr>
            <w:tcW w:type="dxa" w:w="1152"/>
          </w:tcPr>
          <w:p>
            <w:pPr>
              <w:jc w:val="center"/>
            </w:pPr>
            <w:r/>
            <w:r>
              <w:rPr>
                <w:rFonts w:ascii="Times New Roman" w:hAnsi="Times New Roman"/>
                <w:sz w:val="20"/>
              </w:rPr>
              <w:t>$75.00</w:t>
            </w:r>
          </w:p>
        </w:tc>
        <w:tc>
          <w:tcPr>
            <w:tcW w:type="dxa" w:w="1296"/>
          </w:tcPr>
          <w:p>
            <w:pPr>
              <w:jc w:val="center"/>
            </w:pPr>
            <w:r/>
            <w:r>
              <w:rPr>
                <w:rFonts w:ascii="Times New Roman" w:hAnsi="Times New Roman"/>
                <w:sz w:val="20"/>
              </w:rPr>
              <w:t>800</w:t>
            </w:r>
          </w:p>
        </w:tc>
        <w:tc>
          <w:tcPr>
            <w:tcW w:type="dxa" w:w="1440"/>
          </w:tcPr>
          <w:p>
            <w:pPr>
              <w:jc w:val="center"/>
            </w:pPr>
            <w:r/>
            <w:r>
              <w:rPr>
                <w:rFonts w:ascii="Times New Roman" w:hAnsi="Times New Roman"/>
                <w:sz w:val="20"/>
              </w:rPr>
              <w:t>1500</w:t>
            </w:r>
          </w:p>
        </w:tc>
      </w:tr>
    </w:tbl>
    <w:p/>
    <w:p>
      <w:r>
        <w:t>Measured routing distribution across the 105 validation queries: Surface 44.8%, Reasoning 33.3%, Deep 21.9%. Cost savings are computed per query type: each query’s token profile (simple 150/200, moderate 300/500, complex 800/1500) is held constant while pricing varies by model. AXIOM achieves 58.1% cost reduction versus all-Opus routing.</w:t>
      </w:r>
    </w:p>
    <w:p>
      <w:r>
        <w:t>Table 3: Cost comparison at scale.</w:t>
      </w:r>
    </w:p>
    <w:tbl>
      <w:tblPr>
        <w:tblStyle w:val="LightShading"/>
        <w:tblW w:type="auto" w:w="0"/>
        <w:jc w:val="center"/>
        <w:tblLook w:firstColumn="1" w:firstRow="1" w:lastColumn="0" w:lastRow="0" w:noHBand="0" w:noVBand="1" w:val="04A0"/>
      </w:tblPr>
      <w:tblGrid>
        <w:gridCol w:w="2340"/>
        <w:gridCol w:w="2340"/>
        <w:gridCol w:w="2340"/>
        <w:gridCol w:w="2340"/>
      </w:tblGrid>
      <w:tr>
        <w:tc>
          <w:tcPr>
            <w:tcW w:type="dxa" w:w="1728"/>
          </w:tcPr>
          <w:p>
            <w:pPr>
              <w:jc w:val="center"/>
            </w:pPr>
            <w:r/>
            <w:r>
              <w:rPr>
                <w:rFonts w:ascii="Times New Roman" w:hAnsi="Times New Roman"/>
                <w:b/>
                <w:sz w:val="20"/>
              </w:rPr>
              <w:t>Query volume</w:t>
            </w:r>
          </w:p>
        </w:tc>
        <w:tc>
          <w:tcPr>
            <w:tcW w:type="dxa" w:w="1728"/>
          </w:tcPr>
          <w:p>
            <w:pPr>
              <w:jc w:val="center"/>
            </w:pPr>
            <w:r/>
            <w:r>
              <w:rPr>
                <w:rFonts w:ascii="Times New Roman" w:hAnsi="Times New Roman"/>
                <w:b/>
                <w:sz w:val="20"/>
              </w:rPr>
              <w:t>AXIOM cost</w:t>
            </w:r>
          </w:p>
        </w:tc>
        <w:tc>
          <w:tcPr>
            <w:tcW w:type="dxa" w:w="1728"/>
          </w:tcPr>
          <w:p>
            <w:pPr>
              <w:jc w:val="center"/>
            </w:pPr>
            <w:r/>
            <w:r>
              <w:rPr>
                <w:rFonts w:ascii="Times New Roman" w:hAnsi="Times New Roman"/>
                <w:b/>
                <w:sz w:val="20"/>
              </w:rPr>
              <w:t>All-Opus cost</w:t>
            </w:r>
          </w:p>
        </w:tc>
        <w:tc>
          <w:tcPr>
            <w:tcW w:type="dxa" w:w="1440"/>
          </w:tcPr>
          <w:p>
            <w:pPr>
              <w:jc w:val="center"/>
            </w:pPr>
            <w:r/>
            <w:r>
              <w:rPr>
                <w:rFonts w:ascii="Times New Roman" w:hAnsi="Times New Roman"/>
                <w:b/>
                <w:sz w:val="20"/>
              </w:rPr>
              <w:t>Saving</w:t>
            </w:r>
          </w:p>
        </w:tc>
      </w:tr>
      <w:tr>
        <w:tc>
          <w:tcPr>
            <w:tcW w:type="dxa" w:w="1728"/>
          </w:tcPr>
          <w:p>
            <w:pPr>
              <w:jc w:val="center"/>
            </w:pPr>
            <w:r/>
            <w:r>
              <w:rPr>
                <w:rFonts w:ascii="Times New Roman" w:hAnsi="Times New Roman"/>
                <w:sz w:val="20"/>
              </w:rPr>
              <w:t>1,000</w:t>
            </w:r>
          </w:p>
        </w:tc>
        <w:tc>
          <w:tcPr>
            <w:tcW w:type="dxa" w:w="1728"/>
          </w:tcPr>
          <w:p>
            <w:pPr>
              <w:jc w:val="center"/>
            </w:pPr>
            <w:r/>
            <w:r>
              <w:rPr>
                <w:rFonts w:ascii="Times New Roman" w:hAnsi="Times New Roman"/>
                <w:sz w:val="20"/>
              </w:rPr>
              <w:t>$24.20</w:t>
            </w:r>
          </w:p>
        </w:tc>
        <w:tc>
          <w:tcPr>
            <w:tcW w:type="dxa" w:w="1728"/>
          </w:tcPr>
          <w:p>
            <w:pPr>
              <w:jc w:val="center"/>
            </w:pPr>
            <w:r/>
            <w:r>
              <w:rPr>
                <w:rFonts w:ascii="Times New Roman" w:hAnsi="Times New Roman"/>
                <w:sz w:val="20"/>
              </w:rPr>
              <w:t>$57.71</w:t>
            </w:r>
          </w:p>
        </w:tc>
        <w:tc>
          <w:tcPr>
            <w:tcW w:type="dxa" w:w="1440"/>
          </w:tcPr>
          <w:p>
            <w:pPr>
              <w:jc w:val="center"/>
            </w:pPr>
            <w:r/>
            <w:r>
              <w:rPr>
                <w:rFonts w:ascii="Times New Roman" w:hAnsi="Times New Roman"/>
                <w:sz w:val="20"/>
              </w:rPr>
              <w:t>58.1%</w:t>
            </w:r>
          </w:p>
        </w:tc>
      </w:tr>
      <w:tr>
        <w:tc>
          <w:tcPr>
            <w:tcW w:type="dxa" w:w="1728"/>
          </w:tcPr>
          <w:p>
            <w:pPr>
              <w:jc w:val="center"/>
            </w:pPr>
            <w:r/>
            <w:r>
              <w:rPr>
                <w:rFonts w:ascii="Times New Roman" w:hAnsi="Times New Roman"/>
                <w:sz w:val="20"/>
              </w:rPr>
              <w:t>10,000</w:t>
            </w:r>
          </w:p>
        </w:tc>
        <w:tc>
          <w:tcPr>
            <w:tcW w:type="dxa" w:w="1728"/>
          </w:tcPr>
          <w:p>
            <w:pPr>
              <w:jc w:val="center"/>
            </w:pPr>
            <w:r/>
            <w:r>
              <w:rPr>
                <w:rFonts w:ascii="Times New Roman" w:hAnsi="Times New Roman"/>
                <w:sz w:val="20"/>
              </w:rPr>
              <w:t>$241.95</w:t>
            </w:r>
          </w:p>
        </w:tc>
        <w:tc>
          <w:tcPr>
            <w:tcW w:type="dxa" w:w="1728"/>
          </w:tcPr>
          <w:p>
            <w:pPr>
              <w:jc w:val="center"/>
            </w:pPr>
            <w:r/>
            <w:r>
              <w:rPr>
                <w:rFonts w:ascii="Times New Roman" w:hAnsi="Times New Roman"/>
                <w:sz w:val="20"/>
              </w:rPr>
              <w:t>$577.14</w:t>
            </w:r>
          </w:p>
        </w:tc>
        <w:tc>
          <w:tcPr>
            <w:tcW w:type="dxa" w:w="1440"/>
          </w:tcPr>
          <w:p>
            <w:pPr>
              <w:jc w:val="center"/>
            </w:pPr>
            <w:r/>
            <w:r>
              <w:rPr>
                <w:rFonts w:ascii="Times New Roman" w:hAnsi="Times New Roman"/>
                <w:sz w:val="20"/>
              </w:rPr>
              <w:t>58.1%</w:t>
            </w:r>
          </w:p>
        </w:tc>
      </w:tr>
      <w:tr>
        <w:tc>
          <w:tcPr>
            <w:tcW w:type="dxa" w:w="1728"/>
          </w:tcPr>
          <w:p>
            <w:pPr>
              <w:jc w:val="center"/>
            </w:pPr>
            <w:r/>
            <w:r>
              <w:rPr>
                <w:rFonts w:ascii="Times New Roman" w:hAnsi="Times New Roman"/>
                <w:sz w:val="20"/>
              </w:rPr>
              <w:t>100,000</w:t>
            </w:r>
          </w:p>
        </w:tc>
        <w:tc>
          <w:tcPr>
            <w:tcW w:type="dxa" w:w="1728"/>
          </w:tcPr>
          <w:p>
            <w:pPr>
              <w:jc w:val="center"/>
            </w:pPr>
            <w:r/>
            <w:r>
              <w:rPr>
                <w:rFonts w:ascii="Times New Roman" w:hAnsi="Times New Roman"/>
                <w:sz w:val="20"/>
              </w:rPr>
              <w:t>$2,419.54</w:t>
            </w:r>
          </w:p>
        </w:tc>
        <w:tc>
          <w:tcPr>
            <w:tcW w:type="dxa" w:w="1728"/>
          </w:tcPr>
          <w:p>
            <w:pPr>
              <w:jc w:val="center"/>
            </w:pPr>
            <w:r/>
            <w:r>
              <w:rPr>
                <w:rFonts w:ascii="Times New Roman" w:hAnsi="Times New Roman"/>
                <w:sz w:val="20"/>
              </w:rPr>
              <w:t>$5,771.43</w:t>
            </w:r>
          </w:p>
        </w:tc>
        <w:tc>
          <w:tcPr>
            <w:tcW w:type="dxa" w:w="1440"/>
          </w:tcPr>
          <w:p>
            <w:pPr>
              <w:jc w:val="center"/>
            </w:pPr>
            <w:r/>
            <w:r>
              <w:rPr>
                <w:rFonts w:ascii="Times New Roman" w:hAnsi="Times New Roman"/>
                <w:sz w:val="20"/>
              </w:rPr>
              <w:t>58.1%</w:t>
            </w:r>
          </w:p>
        </w:tc>
      </w:tr>
    </w:tbl>
    <w:p/>
    <w:p>
      <w:r>
        <w:t>At 100,000 queries per day, AXIOM saves approximately $3,352 per day versus all-Opus routing. Cost savings are linear in query volume.</w:t>
      </w:r>
    </w:p>
    <w:p>
      <w:pPr>
        <w:pStyle w:val="Heading2"/>
      </w:pPr>
      <w:r>
        <w:rPr>
          <w:color w:val="000000"/>
        </w:rPr>
        <w:t>5.4  Structural Encoder Ceiling</w:t>
      </w:r>
    </w:p>
    <w:p>
      <w:r>
        <w:t>Adversarial accuracy of 65.0% reflects a fundamental limitation of vocabulary-independent structural features. Nine of the fourteen adversarial failures represent a genuine theoretical ceiling — cases where no structural encoder can succeed without semantic understanding. These fall into three categories. Category 1 — semantic complexity without syntactic markers: short queries like “Cogito ergo sum” and “maps are not territories” present no G5 signal. The encoder cannot distinguish them from simple short queries. Category 2 — garden-path sentences: “the horse raced past the barn fell” and “the old man the boats” are syntactically simple until reanalysis; their complexity is revealed only upon semantic parsing. Category 3 — vocabulary mismatch: “the tintinnabulation resonated melodiously” contains rare words but is structurally simple. These nine failures are not a fixable bug but a theoretical ceiling of the structural encoder approach. The remaining five failures — long simple inputs with inflated features and technical vocabulary — suggest incremental improvements are possible within the current architecture.</w:t>
      </w:r>
    </w:p>
    <w:p>
      <w:pPr>
        <w:pStyle w:val="Heading2"/>
      </w:pPr>
      <w:r>
        <w:rPr>
          <w:color w:val="000000"/>
        </w:rPr>
        <w:t>5.5  Routing Latency</w:t>
      </w:r>
    </w:p>
    <w:p>
      <w:r>
        <w:t>Mean routing time: 1,311 microseconds across 145 benchmark queries. This includes encoder computation, graph traversal, confidence evaluation, and embedding cache lookup. No API calls are made during routing. At 1,311 µs, AXIOM adds under 2 milliseconds of overhead to any LLM call — negligible against LLM inference latency of hundreds of milliseconds to seconds.</w:t>
      </w:r>
    </w:p>
    <w:p>
      <w:pPr>
        <w:pStyle w:val="Heading2"/>
      </w:pPr>
      <w:r>
        <w:rPr>
          <w:color w:val="000000"/>
        </w:rPr>
        <w:t>5.6  Multi-Paragraph Routing</w:t>
      </w:r>
    </w:p>
    <w:p>
      <w:r>
        <w:t>Six enterprise scenario inputs tested multi-paragraph routing using threshold strategy C (escalate if more than 40% of chunks fall below Surface threshold, constant AXIOM_CHUNK_ESCALATION_THRESHOLD = 0.40). Accuracy: 3/6 correct. Primary failure mode: confidence compression in full-text encoding, where averaging structural features across long mixed inputs dilutes per-sentence complexity signals.</w:t>
      </w:r>
    </w:p>
    <w:p>
      <w:pPr>
        <w:pStyle w:val="Heading1"/>
      </w:pPr>
      <w:r>
        <w:rPr>
          <w:color w:val="000000"/>
        </w:rPr>
        <w:t>6  Competitive Analysis</w:t>
      </w:r>
    </w:p>
    <w:p>
      <w:r>
        <w:t>Table 4: AXIOM vs RouteLLM comparison.</w:t>
      </w:r>
    </w:p>
    <w:tbl>
      <w:tblPr>
        <w:tblStyle w:val="LightShading"/>
        <w:tblW w:type="auto" w:w="0"/>
        <w:jc w:val="center"/>
        <w:tblLook w:firstColumn="1" w:firstRow="1" w:lastColumn="0" w:lastRow="0" w:noHBand="0" w:noVBand="1" w:val="04A0"/>
      </w:tblPr>
      <w:tblGrid>
        <w:gridCol w:w="3120"/>
        <w:gridCol w:w="3120"/>
        <w:gridCol w:w="3120"/>
      </w:tblGrid>
      <w:tr>
        <w:tc>
          <w:tcPr>
            <w:tcW w:type="dxa" w:w="2592"/>
          </w:tcPr>
          <w:p>
            <w:pPr>
              <w:jc w:val="center"/>
            </w:pPr>
            <w:r/>
            <w:r>
              <w:rPr>
                <w:rFonts w:ascii="Times New Roman" w:hAnsi="Times New Roman"/>
                <w:b/>
                <w:sz w:val="20"/>
              </w:rPr>
              <w:t>Dimension</w:t>
            </w:r>
          </w:p>
        </w:tc>
        <w:tc>
          <w:tcPr>
            <w:tcW w:type="dxa" w:w="3312"/>
          </w:tcPr>
          <w:p>
            <w:pPr>
              <w:jc w:val="center"/>
            </w:pPr>
            <w:r/>
            <w:r>
              <w:rPr>
                <w:rFonts w:ascii="Times New Roman" w:hAnsi="Times New Roman"/>
                <w:b/>
                <w:sz w:val="20"/>
              </w:rPr>
              <w:t>AXIOM</w:t>
            </w:r>
          </w:p>
        </w:tc>
        <w:tc>
          <w:tcPr>
            <w:tcW w:type="dxa" w:w="3312"/>
          </w:tcPr>
          <w:p>
            <w:pPr>
              <w:jc w:val="center"/>
            </w:pPr>
            <w:r/>
            <w:r>
              <w:rPr>
                <w:rFonts w:ascii="Times New Roman" w:hAnsi="Times New Roman"/>
                <w:b/>
                <w:sz w:val="20"/>
              </w:rPr>
              <w:t>RouteLLM</w:t>
            </w:r>
          </w:p>
        </w:tc>
      </w:tr>
      <w:tr>
        <w:tc>
          <w:tcPr>
            <w:tcW w:type="dxa" w:w="2592"/>
          </w:tcPr>
          <w:p>
            <w:pPr>
              <w:jc w:val="center"/>
            </w:pPr>
            <w:r/>
            <w:r>
              <w:rPr>
                <w:rFonts w:ascii="Times New Roman" w:hAnsi="Times New Roman"/>
                <w:sz w:val="20"/>
              </w:rPr>
              <w:t>Routing tiers</w:t>
            </w:r>
          </w:p>
        </w:tc>
        <w:tc>
          <w:tcPr>
            <w:tcW w:type="dxa" w:w="3312"/>
          </w:tcPr>
          <w:p>
            <w:pPr>
              <w:jc w:val="center"/>
            </w:pPr>
            <w:r/>
            <w:r>
              <w:rPr>
                <w:rFonts w:ascii="Times New Roman" w:hAnsi="Times New Roman"/>
                <w:sz w:val="20"/>
              </w:rPr>
              <w:t>3 (Surface, Reasoning, Deep)</w:t>
            </w:r>
          </w:p>
        </w:tc>
        <w:tc>
          <w:tcPr>
            <w:tcW w:type="dxa" w:w="3312"/>
          </w:tcPr>
          <w:p>
            <w:pPr>
              <w:jc w:val="center"/>
            </w:pPr>
            <w:r/>
            <w:r>
              <w:rPr>
                <w:rFonts w:ascii="Times New Roman" w:hAnsi="Times New Roman"/>
                <w:sz w:val="20"/>
              </w:rPr>
              <w:t>2 (strong, weak)</w:t>
            </w:r>
          </w:p>
        </w:tc>
      </w:tr>
      <w:tr>
        <w:tc>
          <w:tcPr>
            <w:tcW w:type="dxa" w:w="2592"/>
          </w:tcPr>
          <w:p>
            <w:pPr>
              <w:jc w:val="center"/>
            </w:pPr>
            <w:r/>
            <w:r>
              <w:rPr>
                <w:rFonts w:ascii="Times New Roman" w:hAnsi="Times New Roman"/>
                <w:sz w:val="20"/>
              </w:rPr>
              <w:t>Training data</w:t>
            </w:r>
          </w:p>
        </w:tc>
        <w:tc>
          <w:tcPr>
            <w:tcW w:type="dxa" w:w="3312"/>
          </w:tcPr>
          <w:p>
            <w:pPr>
              <w:jc w:val="center"/>
            </w:pPr>
            <w:r/>
            <w:r>
              <w:rPr>
                <w:rFonts w:ascii="Times New Roman" w:hAnsi="Times New Roman"/>
                <w:sz w:val="20"/>
              </w:rPr>
              <w:t>Structural corpus, no LLM labels</w:t>
            </w:r>
          </w:p>
        </w:tc>
        <w:tc>
          <w:tcPr>
            <w:tcW w:type="dxa" w:w="3312"/>
          </w:tcPr>
          <w:p>
            <w:pPr>
              <w:jc w:val="center"/>
            </w:pPr>
            <w:r/>
            <w:r>
              <w:rPr>
                <w:rFonts w:ascii="Times New Roman" w:hAnsi="Times New Roman"/>
                <w:sz w:val="20"/>
              </w:rPr>
              <w:t>Chatbot Arena preference votes</w:t>
            </w:r>
          </w:p>
        </w:tc>
      </w:tr>
      <w:tr>
        <w:tc>
          <w:tcPr>
            <w:tcW w:type="dxa" w:w="2592"/>
          </w:tcPr>
          <w:p>
            <w:pPr>
              <w:jc w:val="center"/>
            </w:pPr>
            <w:r/>
            <w:r>
              <w:rPr>
                <w:rFonts w:ascii="Times New Roman" w:hAnsi="Times New Roman"/>
                <w:sz w:val="20"/>
              </w:rPr>
              <w:t>Inter-node communication</w:t>
            </w:r>
          </w:p>
        </w:tc>
        <w:tc>
          <w:tcPr>
            <w:tcW w:type="dxa" w:w="3312"/>
          </w:tcPr>
          <w:p>
            <w:pPr>
              <w:jc w:val="center"/>
            </w:pPr>
            <w:r/>
            <w:r>
              <w:rPr>
                <w:rFonts w:ascii="Times New Roman" w:hAnsi="Times New Roman"/>
                <w:sz w:val="20"/>
              </w:rPr>
              <w:t>Forward + lateral + feedback + temporal</w:t>
            </w:r>
          </w:p>
        </w:tc>
        <w:tc>
          <w:tcPr>
            <w:tcW w:type="dxa" w:w="3312"/>
          </w:tcPr>
          <w:p>
            <w:pPr>
              <w:jc w:val="center"/>
            </w:pPr>
            <w:r/>
            <w:r>
              <w:rPr>
                <w:rFonts w:ascii="Times New Roman" w:hAnsi="Times New Roman"/>
                <w:sz w:val="20"/>
              </w:rPr>
              <w:t>None</w:t>
            </w:r>
          </w:p>
        </w:tc>
      </w:tr>
      <w:tr>
        <w:tc>
          <w:tcPr>
            <w:tcW w:type="dxa" w:w="2592"/>
          </w:tcPr>
          <w:p>
            <w:pPr>
              <w:jc w:val="center"/>
            </w:pPr>
            <w:r/>
            <w:r>
              <w:rPr>
                <w:rFonts w:ascii="Times New Roman" w:hAnsi="Times New Roman"/>
                <w:sz w:val="20"/>
              </w:rPr>
              <w:t>Coalition formation</w:t>
            </w:r>
          </w:p>
        </w:tc>
        <w:tc>
          <w:tcPr>
            <w:tcW w:type="dxa" w:w="3312"/>
          </w:tcPr>
          <w:p>
            <w:pPr>
              <w:jc w:val="center"/>
            </w:pPr>
            <w:r/>
            <w:r>
              <w:rPr>
                <w:rFonts w:ascii="Times New Roman" w:hAnsi="Times New Roman"/>
                <w:sz w:val="20"/>
              </w:rPr>
              <w:t>Dynamic per-query</w:t>
            </w:r>
          </w:p>
        </w:tc>
        <w:tc>
          <w:tcPr>
            <w:tcW w:type="dxa" w:w="3312"/>
          </w:tcPr>
          <w:p>
            <w:pPr>
              <w:jc w:val="center"/>
            </w:pPr>
            <w:r/>
            <w:r>
              <w:rPr>
                <w:rFonts w:ascii="Times New Roman" w:hAnsi="Times New Roman"/>
                <w:sz w:val="20"/>
              </w:rPr>
              <w:t>None</w:t>
            </w:r>
          </w:p>
        </w:tc>
      </w:tr>
      <w:tr>
        <w:tc>
          <w:tcPr>
            <w:tcW w:type="dxa" w:w="2592"/>
          </w:tcPr>
          <w:p>
            <w:pPr>
              <w:jc w:val="center"/>
            </w:pPr>
            <w:r/>
            <w:r>
              <w:rPr>
                <w:rFonts w:ascii="Times New Roman" w:hAnsi="Times New Roman"/>
                <w:sz w:val="20"/>
              </w:rPr>
              <w:t>Runtime</w:t>
            </w:r>
          </w:p>
        </w:tc>
        <w:tc>
          <w:tcPr>
            <w:tcW w:type="dxa" w:w="3312"/>
          </w:tcPr>
          <w:p>
            <w:pPr>
              <w:jc w:val="center"/>
            </w:pPr>
            <w:r/>
            <w:r>
              <w:rPr>
                <w:rFonts w:ascii="Times New Roman" w:hAnsi="Times New Roman"/>
                <w:sz w:val="20"/>
              </w:rPr>
              <w:t>Pure Rust, no frameworks</w:t>
            </w:r>
          </w:p>
        </w:tc>
        <w:tc>
          <w:tcPr>
            <w:tcW w:type="dxa" w:w="3312"/>
          </w:tcPr>
          <w:p>
            <w:pPr>
              <w:jc w:val="center"/>
            </w:pPr>
            <w:r/>
            <w:r>
              <w:rPr>
                <w:rFonts w:ascii="Times New Roman" w:hAnsi="Times New Roman"/>
                <w:sz w:val="20"/>
              </w:rPr>
              <w:t>Python + PyTorch</w:t>
            </w:r>
          </w:p>
        </w:tc>
      </w:tr>
      <w:tr>
        <w:tc>
          <w:tcPr>
            <w:tcW w:type="dxa" w:w="2592"/>
          </w:tcPr>
          <w:p>
            <w:pPr>
              <w:jc w:val="center"/>
            </w:pPr>
            <w:r/>
            <w:r>
              <w:rPr>
                <w:rFonts w:ascii="Times New Roman" w:hAnsi="Times New Roman"/>
                <w:sz w:val="20"/>
              </w:rPr>
              <w:t>Routing latency</w:t>
            </w:r>
          </w:p>
        </w:tc>
        <w:tc>
          <w:tcPr>
            <w:tcW w:type="dxa" w:w="3312"/>
          </w:tcPr>
          <w:p>
            <w:pPr>
              <w:jc w:val="center"/>
            </w:pPr>
            <w:r/>
            <w:r>
              <w:rPr>
                <w:rFonts w:ascii="Times New Roman" w:hAnsi="Times New Roman"/>
                <w:sz w:val="20"/>
              </w:rPr>
              <w:t>1,311 µs</w:t>
            </w:r>
          </w:p>
        </w:tc>
        <w:tc>
          <w:tcPr>
            <w:tcW w:type="dxa" w:w="3312"/>
          </w:tcPr>
          <w:p>
            <w:pPr>
              <w:jc w:val="center"/>
            </w:pPr>
            <w:r/>
            <w:r>
              <w:rPr>
                <w:rFonts w:ascii="Times New Roman" w:hAnsi="Times New Roman"/>
                <w:sz w:val="20"/>
              </w:rPr>
              <w:t>Model-scale (BERT/LLM routers)</w:t>
            </w:r>
          </w:p>
        </w:tc>
      </w:tr>
      <w:tr>
        <w:tc>
          <w:tcPr>
            <w:tcW w:type="dxa" w:w="2592"/>
          </w:tcPr>
          <w:p>
            <w:pPr>
              <w:jc w:val="center"/>
            </w:pPr>
            <w:r/>
            <w:r>
              <w:rPr>
                <w:rFonts w:ascii="Times New Roman" w:hAnsi="Times New Roman"/>
                <w:sz w:val="20"/>
              </w:rPr>
              <w:t>Interpretability</w:t>
            </w:r>
          </w:p>
        </w:tc>
        <w:tc>
          <w:tcPr>
            <w:tcW w:type="dxa" w:w="3312"/>
          </w:tcPr>
          <w:p>
            <w:pPr>
              <w:jc w:val="center"/>
            </w:pPr>
            <w:r/>
            <w:r>
              <w:rPr>
                <w:rFonts w:ascii="Times New Roman" w:hAnsi="Times New Roman"/>
                <w:sz w:val="20"/>
              </w:rPr>
              <w:t>Full trace: nodes, edges, direction, confidence</w:t>
            </w:r>
          </w:p>
        </w:tc>
        <w:tc>
          <w:tcPr>
            <w:tcW w:type="dxa" w:w="3312"/>
          </w:tcPr>
          <w:p>
            <w:pPr>
              <w:jc w:val="center"/>
            </w:pPr>
            <w:r/>
            <w:r>
              <w:rPr>
                <w:rFonts w:ascii="Times New Roman" w:hAnsi="Times New Roman"/>
                <w:sz w:val="20"/>
              </w:rPr>
              <w:t>Scalar score</w:t>
            </w:r>
          </w:p>
        </w:tc>
      </w:tr>
      <w:tr>
        <w:tc>
          <w:tcPr>
            <w:tcW w:type="dxa" w:w="2592"/>
          </w:tcPr>
          <w:p>
            <w:pPr>
              <w:jc w:val="center"/>
            </w:pPr>
            <w:r/>
            <w:r>
              <w:rPr>
                <w:rFonts w:ascii="Times New Roman" w:hAnsi="Times New Roman"/>
                <w:sz w:val="20"/>
              </w:rPr>
              <w:t>Encoder type</w:t>
            </w:r>
          </w:p>
        </w:tc>
        <w:tc>
          <w:tcPr>
            <w:tcW w:type="dxa" w:w="3312"/>
          </w:tcPr>
          <w:p>
            <w:pPr>
              <w:jc w:val="center"/>
            </w:pPr>
            <w:r/>
            <w:r>
              <w:rPr>
                <w:rFonts w:ascii="Times New Roman" w:hAnsi="Times New Roman"/>
                <w:sz w:val="20"/>
              </w:rPr>
              <w:t>Vocabulary-independent structural</w:t>
            </w:r>
          </w:p>
        </w:tc>
        <w:tc>
          <w:tcPr>
            <w:tcW w:type="dxa" w:w="3312"/>
          </w:tcPr>
          <w:p>
            <w:pPr>
              <w:jc w:val="center"/>
            </w:pPr>
            <w:r/>
            <w:r>
              <w:rPr>
                <w:rFonts w:ascii="Times New Roman" w:hAnsi="Times New Roman"/>
                <w:sz w:val="20"/>
              </w:rPr>
              <w:t>Semantic embedding</w:t>
            </w:r>
          </w:p>
        </w:tc>
      </w:tr>
      <w:tr>
        <w:tc>
          <w:tcPr>
            <w:tcW w:type="dxa" w:w="2592"/>
          </w:tcPr>
          <w:p>
            <w:pPr>
              <w:jc w:val="center"/>
            </w:pPr>
            <w:r/>
            <w:r>
              <w:rPr>
                <w:rFonts w:ascii="Times New Roman" w:hAnsi="Times New Roman"/>
                <w:sz w:val="20"/>
              </w:rPr>
              <w:t>Reported cost savings</w:t>
            </w:r>
          </w:p>
        </w:tc>
        <w:tc>
          <w:tcPr>
            <w:tcW w:type="dxa" w:w="3312"/>
          </w:tcPr>
          <w:p>
            <w:pPr>
              <w:jc w:val="center"/>
            </w:pPr>
            <w:r/>
            <w:r>
              <w:rPr>
                <w:rFonts w:ascii="Times New Roman" w:hAnsi="Times New Roman"/>
                <w:sz w:val="20"/>
              </w:rPr>
              <w:t>58.1% vs all-Opus</w:t>
            </w:r>
          </w:p>
        </w:tc>
        <w:tc>
          <w:tcPr>
            <w:tcW w:type="dxa" w:w="3312"/>
          </w:tcPr>
          <w:p>
            <w:pPr>
              <w:jc w:val="center"/>
            </w:pPr>
            <w:r/>
            <w:r>
              <w:rPr>
                <w:rFonts w:ascii="Times New Roman" w:hAnsi="Times New Roman"/>
                <w:sz w:val="20"/>
              </w:rPr>
              <w:t>Up to 85% vs GPT-4</w:t>
            </w:r>
          </w:p>
        </w:tc>
      </w:tr>
    </w:tbl>
    <w:p/>
    <w:p>
      <w:r>
        <w:t>The 58.1% vs 85% comparison requires context. RouteLLM’s figure is achieved with routers trained on millions of human preference votes. AXIOM’s figure is achieved with no preference data and no LLM calls during training. They represent different points in the accuracy–cost–dependency tradeoff space.</w:t>
      </w:r>
    </w:p>
    <w:p>
      <w:r>
        <w:t>AXIOM’s principal advantages: framework independence, zero LLM-output training dependency, three-tier granularity, non-local graph communication, interpretable routing traces, and sub-two-millisecond latency. RouteLLM’s principal advantage: higher routing accuracy on semantic complexity due to its semantic training signal.</w:t>
      </w:r>
    </w:p>
    <w:p>
      <w:pPr>
        <w:pStyle w:val="Heading1"/>
      </w:pPr>
      <w:r>
        <w:rPr>
          <w:color w:val="000000"/>
        </w:rPr>
        <w:t>7  Limitations</w:t>
      </w:r>
    </w:p>
    <w:p>
      <w:r>
        <w:t>Seven limitations are identified. First, the structural encoder ceiling prevents reliable detection of semantic complexity without syntactic markers — nine adversarial cases (garden-path sentences, very short complex queries, and rare-vocabulary simple inputs) represent a genuine theoretical limit that cannot be resolved without semantic features. Second, five of forty adversarial queries fail due to feature inflation on long simple inputs, suggesting residual engineering improvements are possible. Third, multi-paragraph routing accuracy of 50% reflects confidence compression in full-text encoding. Fourth, the encoder is trained on English text — performance on other languages is untested. Fifth, no mechanism exists for learning from routing errors in production — online learning is an important future direction. Sixth, the cost model assumes fixed token counts per query type — real response length varies substantially. Seventh, the moderate/complex confidence gap is inverted (−0.08), indicating the moderate/complex boundary remains less well-defined than the Surface boundary.</w:t>
      </w:r>
    </w:p>
    <w:p>
      <w:pPr>
        <w:pStyle w:val="Heading1"/>
      </w:pPr>
      <w:r>
        <w:rPr>
          <w:color w:val="000000"/>
        </w:rPr>
        <w:t>8  Future Work</w:t>
      </w:r>
    </w:p>
    <w:p>
      <w:r>
        <w:t>Five directions are identified. First, a learned embedding layer mapping tokens to semantic representations before structural analysis — directly addressing the structural encoder ceiling. Second, an HTTP API wrapper exposing AXIOM as a drop-in OpenAI-compatible routing endpoint. Third, OpenAI model support for vendor-neutral routing across GPT-4o-mini, GPT-4o, and o1. Fourth, online learning from routing outcomes using downstream quality signals. Fifth, per-domain threshold calibration — separate thresholds for customer support, code generation, and analytical reasoning.</w:t>
      </w:r>
    </w:p>
    <w:p>
      <w:pPr>
        <w:pStyle w:val="Heading1"/>
      </w:pPr>
      <w:r>
        <w:rPr>
          <w:color w:val="000000"/>
        </w:rPr>
        <w:t>9  Conclusion</w:t>
      </w:r>
    </w:p>
    <w:p>
      <w:r>
        <w:t>AXIOM demonstrates that cost-efficient LLM routing is achievable without preference data, ML frameworks, or GPU infrastructure. The primary contribution is architectural: a sparse computation graph with four distinct traversal directions — forward, lateral, feedback, and temporal — enabling non-local inter-node communication that has no equivalent in the LLM routing literature. A systematic survey of 75+ existing routing and cascading systems confirms this topology is novel. The structural encoder ceiling is identified and characterised as a fundamental limitation requiring semantic extension — nine adversarial failures represent a genuine theoretical limit, not a fixable engineering gap. The system achieves 58.1% cost reduction on realistic enterprise workloads, 89.5% validation accuracy (65.0% adversarial), 95.0% simple routing accuracy, and 1,311 microsecond routing latency with 1.2M parameters and 3.4-minute training time on commodity hardware.</w:t>
      </w:r>
    </w:p>
    <w:p>
      <w:pPr>
        <w:pStyle w:val="Heading1"/>
      </w:pPr>
      <w:r>
        <w:rPr>
          <w:color w:val="000000"/>
        </w:rPr>
        <w:t>References</w:t>
      </w:r>
    </w:p>
    <w:p>
      <w:pPr>
        <w:spacing w:after="80"/>
        <w:ind w:left="720" w:hanging="720"/>
      </w:pPr>
      <w:r>
        <w:rPr>
          <w:sz w:val="20"/>
        </w:rPr>
        <w:t>Chen, L., Zaharia, M., &amp; Zou, J. (2023). FrugalGPT: How to Use Large Language Models While Reducing Cost and Improving Performance. arXiv:2305.05176.</w:t>
      </w:r>
    </w:p>
    <w:p>
      <w:pPr>
        <w:spacing w:after="80"/>
        <w:ind w:left="720" w:hanging="720"/>
      </w:pPr>
      <w:r>
        <w:rPr>
          <w:sz w:val="20"/>
        </w:rPr>
        <w:t>Ding, B., et al. (2024). Hybrid LLM: Cost-Efficient and Quality-Aware Query Routing. arXiv:2404.14618.</w:t>
      </w:r>
    </w:p>
    <w:p>
      <w:pPr>
        <w:spacing w:after="80"/>
        <w:ind w:left="720" w:hanging="720"/>
      </w:pPr>
      <w:r>
        <w:rPr>
          <w:sz w:val="20"/>
        </w:rPr>
        <w:t>Fedus, W., Zoph, B., &amp; Shazeer, N. (2022). Switch Transformers: Scaling to Trillion Parameter Models with Simple and Efficient Sparsity. JMLR 23(120).</w:t>
      </w:r>
    </w:p>
    <w:p>
      <w:pPr>
        <w:spacing w:after="80"/>
        <w:ind w:left="720" w:hanging="720"/>
      </w:pPr>
      <w:r>
        <w:rPr>
          <w:sz w:val="20"/>
        </w:rPr>
        <w:t>Gibson, E. (1998). Linguistic complexity: Locality of syntactic dependencies. Cognition 68(1), 1–76.</w:t>
      </w:r>
    </w:p>
    <w:p>
      <w:pPr>
        <w:spacing w:after="80"/>
        <w:ind w:left="720" w:hanging="720"/>
      </w:pPr>
      <w:r>
        <w:rPr>
          <w:sz w:val="20"/>
        </w:rPr>
        <w:t>Hu, S., et al. (2023). Inference Routing for Efficient LLM Serving. Tryage system.</w:t>
      </w:r>
    </w:p>
    <w:p>
      <w:pPr>
        <w:spacing w:after="80"/>
        <w:ind w:left="720" w:hanging="720"/>
      </w:pPr>
      <w:r>
        <w:rPr>
          <w:sz w:val="20"/>
        </w:rPr>
        <w:t>Kincaid, J.P., et al. (1975). Derivation of new readability formulas for Navy enlisted personnel. Research Branch Report 8-75, Naval Technical Training Command.</w:t>
      </w:r>
    </w:p>
    <w:p>
      <w:pPr>
        <w:spacing w:after="80"/>
        <w:ind w:left="720" w:hanging="720"/>
      </w:pPr>
      <w:r>
        <w:rPr>
          <w:sz w:val="20"/>
        </w:rPr>
        <w:t>Leviathan, Y., Kalman, M., &amp; Matias, Y. (2023). Fast inference from transformers via speculative decoding. ICML 2023.</w:t>
      </w:r>
    </w:p>
    <w:p>
      <w:pPr>
        <w:spacing w:after="80"/>
        <w:ind w:left="720" w:hanging="720"/>
      </w:pPr>
      <w:r>
        <w:rPr>
          <w:sz w:val="20"/>
        </w:rPr>
        <w:t>Madaan, D., et al. (2023). AutoMix: Automatically Mixing Language Models. arXiv:2310.12963.</w:t>
      </w:r>
    </w:p>
    <w:p>
      <w:pPr>
        <w:spacing w:after="80"/>
        <w:ind w:left="720" w:hanging="720"/>
      </w:pPr>
      <w:r>
        <w:rPr>
          <w:sz w:val="20"/>
        </w:rPr>
        <w:t>Oja, E. (1982). A simplified neuron model as a principal component analyser. Journal of Mathematical Biology 15(3), 267–273.</w:t>
      </w:r>
    </w:p>
    <w:p>
      <w:pPr>
        <w:spacing w:after="80"/>
        <w:ind w:left="720" w:hanging="720"/>
      </w:pPr>
      <w:r>
        <w:rPr>
          <w:sz w:val="20"/>
        </w:rPr>
        <w:t>Ong, I., et al. (2024). RouteLLM: Learning to Route LLMs with Preference Data. arXiv:2406.18665.</w:t>
      </w:r>
    </w:p>
    <w:p>
      <w:pPr>
        <w:spacing w:after="80"/>
        <w:ind w:left="720" w:hanging="720"/>
      </w:pPr>
      <w:r>
        <w:rPr>
          <w:sz w:val="20"/>
        </w:rPr>
        <w:t>Salvatori, T., et al. (2022). Predictive Coding beyond Gaussian Distributions. NeurIPS 2022.</w:t>
      </w:r>
    </w:p>
    <w:p>
      <w:pPr>
        <w:spacing w:after="80"/>
        <w:ind w:left="720" w:hanging="720"/>
      </w:pPr>
      <w:r>
        <w:rPr>
          <w:sz w:val="20"/>
        </w:rPr>
        <w:t>Shazeer, N., et al. (2017). Outrageously Large Neural Networks: The Sparsely-Gated Mixture-of-Experts Layer. arXiv:1701.06538.</w:t>
      </w:r>
    </w:p>
    <w:p>
      <w:pPr>
        <w:spacing w:after="80"/>
        <w:ind w:left="720" w:hanging="720"/>
      </w:pPr>
      <w:r>
        <w:rPr>
          <w:sz w:val="20"/>
        </w:rPr>
        <w:t>Survey arXiv:2603.04445 (2026). Dynamic Model Routing and Cascading for Efficient LLM Inference: A Survey.</w:t>
      </w:r>
    </w:p>
    <w:p>
      <w:pPr>
        <w:spacing w:after="80"/>
        <w:ind w:left="720" w:hanging="720"/>
      </w:pPr>
      <w:r>
        <w:rPr>
          <w:sz w:val="20"/>
        </w:rPr>
        <w:t>Yngve, V.H. (1960). A model and an hypothesis for language structure. Proceedings of the American Philosophical Society 104(5), 444–466.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