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080010"/>
          <w:sz w:val="48"/>
          <w:szCs w:val="48"/>
        </w:rPr>
        <w:t xml:space="preserve">YOUTUBE THUMBNAIL GUIDE</w:t>
      </w:r>
    </w:p>
    <w:p>
      <w:pPr>
        <w:spacing w:after="60" w:before="0"/>
        <w:jc w:val="center"/>
      </w:pPr>
      <w:r>
        <w:rPr>
          <w:rFonts w:ascii="Arial" w:cs="Arial" w:eastAsia="Arial" w:hAnsi="Arial"/>
          <w:color w:val="888888"/>
          <w:sz w:val="24"/>
          <w:szCs w:val="24"/>
        </w:rPr>
        <w:t xml:space="preserve">Olly Henson Coaching — Production Reference</w:t>
      </w:r>
    </w:p>
    <w:p>
      <w:pPr>
        <w:spacing w:after="40" w:before="0"/>
        <w:jc w:val="center"/>
      </w:pPr>
      <w:r>
        <w:rPr>
          <w:rFonts w:ascii="Arial" w:cs="Arial" w:eastAsia="Arial" w:hAnsi="Arial"/>
          <w:i/>
          <w:iCs/>
          <w:color w:val="888888"/>
          <w:sz w:val="20"/>
          <w:szCs w:val="20"/>
        </w:rPr>
        <w:t xml:space="preserve">Style reference: Chris 'The Wiz' Miller | Brand: Playfair Display + Magenta</w:t>
      </w:r>
    </w:p>
    <w:p>
      <w:pPr>
        <w:pBdr>
          <w:bottom w:val="single" w:color="d946ef" w:sz="4" w:space="1"/>
        </w:pBdr>
        <w:spacing w:after="120" w:before="120"/>
      </w:pPr>
      <w:r>
        <w:t xml:space="preserve"/>
      </w:r>
    </w:p>
    <w:p>
      <w:pPr>
        <w:spacing w:after="80" w:before="0"/>
      </w:pPr>
      <w:r>
        <w:t xml:space="preserve"/>
      </w:r>
    </w:p>
    <w:p>
      <w:pPr>
        <w:pStyle w:val="Heading1"/>
        <w:spacing w:after="120" w:before="400"/>
      </w:pPr>
      <w:r>
        <w:rPr>
          <w:rFonts w:ascii="Arial" w:cs="Arial" w:eastAsia="Arial" w:hAnsi="Arial"/>
          <w:b/>
          <w:bCs/>
          <w:color w:val="080010"/>
          <w:sz w:val="32"/>
          <w:szCs w:val="32"/>
        </w:rPr>
        <w:t xml:space="preserve">1. Philosophy</w:t>
      </w:r>
    </w:p>
    <w:p>
      <w:pPr>
        <w:spacing w:after="60" w:before="60"/>
      </w:pPr>
      <w:r>
        <w:rPr>
          <w:rFonts w:ascii="Arial" w:cs="Arial" w:eastAsia="Arial" w:hAnsi="Arial"/>
          <w:sz w:val="22"/>
          <w:szCs w:val="22"/>
        </w:rPr>
        <w:t xml:space="preserve">A great thumbnail does one job: make someone stop scrolling and feel something — curiosity, recognition, or urgency. It is not a miniature poster. It is a signal.</w:t>
      </w:r>
    </w:p>
    <w:p>
      <w:pPr>
        <w:spacing w:after="40" w:before="0"/>
      </w:pPr>
      <w:r>
        <w:t xml:space="preserve"/>
      </w:r>
    </w:p>
    <w:p>
      <w:pPr>
        <w:spacing w:after="60" w:before="60"/>
      </w:pPr>
      <w:r>
        <w:rPr>
          <w:rFonts w:ascii="Arial" w:cs="Arial" w:eastAsia="Arial" w:hAnsi="Arial"/>
          <w:sz w:val="22"/>
          <w:szCs w:val="22"/>
        </w:rPr>
        <w:t xml:space="preserve">The key insight from studying Chris The Wiz Miller's channel: his filming aesthetic (dark, moody, single key light) is NOT his thumbnail aesthetic. His thumbnails are designed — they have bold text, textured backgrounds, and his face large in frame. The filming look gives you the raw ingredient (a great face photo). The thumbnail is where you build the design on top.</w:t>
      </w:r>
    </w:p>
    <w:p>
      <w:pPr>
        <w:spacing w:after="40" w:before="0"/>
      </w:pPr>
      <w:r>
        <w:t xml:space="preserve"/>
      </w:r>
    </w:p>
    <w:p>
      <w:pPr>
        <w:spacing w:after="60" w:before="60"/>
      </w:pPr>
      <w:r>
        <w:rPr>
          <w:rFonts w:ascii="Arial" w:cs="Arial" w:eastAsia="Arial" w:hAnsi="Arial"/>
          <w:sz w:val="22"/>
          <w:szCs w:val="22"/>
        </w:rPr>
        <w:t xml:space="preserve">For Olly Henson Coaching, the advantage is that the thumbnail brand identity maps almost perfectly to the website and overall brand — deep purple/black backgrounds, Playfair Display bold, Magenta accent. Done consistently, the channel will look like a brand rather than a content feed.</w:t>
      </w:r>
    </w:p>
    <w:p>
      <w:pPr>
        <w:spacing w:after="160" w:before="0"/>
      </w:pPr>
      <w:r>
        <w:t xml:space="preserve"/>
      </w:r>
    </w:p>
    <w:p>
      <w:pPr>
        <w:pBdr>
          <w:bottom w:val="single" w:color="d946ef" w:sz="4" w:space="1"/>
        </w:pBdr>
        <w:spacing w:after="120" w:before="120"/>
      </w:pPr>
      <w:r>
        <w:t xml:space="preserve"/>
      </w:r>
    </w:p>
    <w:p>
      <w:pPr>
        <w:pStyle w:val="Heading1"/>
        <w:spacing w:after="120" w:before="400"/>
      </w:pPr>
      <w:r>
        <w:rPr>
          <w:rFonts w:ascii="Arial" w:cs="Arial" w:eastAsia="Arial" w:hAnsi="Arial"/>
          <w:b/>
          <w:bCs/>
          <w:color w:val="080010"/>
          <w:sz w:val="32"/>
          <w:szCs w:val="32"/>
        </w:rPr>
        <w:t xml:space="preserve">2. Canvas &amp;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80010" w:val="clear"/>
            <w:tcMar>
              <w:top w:type="dxa" w:w="80"/>
              <w:left w:type="dxa" w:w="150"/>
              <w:bottom w:type="dxa" w:w="80"/>
              <w:right w:type="dxa" w:w="150"/>
            </w:tcMar>
          </w:tcPr>
          <w:p>
            <w:r>
              <w:rPr>
                <w:rFonts w:ascii="Arial" w:cs="Arial" w:eastAsia="Arial" w:hAnsi="Arial"/>
                <w:b/>
                <w:bCs/>
                <w:color w:val="FFFFFF"/>
                <w:sz w:val="20"/>
                <w:szCs w:val="20"/>
              </w:rPr>
              <w:t xml:space="preserve">Setting</w:t>
            </w:r>
          </w:p>
        </w:tc>
        <w:tc>
          <w:tcPr>
            <w:tcW w:type="dxa" w:w="6240"/>
            <w:tcBorders>
              <w:top w:val="single" w:color="cccccc" w:sz="1"/>
              <w:left w:val="single" w:color="cccccc" w:sz="1"/>
              <w:bottom w:val="single" w:color="cccccc" w:sz="1"/>
              <w:right w:val="single" w:color="cccccc" w:sz="1"/>
            </w:tcBorders>
            <w:shd w:fill="080010" w:val="clear"/>
            <w:tcMar>
              <w:top w:type="dxa" w:w="80"/>
              <w:left w:type="dxa" w:w="150"/>
              <w:bottom w:type="dxa" w:w="80"/>
              <w:right w:type="dxa" w:w="150"/>
            </w:tcMar>
          </w:tcPr>
          <w:p>
            <w:r>
              <w:rPr>
                <w:rFonts w:ascii="Arial" w:cs="Arial" w:eastAsia="Arial" w:hAnsi="Arial"/>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222222"/>
                <w:sz w:val="20"/>
                <w:szCs w:val="20"/>
              </w:rPr>
              <w:t xml:space="preserve">Canvas size</w:t>
            </w:r>
          </w:p>
        </w:tc>
        <w:tc>
          <w:tcPr>
            <w:tcW w:type="dxa" w:w="62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222222"/>
                <w:sz w:val="20"/>
                <w:szCs w:val="20"/>
              </w:rPr>
              <w:t xml:space="preserve">1280 x 720px (16:9)</w:t>
            </w:r>
          </w:p>
        </w:tc>
      </w:tr>
      <w:tr>
        <w:tc>
          <w:tcPr>
            <w:tcW w:type="dxa" w:w="312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222222"/>
                <w:sz w:val="20"/>
                <w:szCs w:val="20"/>
              </w:rPr>
              <w:t xml:space="preserve">Resolution</w:t>
            </w:r>
          </w:p>
        </w:tc>
        <w:tc>
          <w:tcPr>
            <w:tcW w:type="dxa" w:w="62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222222"/>
                <w:sz w:val="20"/>
                <w:szCs w:val="20"/>
              </w:rPr>
              <w:t xml:space="preserve">72dpi for upload; 150dpi if printing</w:t>
            </w:r>
          </w:p>
        </w:tc>
      </w:tr>
      <w:tr>
        <w:tc>
          <w:tcPr>
            <w:tcW w:type="dxa" w:w="312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222222"/>
                <w:sz w:val="20"/>
                <w:szCs w:val="20"/>
              </w:rPr>
              <w:t xml:space="preserve">File format</w:t>
            </w:r>
          </w:p>
        </w:tc>
        <w:tc>
          <w:tcPr>
            <w:tcW w:type="dxa" w:w="62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222222"/>
                <w:sz w:val="20"/>
                <w:szCs w:val="20"/>
              </w:rPr>
              <w:t xml:space="preserve">JPG for upload (smaller file size)</w:t>
            </w:r>
          </w:p>
        </w:tc>
      </w:tr>
      <w:tr>
        <w:tc>
          <w:tcPr>
            <w:tcW w:type="dxa" w:w="312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222222"/>
                <w:sz w:val="20"/>
                <w:szCs w:val="20"/>
              </w:rPr>
              <w:t xml:space="preserve">Max file size</w:t>
            </w:r>
          </w:p>
        </w:tc>
        <w:tc>
          <w:tcPr>
            <w:tcW w:type="dxa" w:w="62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222222"/>
                <w:sz w:val="20"/>
                <w:szCs w:val="20"/>
              </w:rPr>
              <w:t xml:space="preserve">2MB (YouTube limit)</w:t>
            </w:r>
          </w:p>
        </w:tc>
      </w:tr>
      <w:tr>
        <w:tc>
          <w:tcPr>
            <w:tcW w:type="dxa" w:w="312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222222"/>
                <w:sz w:val="20"/>
                <w:szCs w:val="20"/>
              </w:rPr>
              <w:t xml:space="preserve">Canva template size</w:t>
            </w:r>
          </w:p>
        </w:tc>
        <w:tc>
          <w:tcPr>
            <w:tcW w:type="dxa" w:w="62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222222"/>
                <w:sz w:val="20"/>
                <w:szCs w:val="20"/>
              </w:rPr>
              <w:t xml:space="preserve">YouTube Thumbnail — auto-set to 1280 x 720px</w:t>
            </w:r>
          </w:p>
        </w:tc>
      </w:tr>
    </w:tbl>
    <w:p>
      <w:pPr>
        <w:spacing w:after="160" w:before="0"/>
      </w:pPr>
      <w:r>
        <w:t xml:space="preserve"/>
      </w:r>
    </w:p>
    <w:p>
      <w:pPr>
        <w:pBdr>
          <w:bottom w:val="single" w:color="d946ef" w:sz="4" w:space="1"/>
        </w:pBdr>
        <w:spacing w:after="120" w:before="120"/>
      </w:pPr>
      <w:r>
        <w:t xml:space="preserve"/>
      </w:r>
    </w:p>
    <w:p>
      <w:pPr>
        <w:pStyle w:val="Heading1"/>
        <w:spacing w:after="120" w:before="400"/>
      </w:pPr>
      <w:r>
        <w:rPr>
          <w:rFonts w:ascii="Arial" w:cs="Arial" w:eastAsia="Arial" w:hAnsi="Arial"/>
          <w:b/>
          <w:bCs/>
          <w:color w:val="080010"/>
          <w:sz w:val="32"/>
          <w:szCs w:val="32"/>
        </w:rPr>
        <w:t xml:space="preserve">3. Template Variations</w:t>
      </w:r>
    </w:p>
    <w:p>
      <w:pPr>
        <w:spacing w:after="60" w:before="60"/>
      </w:pPr>
      <w:r>
        <w:rPr>
          <w:rFonts w:ascii="Arial" w:cs="Arial" w:eastAsia="Arial" w:hAnsi="Arial"/>
          <w:sz w:val="22"/>
          <w:szCs w:val="22"/>
        </w:rPr>
        <w:t xml:space="preserve">The primary layout follows Chris's principles. Olly brings his own angle on variation B and uses the brand typography throughout. No logo on thumbnails — face and text do the branding.</w:t>
      </w:r>
    </w:p>
    <w:p>
      <w:pPr>
        <w:spacing w:after="80" w:before="0"/>
      </w:pPr>
      <w:r>
        <w:t xml:space="preserve"/>
      </w:r>
    </w:p>
    <w:p>
      <w:pPr>
        <w:pStyle w:val="Heading2"/>
        <w:spacing w:after="80" w:before="280"/>
      </w:pPr>
      <w:r>
        <w:rPr>
          <w:rFonts w:ascii="Arial" w:cs="Arial" w:eastAsia="Arial" w:hAnsi="Arial"/>
          <w:b/>
          <w:bCs/>
          <w:color w:val="333333"/>
          <w:sz w:val="26"/>
          <w:szCs w:val="26"/>
        </w:rPr>
        <w:t xml:space="preserve">Variation A — Text Left, Face Right (Primary)</w:t>
      </w:r>
    </w:p>
    <w:p>
      <w:pPr>
        <w:pStyle w:val="ListParagraph"/>
        <w:numPr>
          <w:ilvl w:val="0"/>
          <w:numId w:val="2"/>
        </w:numPr>
        <w:spacing w:after="40" w:before="40"/>
      </w:pPr>
      <w:r>
        <w:rPr>
          <w:rFonts w:ascii="Arial" w:cs="Arial" w:eastAsia="Arial" w:hAnsi="Arial"/>
          <w:b w:val="false"/>
          <w:bCs w:val="false"/>
          <w:color w:val="222222"/>
          <w:sz w:val="22"/>
          <w:szCs w:val="22"/>
        </w:rPr>
        <w:t xml:space="preserve">Face: right 45% of canvas, chest-up, large</w:t>
      </w:r>
    </w:p>
    <w:p>
      <w:pPr>
        <w:pStyle w:val="ListParagraph"/>
        <w:numPr>
          <w:ilvl w:val="0"/>
          <w:numId w:val="2"/>
        </w:numPr>
        <w:spacing w:after="40" w:before="40"/>
      </w:pPr>
      <w:r>
        <w:rPr>
          <w:rFonts w:ascii="Arial" w:cs="Arial" w:eastAsia="Arial" w:hAnsi="Arial"/>
          <w:b w:val="false"/>
          <w:bCs w:val="false"/>
          <w:color w:val="222222"/>
          <w:sz w:val="22"/>
          <w:szCs w:val="22"/>
        </w:rPr>
        <w:t xml:space="preserve">Text block: left 55%, vertically centred or upper-left</w:t>
      </w:r>
    </w:p>
    <w:p>
      <w:pPr>
        <w:pStyle w:val="ListParagraph"/>
        <w:numPr>
          <w:ilvl w:val="0"/>
          <w:numId w:val="2"/>
        </w:numPr>
        <w:spacing w:after="40" w:before="40"/>
      </w:pPr>
      <w:r>
        <w:rPr>
          <w:rFonts w:ascii="Arial" w:cs="Arial" w:eastAsia="Arial" w:hAnsi="Arial"/>
          <w:b w:val="false"/>
          <w:bCs w:val="false"/>
          <w:color w:val="222222"/>
          <w:sz w:val="22"/>
          <w:szCs w:val="22"/>
        </w:rPr>
        <w:t xml:space="preserve">Background: dark purple/black with bokeh/particle texture</w:t>
      </w:r>
    </w:p>
    <w:p>
      <w:pPr>
        <w:pStyle w:val="ListParagraph"/>
        <w:numPr>
          <w:ilvl w:val="0"/>
          <w:numId w:val="2"/>
        </w:numPr>
        <w:spacing w:after="40" w:before="40"/>
      </w:pPr>
      <w:r>
        <w:rPr>
          <w:rFonts w:ascii="Arial" w:cs="Arial" w:eastAsia="Arial" w:hAnsi="Arial"/>
          <w:b w:val="false"/>
          <w:bCs w:val="false"/>
          <w:color w:val="222222"/>
          <w:sz w:val="22"/>
          <w:szCs w:val="22"/>
        </w:rPr>
        <w:t xml:space="preserve">Use for: most standard educational and argument-based content</w:t>
      </w:r>
    </w:p>
    <w:p>
      <w:pPr>
        <w:spacing w:after="40" w:before="0"/>
      </w:pPr>
      <w:r>
        <w:t xml:space="preserve"/>
      </w:r>
    </w:p>
    <w:p>
      <w:pPr>
        <w:spacing w:after="60" w:before="60"/>
      </w:pPr>
      <w:r>
        <w:rPr>
          <w:rFonts w:ascii="Arial" w:cs="Arial" w:eastAsia="Arial" w:hAnsi="Arial"/>
          <w:sz w:val="22"/>
          <w:szCs w:val="22"/>
        </w:rPr>
        <w:t xml:space="preserve">This is the default. When in doubt, use Variation A.</w:t>
      </w:r>
    </w:p>
    <w:p>
      <w:pPr>
        <w:spacing w:after="80" w:before="0"/>
      </w:pPr>
      <w:r>
        <w:t xml:space="preserve"/>
      </w:r>
    </w:p>
    <w:p>
      <w:pPr>
        <w:pStyle w:val="Heading2"/>
        <w:spacing w:after="80" w:before="280"/>
      </w:pPr>
      <w:r>
        <w:rPr>
          <w:rFonts w:ascii="Arial" w:cs="Arial" w:eastAsia="Arial" w:hAnsi="Arial"/>
          <w:b/>
          <w:bCs/>
          <w:color w:val="333333"/>
          <w:sz w:val="26"/>
          <w:szCs w:val="26"/>
        </w:rPr>
        <w:t xml:space="preserve">Variation B — Face Left, Text Right (Olly's Take)</w:t>
      </w:r>
    </w:p>
    <w:p>
      <w:pPr>
        <w:pStyle w:val="ListParagraph"/>
        <w:numPr>
          <w:ilvl w:val="0"/>
          <w:numId w:val="2"/>
        </w:numPr>
        <w:spacing w:after="40" w:before="40"/>
      </w:pPr>
      <w:r>
        <w:rPr>
          <w:rFonts w:ascii="Arial" w:cs="Arial" w:eastAsia="Arial" w:hAnsi="Arial"/>
          <w:b w:val="false"/>
          <w:bCs w:val="false"/>
          <w:color w:val="222222"/>
          <w:sz w:val="22"/>
          <w:szCs w:val="22"/>
        </w:rPr>
        <w:t xml:space="preserve">Face: left 45% of canvas</w:t>
      </w:r>
    </w:p>
    <w:p>
      <w:pPr>
        <w:pStyle w:val="ListParagraph"/>
        <w:numPr>
          <w:ilvl w:val="0"/>
          <w:numId w:val="2"/>
        </w:numPr>
        <w:spacing w:after="40" w:before="40"/>
      </w:pPr>
      <w:r>
        <w:rPr>
          <w:rFonts w:ascii="Arial" w:cs="Arial" w:eastAsia="Arial" w:hAnsi="Arial"/>
          <w:b w:val="false"/>
          <w:bCs w:val="false"/>
          <w:color w:val="222222"/>
          <w:sz w:val="22"/>
          <w:szCs w:val="22"/>
        </w:rPr>
        <w:t xml:space="preserve">Text block: right 55%</w:t>
      </w:r>
    </w:p>
    <w:p>
      <w:pPr>
        <w:pStyle w:val="ListParagraph"/>
        <w:numPr>
          <w:ilvl w:val="0"/>
          <w:numId w:val="2"/>
        </w:numPr>
        <w:spacing w:after="40" w:before="40"/>
      </w:pPr>
      <w:r>
        <w:rPr>
          <w:rFonts w:ascii="Arial" w:cs="Arial" w:eastAsia="Arial" w:hAnsi="Arial"/>
          <w:b w:val="false"/>
          <w:bCs w:val="false"/>
          <w:color w:val="222222"/>
          <w:sz w:val="22"/>
          <w:szCs w:val="22"/>
        </w:rPr>
        <w:t xml:space="preserve">Same background and typography rules</w:t>
      </w:r>
    </w:p>
    <w:p>
      <w:pPr>
        <w:pStyle w:val="ListParagraph"/>
        <w:numPr>
          <w:ilvl w:val="0"/>
          <w:numId w:val="2"/>
        </w:numPr>
        <w:spacing w:after="40" w:before="40"/>
      </w:pPr>
      <w:r>
        <w:rPr>
          <w:rFonts w:ascii="Arial" w:cs="Arial" w:eastAsia="Arial" w:hAnsi="Arial"/>
          <w:b w:val="false"/>
          <w:bCs w:val="false"/>
          <w:color w:val="222222"/>
          <w:sz w:val="22"/>
          <w:szCs w:val="22"/>
        </w:rPr>
        <w:t xml:space="preserve">Use for: personal story content, or when the image composition naturally reads left-to-right</w:t>
      </w:r>
    </w:p>
    <w:p>
      <w:pPr>
        <w:pStyle w:val="ListParagraph"/>
        <w:numPr>
          <w:ilvl w:val="0"/>
          <w:numId w:val="2"/>
        </w:numPr>
        <w:spacing w:after="40" w:before="40"/>
      </w:pPr>
      <w:r>
        <w:rPr>
          <w:rFonts w:ascii="Arial" w:cs="Arial" w:eastAsia="Arial" w:hAnsi="Arial"/>
          <w:b w:val="false"/>
          <w:bCs w:val="false"/>
          <w:color w:val="222222"/>
          <w:sz w:val="22"/>
          <w:szCs w:val="22"/>
        </w:rPr>
        <w:t xml:space="preserve">Use sparingly — maybe 1 in 4 thumbnails — to add variety without breaking pattern recognition</w:t>
      </w:r>
    </w:p>
    <w:p>
      <w:pPr>
        <w:spacing w:after="80" w:before="0"/>
      </w:pPr>
      <w:r>
        <w:t xml:space="preserve"/>
      </w:r>
    </w:p>
    <w:p>
      <w:pPr>
        <w:pStyle w:val="Heading2"/>
        <w:spacing w:after="80" w:before="280"/>
      </w:pPr>
      <w:r>
        <w:rPr>
          <w:rFonts w:ascii="Arial" w:cs="Arial" w:eastAsia="Arial" w:hAnsi="Arial"/>
          <w:b/>
          <w:bCs/>
          <w:color w:val="333333"/>
          <w:sz w:val="26"/>
          <w:szCs w:val="26"/>
        </w:rPr>
        <w:t xml:space="preserve">Variation C — Full-Width Face, Text Overlay (Impact)</w:t>
      </w:r>
    </w:p>
    <w:p>
      <w:pPr>
        <w:pStyle w:val="ListParagraph"/>
        <w:numPr>
          <w:ilvl w:val="0"/>
          <w:numId w:val="2"/>
        </w:numPr>
        <w:spacing w:after="40" w:before="40"/>
      </w:pPr>
      <w:r>
        <w:rPr>
          <w:rFonts w:ascii="Arial" w:cs="Arial" w:eastAsia="Arial" w:hAnsi="Arial"/>
          <w:b w:val="false"/>
          <w:bCs w:val="false"/>
          <w:color w:val="222222"/>
          <w:sz w:val="22"/>
          <w:szCs w:val="22"/>
        </w:rPr>
        <w:t xml:space="preserve">Face fills the full canvas — extreme close-up or chest-up filling the frame</w:t>
      </w:r>
    </w:p>
    <w:p>
      <w:pPr>
        <w:pStyle w:val="ListParagraph"/>
        <w:numPr>
          <w:ilvl w:val="0"/>
          <w:numId w:val="2"/>
        </w:numPr>
        <w:spacing w:after="40" w:before="40"/>
      </w:pPr>
      <w:r>
        <w:rPr>
          <w:rFonts w:ascii="Arial" w:cs="Arial" w:eastAsia="Arial" w:hAnsi="Arial"/>
          <w:b w:val="false"/>
          <w:bCs w:val="false"/>
          <w:color w:val="222222"/>
          <w:sz w:val="22"/>
          <w:szCs w:val="22"/>
        </w:rPr>
        <w:t xml:space="preserve">Text overlaid at the top or bottom in a semi-transparent dark strip, OR floating bold white text</w:t>
      </w:r>
    </w:p>
    <w:p>
      <w:pPr>
        <w:pStyle w:val="ListParagraph"/>
        <w:numPr>
          <w:ilvl w:val="0"/>
          <w:numId w:val="2"/>
        </w:numPr>
        <w:spacing w:after="40" w:before="40"/>
      </w:pPr>
      <w:r>
        <w:rPr>
          <w:rFonts w:ascii="Arial" w:cs="Arial" w:eastAsia="Arial" w:hAnsi="Arial"/>
          <w:b w:val="false"/>
          <w:bCs w:val="false"/>
          <w:color w:val="222222"/>
          <w:sz w:val="22"/>
          <w:szCs w:val="22"/>
        </w:rPr>
        <w:t xml:space="preserve">2 to 3 words maximum — text must be readable over the face</w:t>
      </w:r>
    </w:p>
    <w:p>
      <w:pPr>
        <w:pStyle w:val="ListParagraph"/>
        <w:numPr>
          <w:ilvl w:val="0"/>
          <w:numId w:val="2"/>
        </w:numPr>
        <w:spacing w:after="40" w:before="40"/>
      </w:pPr>
      <w:r>
        <w:rPr>
          <w:rFonts w:ascii="Arial" w:cs="Arial" w:eastAsia="Arial" w:hAnsi="Arial"/>
          <w:b w:val="false"/>
          <w:bCs w:val="false"/>
          <w:color w:val="222222"/>
          <w:sz w:val="22"/>
          <w:szCs w:val="22"/>
        </w:rPr>
        <w:t xml:space="preserve">Use for: high-emotion content, strong single-concept titles (e.g. 'TOO EASY', 'BEND REALITY')</w:t>
      </w:r>
    </w:p>
    <w:p>
      <w:pPr>
        <w:spacing w:after="80" w:before="0"/>
      </w:pPr>
      <w:r>
        <w:t xml:space="preserve"/>
      </w:r>
    </w:p>
    <w:p>
      <w:pPr>
        <w:pStyle w:val="Heading2"/>
        <w:spacing w:after="80" w:before="280"/>
      </w:pPr>
      <w:r>
        <w:rPr>
          <w:rFonts w:ascii="Arial" w:cs="Arial" w:eastAsia="Arial" w:hAnsi="Arial"/>
          <w:b/>
          <w:bCs/>
          <w:color w:val="333333"/>
          <w:sz w:val="26"/>
          <w:szCs w:val="26"/>
        </w:rPr>
        <w:t xml:space="preserve">Variation D — Testimonial / Social Proof</w:t>
      </w:r>
    </w:p>
    <w:p>
      <w:pPr>
        <w:pStyle w:val="ListParagraph"/>
        <w:numPr>
          <w:ilvl w:val="0"/>
          <w:numId w:val="2"/>
        </w:numPr>
        <w:spacing w:after="40" w:before="40"/>
      </w:pPr>
      <w:r>
        <w:rPr>
          <w:rFonts w:ascii="Arial" w:cs="Arial" w:eastAsia="Arial" w:hAnsi="Arial"/>
          <w:b w:val="false"/>
          <w:bCs w:val="false"/>
          <w:color w:val="222222"/>
          <w:sz w:val="22"/>
          <w:szCs w:val="22"/>
        </w:rPr>
        <w:t xml:space="preserve">Two faces (Olly + client) or Olly with a speech bubble quote</w:t>
      </w:r>
    </w:p>
    <w:p>
      <w:pPr>
        <w:pStyle w:val="ListParagraph"/>
        <w:numPr>
          <w:ilvl w:val="0"/>
          <w:numId w:val="2"/>
        </w:numPr>
        <w:spacing w:after="40" w:before="40"/>
      </w:pPr>
      <w:r>
        <w:rPr>
          <w:rFonts w:ascii="Arial" w:cs="Arial" w:eastAsia="Arial" w:hAnsi="Arial"/>
          <w:b w:val="false"/>
          <w:bCs w:val="false"/>
          <w:color w:val="222222"/>
          <w:sz w:val="22"/>
          <w:szCs w:val="22"/>
        </w:rPr>
        <w:t xml:space="preserve">Quote text in speech bubble: short, punchy, in quotes</w:t>
      </w:r>
    </w:p>
    <w:p>
      <w:pPr>
        <w:pStyle w:val="ListParagraph"/>
        <w:numPr>
          <w:ilvl w:val="0"/>
          <w:numId w:val="2"/>
        </w:numPr>
        <w:spacing w:after="40" w:before="40"/>
      </w:pPr>
      <w:r>
        <w:rPr>
          <w:rFonts w:ascii="Arial" w:cs="Arial" w:eastAsia="Arial" w:hAnsi="Arial"/>
          <w:b w:val="false"/>
          <w:bCs w:val="false"/>
          <w:color w:val="222222"/>
          <w:sz w:val="22"/>
          <w:szCs w:val="22"/>
        </w:rPr>
        <w:t xml:space="preserve">Use for: client case study content, interview-style videos</w:t>
      </w:r>
    </w:p>
    <w:p>
      <w:pPr>
        <w:pStyle w:val="ListParagraph"/>
        <w:numPr>
          <w:ilvl w:val="0"/>
          <w:numId w:val="2"/>
        </w:numPr>
        <w:spacing w:after="40" w:before="40"/>
      </w:pPr>
      <w:r>
        <w:rPr>
          <w:rFonts w:ascii="Arial" w:cs="Arial" w:eastAsia="Arial" w:hAnsi="Arial"/>
          <w:b w:val="false"/>
          <w:bCs w:val="false"/>
          <w:color w:val="222222"/>
          <w:sz w:val="22"/>
          <w:szCs w:val="22"/>
        </w:rPr>
        <w:t xml:space="preserve">Use rarely — only when social proof is the primary hook</w:t>
      </w:r>
    </w:p>
    <w:p>
      <w:pPr>
        <w:spacing w:after="160" w:before="0"/>
      </w:pPr>
      <w:r>
        <w:t xml:space="preserve"/>
      </w:r>
    </w:p>
    <w:p>
      <w:pPr>
        <w:pBdr>
          <w:bottom w:val="single" w:color="d946ef" w:sz="4" w:space="1"/>
        </w:pBdr>
        <w:spacing w:after="120" w:before="120"/>
      </w:pPr>
      <w:r>
        <w:t xml:space="preserve"/>
      </w:r>
    </w:p>
    <w:p>
      <w:pPr>
        <w:pageBreakBefore/>
      </w:pPr>
      <w:r>
        <w:t xml:space="preserve"/>
      </w:r>
    </w:p>
    <w:p>
      <w:pPr>
        <w:pStyle w:val="Heading1"/>
        <w:spacing w:after="120" w:before="400"/>
      </w:pPr>
      <w:r>
        <w:rPr>
          <w:rFonts w:ascii="Arial" w:cs="Arial" w:eastAsia="Arial" w:hAnsi="Arial"/>
          <w:b/>
          <w:bCs/>
          <w:color w:val="080010"/>
          <w:sz w:val="32"/>
          <w:szCs w:val="32"/>
        </w:rPr>
        <w:t xml:space="preserve">4. Typography</w:t>
      </w:r>
    </w:p>
    <w:p>
      <w:pPr>
        <w:pStyle w:val="Heading2"/>
        <w:spacing w:after="80" w:before="280"/>
      </w:pPr>
      <w:r>
        <w:rPr>
          <w:rFonts w:ascii="Arial" w:cs="Arial" w:eastAsia="Arial" w:hAnsi="Arial"/>
          <w:b/>
          <w:bCs/>
          <w:color w:val="333333"/>
          <w:sz w:val="26"/>
          <w:szCs w:val="26"/>
        </w:rPr>
        <w:t xml:space="preserve">Primary Font — Playfair Display</w:t>
      </w:r>
    </w:p>
    <w:p>
      <w:pPr>
        <w:spacing w:after="60" w:before="60"/>
      </w:pPr>
      <w:r>
        <w:rPr>
          <w:rFonts w:ascii="Arial" w:cs="Arial" w:eastAsia="Arial" w:hAnsi="Arial"/>
          <w:sz w:val="22"/>
          <w:szCs w:val="22"/>
        </w:rPr>
        <w:t xml:space="preserve">Playfair Display is the brand headline font and the thumbnail font. It replaces Anton/Impact (which every manifestation creator uses). The thick/thin stroke variation in the letterforms reads as premium and distinctive at small sizes. Nobody else in this niche uses it consistently.</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3640"/>
        <w:gridCol w:w="3640"/>
      </w:tblGrid>
      <w:tr>
        <w:tc>
          <w:tcPr>
            <w:tcW w:type="dxa" w:w="2080"/>
            <w:tcBorders>
              <w:top w:val="single" w:color="cccccc" w:sz="1"/>
              <w:left w:val="single" w:color="cccccc" w:sz="1"/>
              <w:bottom w:val="single" w:color="cccccc" w:sz="1"/>
              <w:right w:val="single" w:color="cccccc" w:sz="1"/>
            </w:tcBorders>
            <w:shd w:fill="080010" w:val="clear"/>
            <w:tcMar>
              <w:top w:type="dxa" w:w="80"/>
              <w:left w:type="dxa" w:w="150"/>
              <w:bottom w:type="dxa" w:w="80"/>
              <w:right w:type="dxa" w:w="150"/>
            </w:tcMar>
          </w:tcPr>
          <w:p>
            <w:r>
              <w:rPr>
                <w:rFonts w:ascii="Arial" w:cs="Arial" w:eastAsia="Arial" w:hAnsi="Arial"/>
                <w:b/>
                <w:bCs/>
                <w:color w:val="FFFFFF"/>
                <w:sz w:val="20"/>
                <w:szCs w:val="20"/>
              </w:rPr>
              <w:t xml:space="preserve">Element</w:t>
            </w:r>
          </w:p>
        </w:tc>
        <w:tc>
          <w:tcPr>
            <w:tcW w:type="dxa" w:w="3640"/>
            <w:tcBorders>
              <w:top w:val="single" w:color="cccccc" w:sz="1"/>
              <w:left w:val="single" w:color="cccccc" w:sz="1"/>
              <w:bottom w:val="single" w:color="cccccc" w:sz="1"/>
              <w:right w:val="single" w:color="cccccc" w:sz="1"/>
            </w:tcBorders>
            <w:shd w:fill="080010" w:val="clear"/>
            <w:tcMar>
              <w:top w:type="dxa" w:w="80"/>
              <w:left w:type="dxa" w:w="150"/>
              <w:bottom w:type="dxa" w:w="80"/>
              <w:right w:type="dxa" w:w="150"/>
            </w:tcMar>
          </w:tcPr>
          <w:p>
            <w:r>
              <w:rPr>
                <w:rFonts w:ascii="Arial" w:cs="Arial" w:eastAsia="Arial" w:hAnsi="Arial"/>
                <w:b/>
                <w:bCs/>
                <w:color w:val="FFFFFF"/>
                <w:sz w:val="20"/>
                <w:szCs w:val="20"/>
              </w:rPr>
              <w:t xml:space="preserve">Style</w:t>
            </w:r>
          </w:p>
        </w:tc>
        <w:tc>
          <w:tcPr>
            <w:tcW w:type="dxa" w:w="3640"/>
            <w:tcBorders>
              <w:top w:val="single" w:color="cccccc" w:sz="1"/>
              <w:left w:val="single" w:color="cccccc" w:sz="1"/>
              <w:bottom w:val="single" w:color="cccccc" w:sz="1"/>
              <w:right w:val="single" w:color="cccccc" w:sz="1"/>
            </w:tcBorders>
            <w:shd w:fill="080010" w:val="clear"/>
            <w:tcMar>
              <w:top w:type="dxa" w:w="80"/>
              <w:left w:type="dxa" w:w="150"/>
              <w:bottom w:type="dxa" w:w="80"/>
              <w:right w:type="dxa" w:w="150"/>
            </w:tcMar>
          </w:tcPr>
          <w:p>
            <w:r>
              <w:rPr>
                <w:rFonts w:ascii="Arial" w:cs="Arial" w:eastAsia="Arial" w:hAnsi="Arial"/>
                <w:b/>
                <w:bCs/>
                <w:color w:val="FFFFFF"/>
                <w:sz w:val="20"/>
                <w:szCs w:val="20"/>
              </w:rPr>
              <w:t xml:space="preserve">Canva Settings</w:t>
            </w:r>
          </w:p>
        </w:tc>
      </w:tr>
      <w:tr>
        <w:tc>
          <w:tcPr>
            <w:tcW w:type="dxa" w:w="208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222222"/>
                <w:sz w:val="20"/>
                <w:szCs w:val="20"/>
              </w:rPr>
              <w:t xml:space="preserve">Main text line 1</w:t>
            </w:r>
          </w:p>
        </w:tc>
        <w:tc>
          <w:tcPr>
            <w:tcW w:type="dxa" w:w="36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222222"/>
                <w:sz w:val="20"/>
                <w:szCs w:val="20"/>
              </w:rPr>
              <w:t xml:space="preserve">Playfair Display Black, upright, white</w:t>
            </w:r>
          </w:p>
        </w:tc>
        <w:tc>
          <w:tcPr>
            <w:tcW w:type="dxa" w:w="36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222222"/>
                <w:sz w:val="20"/>
                <w:szCs w:val="20"/>
              </w:rPr>
              <w:t xml:space="preserve">900 weight, #F8F4FF, size 100-130pt</w:t>
            </w:r>
          </w:p>
        </w:tc>
      </w:tr>
      <w:tr>
        <w:tc>
          <w:tcPr>
            <w:tcW w:type="dxa" w:w="208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222222"/>
                <w:sz w:val="20"/>
                <w:szCs w:val="20"/>
              </w:rPr>
              <w:t xml:space="preserve">Accent line (key word)</w:t>
            </w:r>
          </w:p>
        </w:tc>
        <w:tc>
          <w:tcPr>
            <w:tcW w:type="dxa" w:w="36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222222"/>
                <w:sz w:val="20"/>
                <w:szCs w:val="20"/>
              </w:rPr>
              <w:t xml:space="preserve">Playfair Display Black, italic, magenta</w:t>
            </w:r>
          </w:p>
        </w:tc>
        <w:tc>
          <w:tcPr>
            <w:tcW w:type="dxa" w:w="36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222222"/>
                <w:sz w:val="20"/>
                <w:szCs w:val="20"/>
              </w:rPr>
              <w:t xml:space="preserve">900 weight, italic, #D946EF, same size</w:t>
            </w:r>
          </w:p>
        </w:tc>
      </w:tr>
      <w:tr>
        <w:tc>
          <w:tcPr>
            <w:tcW w:type="dxa" w:w="208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222222"/>
                <w:sz w:val="20"/>
                <w:szCs w:val="20"/>
              </w:rPr>
              <w:t xml:space="preserve">Sub-label (rare)</w:t>
            </w:r>
          </w:p>
        </w:tc>
        <w:tc>
          <w:tcPr>
            <w:tcW w:type="dxa" w:w="36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222222"/>
                <w:sz w:val="20"/>
                <w:szCs w:val="20"/>
              </w:rPr>
              <w:t xml:space="preserve">Inter SemiBold, uppercase, muted</w:t>
            </w:r>
          </w:p>
        </w:tc>
        <w:tc>
          <w:tcPr>
            <w:tcW w:type="dxa" w:w="36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222222"/>
                <w:sz w:val="20"/>
                <w:szCs w:val="20"/>
              </w:rPr>
              <w:t xml:space="preserve">600 weight, #A855F7, size 40-50pt</w:t>
            </w:r>
          </w:p>
        </w:tc>
      </w:tr>
    </w:tbl>
    <w:p>
      <w:pPr>
        <w:spacing w:after="80" w:before="0"/>
      </w:pPr>
      <w:r>
        <w:t xml:space="preserve"/>
      </w:r>
    </w:p>
    <w:p>
      <w:pPr>
        <w:pStyle w:val="Heading2"/>
        <w:spacing w:after="80" w:before="280"/>
      </w:pPr>
      <w:r>
        <w:rPr>
          <w:rFonts w:ascii="Arial" w:cs="Arial" w:eastAsia="Arial" w:hAnsi="Arial"/>
          <w:b/>
          <w:bCs/>
          <w:color w:val="333333"/>
          <w:sz w:val="26"/>
          <w:szCs w:val="26"/>
        </w:rPr>
        <w:t xml:space="preserve">Text Layout Rules</w:t>
      </w:r>
    </w:p>
    <w:p>
      <w:pPr>
        <w:pStyle w:val="ListParagraph"/>
        <w:numPr>
          <w:ilvl w:val="0"/>
          <w:numId w:val="2"/>
        </w:numPr>
        <w:spacing w:after="40" w:before="40"/>
      </w:pPr>
      <w:r>
        <w:rPr>
          <w:rFonts w:ascii="Arial" w:cs="Arial" w:eastAsia="Arial" w:hAnsi="Arial"/>
          <w:b w:val="false"/>
          <w:bCs w:val="false"/>
          <w:color w:val="222222"/>
          <w:sz w:val="22"/>
          <w:szCs w:val="22"/>
        </w:rPr>
        <w:t xml:space="preserve">Maximum 4 words total across all lines — if you need more, the thumbnail text is the wrong format</w:t>
      </w:r>
    </w:p>
    <w:p>
      <w:pPr>
        <w:pStyle w:val="ListParagraph"/>
        <w:numPr>
          <w:ilvl w:val="0"/>
          <w:numId w:val="2"/>
        </w:numPr>
        <w:spacing w:after="40" w:before="40"/>
      </w:pPr>
      <w:r>
        <w:rPr>
          <w:rFonts w:ascii="Arial" w:cs="Arial" w:eastAsia="Arial" w:hAnsi="Arial"/>
          <w:b w:val="false"/>
          <w:bCs w:val="false"/>
          <w:color w:val="222222"/>
          <w:sz w:val="22"/>
          <w:szCs w:val="22"/>
        </w:rPr>
        <w:t xml:space="preserve">One to two words per line, stacked</w:t>
      </w:r>
    </w:p>
    <w:p>
      <w:pPr>
        <w:pStyle w:val="ListParagraph"/>
        <w:numPr>
          <w:ilvl w:val="0"/>
          <w:numId w:val="2"/>
        </w:numPr>
        <w:spacing w:after="40" w:before="40"/>
      </w:pPr>
      <w:r>
        <w:rPr>
          <w:rFonts w:ascii="Arial" w:cs="Arial" w:eastAsia="Arial" w:hAnsi="Arial"/>
          <w:b w:val="false"/>
          <w:bCs w:val="false"/>
          <w:color w:val="222222"/>
          <w:sz w:val="22"/>
          <w:szCs w:val="22"/>
        </w:rPr>
        <w:t xml:space="preserve">Line 1: white, upright — states the subject</w:t>
      </w:r>
    </w:p>
    <w:p>
      <w:pPr>
        <w:pStyle w:val="ListParagraph"/>
        <w:numPr>
          <w:ilvl w:val="0"/>
          <w:numId w:val="2"/>
        </w:numPr>
        <w:spacing w:after="40" w:before="40"/>
      </w:pPr>
      <w:r>
        <w:rPr>
          <w:rFonts w:ascii="Arial" w:cs="Arial" w:eastAsia="Arial" w:hAnsi="Arial"/>
          <w:b w:val="false"/>
          <w:bCs w:val="false"/>
          <w:color w:val="222222"/>
          <w:sz w:val="22"/>
          <w:szCs w:val="22"/>
        </w:rPr>
        <w:t xml:space="preserve">Line 2: magenta, italic — the emotional hook or key concept (the 'Activate Your Heart, Create Your Reality' move)</w:t>
      </w:r>
    </w:p>
    <w:p>
      <w:pPr>
        <w:pStyle w:val="ListParagraph"/>
        <w:numPr>
          <w:ilvl w:val="0"/>
          <w:numId w:val="2"/>
        </w:numPr>
        <w:spacing w:after="40" w:before="40"/>
      </w:pPr>
      <w:r>
        <w:rPr>
          <w:rFonts w:ascii="Arial" w:cs="Arial" w:eastAsia="Arial" w:hAnsi="Arial"/>
          <w:b w:val="false"/>
          <w:bCs w:val="false"/>
          <w:color w:val="222222"/>
          <w:sz w:val="22"/>
          <w:szCs w:val="22"/>
        </w:rPr>
        <w:t xml:space="preserve">This two-line pattern is the brand signature — use it as the default</w:t>
      </w:r>
    </w:p>
    <w:p>
      <w:pPr>
        <w:spacing w:after="80" w:before="0"/>
      </w:pPr>
      <w:r>
        <w:t xml:space="preserve"/>
      </w:r>
    </w:p>
    <w:p>
      <w:pPr>
        <w:pStyle w:val="Heading2"/>
        <w:spacing w:after="80" w:before="280"/>
      </w:pPr>
      <w:r>
        <w:rPr>
          <w:rFonts w:ascii="Arial" w:cs="Arial" w:eastAsia="Arial" w:hAnsi="Arial"/>
          <w:b/>
          <w:bCs/>
          <w:color w:val="333333"/>
          <w:sz w:val="26"/>
          <w:szCs w:val="26"/>
        </w:rPr>
        <w:t xml:space="preserve">Sizing &amp; Spacing</w:t>
      </w:r>
    </w:p>
    <w:p>
      <w:pPr>
        <w:pStyle w:val="ListParagraph"/>
        <w:numPr>
          <w:ilvl w:val="0"/>
          <w:numId w:val="2"/>
        </w:numPr>
        <w:spacing w:after="40" w:before="40"/>
      </w:pPr>
      <w:r>
        <w:rPr>
          <w:rFonts w:ascii="Arial" w:cs="Arial" w:eastAsia="Arial" w:hAnsi="Arial"/>
          <w:b w:val="false"/>
          <w:bCs w:val="false"/>
          <w:color w:val="222222"/>
          <w:sz w:val="22"/>
          <w:szCs w:val="22"/>
        </w:rPr>
        <w:t xml:space="preserve">Font size: 100-130pt for main text. If it looks too big in the editor, it is probably right at thumbnail scale.</w:t>
      </w:r>
    </w:p>
    <w:p>
      <w:pPr>
        <w:pStyle w:val="ListParagraph"/>
        <w:numPr>
          <w:ilvl w:val="0"/>
          <w:numId w:val="2"/>
        </w:numPr>
        <w:spacing w:after="40" w:before="40"/>
      </w:pPr>
      <w:r>
        <w:rPr>
          <w:rFonts w:ascii="Arial" w:cs="Arial" w:eastAsia="Arial" w:hAnsi="Arial"/>
          <w:b w:val="false"/>
          <w:bCs w:val="false"/>
          <w:color w:val="222222"/>
          <w:sz w:val="22"/>
          <w:szCs w:val="22"/>
        </w:rPr>
        <w:t xml:space="preserve">Line height: 0.9 — lines should almost touch. This makes the text block read as one graphic unit.</w:t>
      </w:r>
    </w:p>
    <w:p>
      <w:pPr>
        <w:pStyle w:val="ListParagraph"/>
        <w:numPr>
          <w:ilvl w:val="0"/>
          <w:numId w:val="2"/>
        </w:numPr>
        <w:spacing w:after="40" w:before="40"/>
      </w:pPr>
      <w:r>
        <w:rPr>
          <w:rFonts w:ascii="Arial" w:cs="Arial" w:eastAsia="Arial" w:hAnsi="Arial"/>
          <w:b w:val="false"/>
          <w:bCs w:val="false"/>
          <w:color w:val="222222"/>
          <w:sz w:val="22"/>
          <w:szCs w:val="22"/>
        </w:rPr>
        <w:t xml:space="preserve">Letter spacing: 0 (default). Do not add tracking.</w:t>
      </w:r>
    </w:p>
    <w:p>
      <w:pPr>
        <w:pStyle w:val="ListParagraph"/>
        <w:numPr>
          <w:ilvl w:val="0"/>
          <w:numId w:val="2"/>
        </w:numPr>
        <w:spacing w:after="40" w:before="40"/>
      </w:pPr>
      <w:r>
        <w:rPr>
          <w:rFonts w:ascii="Arial" w:cs="Arial" w:eastAsia="Arial" w:hAnsi="Arial"/>
          <w:b w:val="false"/>
          <w:bCs w:val="false"/>
          <w:color w:val="222222"/>
          <w:sz w:val="22"/>
          <w:szCs w:val="22"/>
        </w:rPr>
        <w:t xml:space="preserve">Text alignment: left-aligned within its block, not centred</w:t>
      </w:r>
    </w:p>
    <w:p>
      <w:pPr>
        <w:spacing w:after="80" w:before="0"/>
      </w:pPr>
      <w:r>
        <w:t xml:space="preserve"/>
      </w:r>
    </w:p>
    <w:p>
      <w:pPr>
        <w:pStyle w:val="Heading2"/>
        <w:spacing w:after="80" w:before="280"/>
      </w:pPr>
      <w:r>
        <w:rPr>
          <w:rFonts w:ascii="Arial" w:cs="Arial" w:eastAsia="Arial" w:hAnsi="Arial"/>
          <w:b/>
          <w:bCs/>
          <w:color w:val="333333"/>
          <w:sz w:val="26"/>
          <w:szCs w:val="26"/>
        </w:rPr>
        <w:t xml:space="preserve">Text Examples</w:t>
      </w:r>
    </w:p>
    <w:p>
      <w:pPr>
        <w:spacing w:after="60" w:before="60"/>
      </w:pPr>
      <w:r>
        <w:rPr>
          <w:rFonts w:ascii="Arial" w:cs="Arial" w:eastAsia="Arial" w:hAnsi="Arial"/>
          <w:sz w:val="22"/>
          <w:szCs w:val="22"/>
        </w:rPr>
        <w:t xml:space="preserve">These show the two-line pattern in action:</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3120"/>
            <w:tcBorders>
              <w:top w:val="single" w:color="cccccc" w:sz="1"/>
              <w:left w:val="single" w:color="cccccc" w:sz="1"/>
              <w:bottom w:val="single" w:color="cccccc" w:sz="1"/>
              <w:right w:val="single" w:color="cccccc" w:sz="1"/>
            </w:tcBorders>
            <w:shd w:fill="080010" w:val="clear"/>
            <w:tcMar>
              <w:top w:type="dxa" w:w="80"/>
              <w:left w:type="dxa" w:w="150"/>
              <w:bottom w:type="dxa" w:w="80"/>
              <w:right w:type="dxa" w:w="150"/>
            </w:tcMar>
          </w:tcPr>
          <w:p>
            <w:r>
              <w:rPr>
                <w:rFonts w:ascii="Arial" w:cs="Arial" w:eastAsia="Arial" w:hAnsi="Arial"/>
                <w:b/>
                <w:bCs/>
                <w:color w:val="FFFFFF"/>
                <w:sz w:val="20"/>
                <w:szCs w:val="20"/>
              </w:rPr>
              <w:t xml:space="preserve">Video Topic</w:t>
            </w:r>
          </w:p>
        </w:tc>
        <w:tc>
          <w:tcPr>
            <w:tcW w:type="dxa" w:w="6240"/>
            <w:tcBorders>
              <w:top w:val="single" w:color="cccccc" w:sz="1"/>
              <w:left w:val="single" w:color="cccccc" w:sz="1"/>
              <w:bottom w:val="single" w:color="cccccc" w:sz="1"/>
              <w:right w:val="single" w:color="cccccc" w:sz="1"/>
            </w:tcBorders>
            <w:shd w:fill="080010" w:val="clear"/>
            <w:tcMar>
              <w:top w:type="dxa" w:w="80"/>
              <w:left w:type="dxa" w:w="150"/>
              <w:bottom w:type="dxa" w:w="80"/>
              <w:right w:type="dxa" w:w="150"/>
            </w:tcMar>
          </w:tcPr>
          <w:p>
            <w:r>
              <w:rPr>
                <w:rFonts w:ascii="Arial" w:cs="Arial" w:eastAsia="Arial" w:hAnsi="Arial"/>
                <w:b/>
                <w:bCs/>
                <w:color w:val="FFFFFF"/>
                <w:sz w:val="20"/>
                <w:szCs w:val="20"/>
              </w:rPr>
              <w:t xml:space="preserve">Thumbnail Text (Line 1 white / Line 2 magenta italic)</w:t>
            </w:r>
          </w:p>
        </w:tc>
      </w:tr>
      <w:tr>
        <w:tc>
          <w:tcPr>
            <w:tcW w:type="dxa" w:w="312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222222"/>
                <w:sz w:val="20"/>
                <w:szCs w:val="20"/>
              </w:rPr>
              <w:t xml:space="preserve">Why manifestation isn't working</w:t>
            </w:r>
          </w:p>
        </w:tc>
        <w:tc>
          <w:tcPr>
            <w:tcW w:type="dxa" w:w="62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222222"/>
                <w:sz w:val="20"/>
                <w:szCs w:val="20"/>
              </w:rPr>
              <w:t xml:space="preserve">WHY IT'S NOT / Working</w:t>
            </w:r>
          </w:p>
        </w:tc>
      </w:tr>
      <w:tr>
        <w:tc>
          <w:tcPr>
            <w:tcW w:type="dxa" w:w="312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222222"/>
                <w:sz w:val="20"/>
                <w:szCs w:val="20"/>
              </w:rPr>
              <w:t xml:space="preserve">Heart Coherence explained</w:t>
            </w:r>
          </w:p>
        </w:tc>
        <w:tc>
          <w:tcPr>
            <w:tcW w:type="dxa" w:w="62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222222"/>
                <w:sz w:val="20"/>
                <w:szCs w:val="20"/>
              </w:rPr>
              <w:t xml:space="preserve">YOUR HEART / Knows</w:t>
            </w:r>
          </w:p>
        </w:tc>
      </w:tr>
      <w:tr>
        <w:tc>
          <w:tcPr>
            <w:tcW w:type="dxa" w:w="312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222222"/>
                <w:sz w:val="20"/>
                <w:szCs w:val="20"/>
              </w:rPr>
              <w:t xml:space="preserve">Getting out of your head</w:t>
            </w:r>
          </w:p>
        </w:tc>
        <w:tc>
          <w:tcPr>
            <w:tcW w:type="dxa" w:w="62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222222"/>
                <w:sz w:val="20"/>
                <w:szCs w:val="20"/>
              </w:rPr>
              <w:t xml:space="preserve">OUT OF YOUR / Head</w:t>
            </w:r>
          </w:p>
        </w:tc>
      </w:tr>
      <w:tr>
        <w:tc>
          <w:tcPr>
            <w:tcW w:type="dxa" w:w="312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222222"/>
                <w:sz w:val="20"/>
                <w:szCs w:val="20"/>
              </w:rPr>
              <w:t xml:space="preserve">Subconscious reprogramming</w:t>
            </w:r>
          </w:p>
        </w:tc>
        <w:tc>
          <w:tcPr>
            <w:tcW w:type="dxa" w:w="62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222222"/>
                <w:sz w:val="20"/>
                <w:szCs w:val="20"/>
              </w:rPr>
              <w:t xml:space="preserve">THE PROGRAMME / Can Change</w:t>
            </w:r>
          </w:p>
        </w:tc>
      </w:tr>
      <w:tr>
        <w:tc>
          <w:tcPr>
            <w:tcW w:type="dxa" w:w="312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222222"/>
                <w:sz w:val="20"/>
                <w:szCs w:val="20"/>
              </w:rPr>
              <w:t xml:space="preserve">Personal story — $13k month</w:t>
            </w:r>
          </w:p>
        </w:tc>
        <w:tc>
          <w:tcPr>
            <w:tcW w:type="dxa" w:w="62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222222"/>
                <w:sz w:val="20"/>
                <w:szCs w:val="20"/>
              </w:rPr>
              <w:t xml:space="preserve">HOW I MADE / $13,000</w:t>
            </w:r>
          </w:p>
        </w:tc>
      </w:tr>
    </w:tbl>
    <w:p>
      <w:pPr>
        <w:spacing w:after="160" w:before="0"/>
      </w:pPr>
      <w:r>
        <w:t xml:space="preserve"/>
      </w:r>
    </w:p>
    <w:p>
      <w:pPr>
        <w:pBdr>
          <w:bottom w:val="single" w:color="d946ef" w:sz="4" w:space="1"/>
        </w:pBdr>
        <w:spacing w:after="120" w:before="120"/>
      </w:pPr>
      <w:r>
        <w:t xml:space="preserve"/>
      </w:r>
    </w:p>
    <w:p>
      <w:pPr>
        <w:pStyle w:val="Heading1"/>
        <w:spacing w:after="120" w:before="400"/>
      </w:pPr>
      <w:r>
        <w:rPr>
          <w:rFonts w:ascii="Arial" w:cs="Arial" w:eastAsia="Arial" w:hAnsi="Arial"/>
          <w:b/>
          <w:bCs/>
          <w:color w:val="080010"/>
          <w:sz w:val="32"/>
          <w:szCs w:val="32"/>
        </w:rPr>
        <w:t xml:space="preserve">5. Colour Palette</w:t>
      </w:r>
    </w:p>
    <w:p>
      <w:pPr>
        <w:spacing w:after="60" w:before="60"/>
      </w:pPr>
      <w:r>
        <w:rPr>
          <w:rFonts w:ascii="Arial" w:cs="Arial" w:eastAsia="Arial" w:hAnsi="Arial"/>
          <w:sz w:val="22"/>
          <w:szCs w:val="22"/>
        </w:rPr>
        <w:t xml:space="preserve">All colours come directly from the Olly Henson Coaching brand kit. The thumbnail palette is a subset of the full brand — the darkest backgrounds, the brightest accents.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2200"/>
        <w:gridCol w:w="4960"/>
      </w:tblGrid>
      <w:tr>
        <w:tc>
          <w:tcPr>
            <w:tcW w:type="dxa" w:w="600"/>
            <w:tcBorders>
              <w:top w:val="single" w:color="cccccc" w:sz="1"/>
              <w:left w:val="single" w:color="cccccc" w:sz="1"/>
              <w:bottom w:val="single" w:color="cccccc" w:sz="1"/>
              <w:right w:val="single" w:color="cccccc" w:sz="1"/>
            </w:tcBorders>
            <w:shd w:fill="080010" w:val="clear"/>
            <w:tcMar>
              <w:top w:type="dxa" w:w="80"/>
              <w:left w:type="dxa" w:w="80"/>
              <w:bottom w:type="dxa" w:w="80"/>
              <w:right w:type="dxa" w:w="80"/>
            </w:tcMar>
          </w:tcPr>
          <w:p>
            <w:r>
              <w:t xml:space="preserve"/>
            </w:r>
          </w:p>
        </w:tc>
        <w:tc>
          <w:tcPr>
            <w:tcW w:type="dxa" w:w="1600"/>
            <w:tcBorders>
              <w:top w:val="single" w:color="cccccc" w:sz="1"/>
              <w:left w:val="single" w:color="cccccc" w:sz="1"/>
              <w:bottom w:val="single" w:color="cccccc" w:sz="1"/>
              <w:right w:val="single" w:color="cccccc" w:sz="1"/>
            </w:tcBorders>
            <w:shd w:fill="080010" w:val="clear"/>
            <w:tcMar>
              <w:top w:type="dxa" w:w="80"/>
              <w:left w:type="dxa" w:w="150"/>
              <w:bottom w:type="dxa" w:w="80"/>
              <w:right w:type="dxa" w:w="150"/>
            </w:tcMar>
          </w:tcPr>
          <w:p>
            <w:r>
              <w:rPr>
                <w:rFonts w:ascii="Arial" w:cs="Arial" w:eastAsia="Arial" w:hAnsi="Arial"/>
                <w:b w:val="Use"/>
                <w:bCs w:val="Use"/>
                <w:color w:val="FFFFFF"/>
                <w:sz w:val="20"/>
                <w:szCs w:val="20"/>
              </w:rPr>
              <w:t xml:space="preserve">Hex</w:t>
            </w:r>
          </w:p>
        </w:tc>
        <w:tc>
          <w:tcPr>
            <w:tcW w:type="dxa" w:w="2200"/>
            <w:tcBorders>
              <w:top w:val="single" w:color="cccccc" w:sz="1"/>
              <w:left w:val="single" w:color="cccccc" w:sz="1"/>
              <w:bottom w:val="single" w:color="cccccc" w:sz="1"/>
              <w:right w:val="single" w:color="cccccc" w:sz="1"/>
            </w:tcBorders>
            <w:shd w:fill="080010" w:val="clear"/>
            <w:tcMar>
              <w:top w:type="dxa" w:w="80"/>
              <w:left w:type="dxa" w:w="150"/>
              <w:bottom w:type="dxa" w:w="80"/>
              <w:right w:type="dxa" w:w="150"/>
            </w:tcMar>
          </w:tcPr>
          <w:p>
            <w:r>
              <w:rPr>
                <w:rFonts w:ascii="Arial" w:cs="Arial" w:eastAsia="Arial" w:hAnsi="Arial"/>
                <w:b w:val="Use"/>
                <w:bCs w:val="Use"/>
                <w:color w:val="FFFFFF"/>
                <w:sz w:val="20"/>
                <w:szCs w:val="20"/>
              </w:rPr>
              <w:t xml:space="preserve">Name</w:t>
            </w:r>
          </w:p>
        </w:tc>
        <w:tc>
          <w:tcPr>
            <w:tcW w:type="dxa" w:w="4960"/>
            <w:tcBorders>
              <w:top w:val="single" w:color="cccccc" w:sz="1"/>
              <w:left w:val="single" w:color="cccccc" w:sz="1"/>
              <w:bottom w:val="single" w:color="cccccc" w:sz="1"/>
              <w:right w:val="single" w:color="cccccc" w:sz="1"/>
            </w:tcBorders>
            <w:shd w:fill="080010" w:val="clear"/>
            <w:tcMar>
              <w:top w:type="dxa" w:w="80"/>
              <w:left w:type="dxa" w:w="150"/>
              <w:bottom w:type="dxa" w:w="80"/>
              <w:right w:type="dxa" w:w="150"/>
            </w:tcMar>
          </w:tcPr>
          <w:p>
            <w:r>
              <w:rPr>
                <w:rFonts w:ascii="Arial" w:cs="Arial" w:eastAsia="Arial" w:hAnsi="Arial"/>
                <w:b w:val="Use"/>
                <w:bCs w:val="Use"/>
                <w:color w:val="FFFFFF"/>
                <w:sz w:val="20"/>
                <w:szCs w:val="20"/>
              </w:rPr>
              <w:t xml:space="preserve">Hex</w:t>
            </w:r>
          </w:p>
        </w:tc>
      </w:tr>
      <w:tr>
        <w:tc>
          <w:tcPr>
            <w:tcW w:type="dxa" w:w="600"/>
            <w:tcBorders>
              <w:top w:val="single" w:color="cccccc" w:sz="1"/>
              <w:left w:val="single" w:color="cccccc" w:sz="1"/>
              <w:bottom w:val="single" w:color="cccccc" w:sz="1"/>
              <w:right w:val="single" w:color="cccccc" w:sz="1"/>
            </w:tcBorders>
            <w:shd w:fill="080010" w:val="clear"/>
            <w:tcMar>
              <w:top w:type="dxa" w:w="80"/>
              <w:left w:type="dxa" w:w="80"/>
              <w:bottom w:type="dxa" w:w="80"/>
              <w:right w:type="dxa" w:w="80"/>
            </w:tcMar>
          </w:tcPr>
          <w:p>
            <w:r>
              <w:t xml:space="preserve"/>
            </w:r>
          </w:p>
        </w:tc>
        <w:tc>
          <w:tcPr>
            <w:tcW w:type="dxa" w:w="1600"/>
            <w:tcBorders>
              <w:top w:val="single" w:color="cccccc" w:sz="1"/>
              <w:left w:val="single" w:color="cccccc" w:sz="1"/>
              <w:bottom w:val="single" w:color="cccccc" w:sz="1"/>
              <w:right w:val="single" w:color="cccccc" w:sz="1"/>
            </w:tcBorders>
            <w:shd w:fill="080010" w:val="clear"/>
            <w:tcMar>
              <w:top w:type="dxa" w:w="80"/>
              <w:left w:type="dxa" w:w="150"/>
              <w:bottom w:type="dxa" w:w="80"/>
              <w:right w:type="dxa" w:w="150"/>
            </w:tcMar>
          </w:tcPr>
          <w:p>
            <w:r>
              <w:rPr>
                <w:rFonts w:ascii="Arial" w:cs="Arial" w:eastAsia="Arial" w:hAnsi="Arial"/>
                <w:b w:val="Primary background"/>
                <w:bCs w:val="Primary background"/>
                <w:color w:val="FFFFFF"/>
                <w:sz w:val="20"/>
                <w:szCs w:val="20"/>
              </w:rPr>
              <w:t xml:space="preserve">#080010</w:t>
            </w:r>
          </w:p>
        </w:tc>
        <w:tc>
          <w:tcPr>
            <w:tcW w:type="dxa" w:w="2200"/>
            <w:tcBorders>
              <w:top w:val="single" w:color="cccccc" w:sz="1"/>
              <w:left w:val="single" w:color="cccccc" w:sz="1"/>
              <w:bottom w:val="single" w:color="cccccc" w:sz="1"/>
              <w:right w:val="single" w:color="cccccc" w:sz="1"/>
            </w:tcBorders>
            <w:shd w:fill="080010" w:val="clear"/>
            <w:tcMar>
              <w:top w:type="dxa" w:w="80"/>
              <w:left w:type="dxa" w:w="150"/>
              <w:bottom w:type="dxa" w:w="80"/>
              <w:right w:type="dxa" w:w="150"/>
            </w:tcMar>
          </w:tcPr>
          <w:p>
            <w:r>
              <w:rPr>
                <w:rFonts w:ascii="Arial" w:cs="Arial" w:eastAsia="Arial" w:hAnsi="Arial"/>
                <w:b w:val="Primary background"/>
                <w:bCs w:val="Primary background"/>
                <w:color w:val="FFFFFF"/>
                <w:sz w:val="20"/>
                <w:szCs w:val="20"/>
              </w:rPr>
              <w:t xml:space="preserve">Space Black</w:t>
            </w:r>
          </w:p>
        </w:tc>
        <w:tc>
          <w:tcPr>
            <w:tcW w:type="dxa" w:w="4960"/>
            <w:tcBorders>
              <w:top w:val="single" w:color="cccccc" w:sz="1"/>
              <w:left w:val="single" w:color="cccccc" w:sz="1"/>
              <w:bottom w:val="single" w:color="cccccc" w:sz="1"/>
              <w:right w:val="single" w:color="cccccc" w:sz="1"/>
            </w:tcBorders>
            <w:shd w:fill="080010" w:val="clear"/>
            <w:tcMar>
              <w:top w:type="dxa" w:w="80"/>
              <w:left w:type="dxa" w:w="150"/>
              <w:bottom w:type="dxa" w:w="80"/>
              <w:right w:type="dxa" w:w="150"/>
            </w:tcMar>
          </w:tcPr>
          <w:p>
            <w:r>
              <w:rPr>
                <w:rFonts w:ascii="Arial" w:cs="Arial" w:eastAsia="Arial" w:hAnsi="Arial"/>
                <w:b w:val="Primary background"/>
                <w:bCs w:val="Primary background"/>
                <w:color w:val="FFFFFF"/>
                <w:sz w:val="20"/>
                <w:szCs w:val="20"/>
              </w:rPr>
              <w:t xml:space="preserve">#080010</w:t>
            </w:r>
          </w:p>
        </w:tc>
      </w:tr>
      <w:tr>
        <w:tc>
          <w:tcPr>
            <w:tcW w:type="dxa" w:w="600"/>
            <w:tcBorders>
              <w:top w:val="single" w:color="cccccc" w:sz="1"/>
              <w:left w:val="single" w:color="cccccc" w:sz="1"/>
              <w:bottom w:val="single" w:color="cccccc" w:sz="1"/>
              <w:right w:val="single" w:color="cccccc" w:sz="1"/>
            </w:tcBorders>
            <w:shd w:fill="080010" w:val="clear"/>
            <w:tcMar>
              <w:top w:type="dxa" w:w="80"/>
              <w:left w:type="dxa" w:w="80"/>
              <w:bottom w:type="dxa" w:w="80"/>
              <w:right w:type="dxa" w:w="80"/>
            </w:tcMar>
          </w:tcPr>
          <w:p>
            <w:r>
              <w:t xml:space="preserve"/>
            </w:r>
          </w:p>
        </w:tc>
        <w:tc>
          <w:tcPr>
            <w:tcW w:type="dxa" w:w="1600"/>
            <w:tcBorders>
              <w:top w:val="single" w:color="cccccc" w:sz="1"/>
              <w:left w:val="single" w:color="cccccc" w:sz="1"/>
              <w:bottom w:val="single" w:color="cccccc" w:sz="1"/>
              <w:right w:val="single" w:color="cccccc" w:sz="1"/>
            </w:tcBorders>
            <w:shd w:fill="080010" w:val="clear"/>
            <w:tcMar>
              <w:top w:type="dxa" w:w="80"/>
              <w:left w:type="dxa" w:w="150"/>
              <w:bottom w:type="dxa" w:w="80"/>
              <w:right w:type="dxa" w:w="150"/>
            </w:tcMar>
          </w:tcPr>
          <w:p>
            <w:r>
              <w:rPr>
                <w:rFonts w:ascii="Arial" w:cs="Arial" w:eastAsia="Arial" w:hAnsi="Arial"/>
                <w:b w:val="Secondary background, gradient start"/>
                <w:bCs w:val="Secondary background, gradient start"/>
                <w:color w:val="FFFFFF"/>
                <w:sz w:val="20"/>
                <w:szCs w:val="20"/>
              </w:rPr>
              <w:t xml:space="preserve">#1a0535</w:t>
            </w:r>
          </w:p>
        </w:tc>
        <w:tc>
          <w:tcPr>
            <w:tcW w:type="dxa" w:w="2200"/>
            <w:tcBorders>
              <w:top w:val="single" w:color="cccccc" w:sz="1"/>
              <w:left w:val="single" w:color="cccccc" w:sz="1"/>
              <w:bottom w:val="single" w:color="cccccc" w:sz="1"/>
              <w:right w:val="single" w:color="cccccc" w:sz="1"/>
            </w:tcBorders>
            <w:shd w:fill="080010" w:val="clear"/>
            <w:tcMar>
              <w:top w:type="dxa" w:w="80"/>
              <w:left w:type="dxa" w:w="150"/>
              <w:bottom w:type="dxa" w:w="80"/>
              <w:right w:type="dxa" w:w="150"/>
            </w:tcMar>
          </w:tcPr>
          <w:p>
            <w:r>
              <w:rPr>
                <w:rFonts w:ascii="Arial" w:cs="Arial" w:eastAsia="Arial" w:hAnsi="Arial"/>
                <w:b w:val="Secondary background, gradient start"/>
                <w:bCs w:val="Secondary background, gradient start"/>
                <w:color w:val="FFFFFF"/>
                <w:sz w:val="20"/>
                <w:szCs w:val="20"/>
              </w:rPr>
              <w:t xml:space="preserve">Deep Purple</w:t>
            </w:r>
          </w:p>
        </w:tc>
        <w:tc>
          <w:tcPr>
            <w:tcW w:type="dxa" w:w="4960"/>
            <w:tcBorders>
              <w:top w:val="single" w:color="cccccc" w:sz="1"/>
              <w:left w:val="single" w:color="cccccc" w:sz="1"/>
              <w:bottom w:val="single" w:color="cccccc" w:sz="1"/>
              <w:right w:val="single" w:color="cccccc" w:sz="1"/>
            </w:tcBorders>
            <w:shd w:fill="080010" w:val="clear"/>
            <w:tcMar>
              <w:top w:type="dxa" w:w="80"/>
              <w:left w:type="dxa" w:w="150"/>
              <w:bottom w:type="dxa" w:w="80"/>
              <w:right w:type="dxa" w:w="150"/>
            </w:tcMar>
          </w:tcPr>
          <w:p>
            <w:r>
              <w:rPr>
                <w:rFonts w:ascii="Arial" w:cs="Arial" w:eastAsia="Arial" w:hAnsi="Arial"/>
                <w:b w:val="Secondary background, gradient start"/>
                <w:bCs w:val="Secondary background, gradient start"/>
                <w:color w:val="FFFFFF"/>
                <w:sz w:val="20"/>
                <w:szCs w:val="20"/>
              </w:rPr>
              <w:t xml:space="preserve">#1a0535</w:t>
            </w:r>
          </w:p>
        </w:tc>
      </w:tr>
      <w:tr>
        <w:tc>
          <w:tcPr>
            <w:tcW w:type="dxa" w:w="600"/>
            <w:tcBorders>
              <w:top w:val="single" w:color="cccccc" w:sz="1"/>
              <w:left w:val="single" w:color="cccccc" w:sz="1"/>
              <w:bottom w:val="single" w:color="cccccc" w:sz="1"/>
              <w:right w:val="single" w:color="cccccc" w:sz="1"/>
            </w:tcBorders>
            <w:shd w:fill="080010" w:val="clear"/>
            <w:tcMar>
              <w:top w:type="dxa" w:w="80"/>
              <w:left w:type="dxa" w:w="80"/>
              <w:bottom w:type="dxa" w:w="80"/>
              <w:right w:type="dxa" w:w="80"/>
            </w:tcMar>
          </w:tcPr>
          <w:p>
            <w:r>
              <w:t xml:space="preserve"/>
            </w:r>
          </w:p>
        </w:tc>
        <w:tc>
          <w:tcPr>
            <w:tcW w:type="dxa" w:w="1600"/>
            <w:tcBorders>
              <w:top w:val="single" w:color="cccccc" w:sz="1"/>
              <w:left w:val="single" w:color="cccccc" w:sz="1"/>
              <w:bottom w:val="single" w:color="cccccc" w:sz="1"/>
              <w:right w:val="single" w:color="cccccc" w:sz="1"/>
            </w:tcBorders>
            <w:shd w:fill="080010" w:val="clear"/>
            <w:tcMar>
              <w:top w:type="dxa" w:w="80"/>
              <w:left w:type="dxa" w:w="150"/>
              <w:bottom w:type="dxa" w:w="80"/>
              <w:right w:type="dxa" w:w="150"/>
            </w:tcMar>
          </w:tcPr>
          <w:p>
            <w:r>
              <w:rPr>
                <w:rFonts w:ascii="Arial" w:cs="Arial" w:eastAsia="Arial" w:hAnsi="Arial"/>
                <w:b w:val="Accent line text, highlights"/>
                <w:bCs w:val="Accent line text, highlights"/>
                <w:color w:val="FFFFFF"/>
                <w:sz w:val="20"/>
                <w:szCs w:val="20"/>
              </w:rPr>
              <w:t xml:space="preserve">#d946ef</w:t>
            </w:r>
          </w:p>
        </w:tc>
        <w:tc>
          <w:tcPr>
            <w:tcW w:type="dxa" w:w="2200"/>
            <w:tcBorders>
              <w:top w:val="single" w:color="cccccc" w:sz="1"/>
              <w:left w:val="single" w:color="cccccc" w:sz="1"/>
              <w:bottom w:val="single" w:color="cccccc" w:sz="1"/>
              <w:right w:val="single" w:color="cccccc" w:sz="1"/>
            </w:tcBorders>
            <w:shd w:fill="080010" w:val="clear"/>
            <w:tcMar>
              <w:top w:type="dxa" w:w="80"/>
              <w:left w:type="dxa" w:w="150"/>
              <w:bottom w:type="dxa" w:w="80"/>
              <w:right w:type="dxa" w:w="150"/>
            </w:tcMar>
          </w:tcPr>
          <w:p>
            <w:r>
              <w:rPr>
                <w:rFonts w:ascii="Arial" w:cs="Arial" w:eastAsia="Arial" w:hAnsi="Arial"/>
                <w:b w:val="Accent line text, highlights"/>
                <w:bCs w:val="Accent line text, highlights"/>
                <w:color w:val="FFFFFF"/>
                <w:sz w:val="20"/>
                <w:szCs w:val="20"/>
              </w:rPr>
              <w:t xml:space="preserve">Magenta</w:t>
            </w:r>
          </w:p>
        </w:tc>
        <w:tc>
          <w:tcPr>
            <w:tcW w:type="dxa" w:w="4960"/>
            <w:tcBorders>
              <w:top w:val="single" w:color="cccccc" w:sz="1"/>
              <w:left w:val="single" w:color="cccccc" w:sz="1"/>
              <w:bottom w:val="single" w:color="cccccc" w:sz="1"/>
              <w:right w:val="single" w:color="cccccc" w:sz="1"/>
            </w:tcBorders>
            <w:shd w:fill="080010" w:val="clear"/>
            <w:tcMar>
              <w:top w:type="dxa" w:w="80"/>
              <w:left w:type="dxa" w:w="150"/>
              <w:bottom w:type="dxa" w:w="80"/>
              <w:right w:type="dxa" w:w="150"/>
            </w:tcMar>
          </w:tcPr>
          <w:p>
            <w:r>
              <w:rPr>
                <w:rFonts w:ascii="Arial" w:cs="Arial" w:eastAsia="Arial" w:hAnsi="Arial"/>
                <w:b w:val="Accent line text, highlights"/>
                <w:bCs w:val="Accent line text, highlights"/>
                <w:color w:val="FFFFFF"/>
                <w:sz w:val="20"/>
                <w:szCs w:val="20"/>
              </w:rPr>
              <w:t xml:space="preserve">#d946ef</w:t>
            </w:r>
          </w:p>
        </w:tc>
      </w:tr>
      <w:tr>
        <w:tc>
          <w:tcPr>
            <w:tcW w:type="dxa" w:w="600"/>
            <w:tcBorders>
              <w:top w:val="single" w:color="cccccc" w:sz="1"/>
              <w:left w:val="single" w:color="cccccc" w:sz="1"/>
              <w:bottom w:val="single" w:color="cccccc" w:sz="1"/>
              <w:right w:val="single" w:color="cccccc" w:sz="1"/>
            </w:tcBorders>
            <w:shd w:fill="080010" w:val="clear"/>
            <w:tcMar>
              <w:top w:type="dxa" w:w="80"/>
              <w:left w:type="dxa" w:w="80"/>
              <w:bottom w:type="dxa" w:w="80"/>
              <w:right w:type="dxa" w:w="80"/>
            </w:tcMar>
          </w:tcPr>
          <w:p>
            <w:r>
              <w:t xml:space="preserve"/>
            </w:r>
          </w:p>
        </w:tc>
        <w:tc>
          <w:tcPr>
            <w:tcW w:type="dxa" w:w="1600"/>
            <w:tcBorders>
              <w:top w:val="single" w:color="cccccc" w:sz="1"/>
              <w:left w:val="single" w:color="cccccc" w:sz="1"/>
              <w:bottom w:val="single" w:color="cccccc" w:sz="1"/>
              <w:right w:val="single" w:color="cccccc" w:sz="1"/>
            </w:tcBorders>
            <w:shd w:fill="080010" w:val="clear"/>
            <w:tcMar>
              <w:top w:type="dxa" w:w="80"/>
              <w:left w:type="dxa" w:w="150"/>
              <w:bottom w:type="dxa" w:w="80"/>
              <w:right w:type="dxa" w:w="150"/>
            </w:tcMar>
          </w:tcPr>
          <w:p>
            <w:r>
              <w:rPr>
                <w:rFonts w:ascii="Arial" w:cs="Arial" w:eastAsia="Arial" w:hAnsi="Arial"/>
                <w:b w:val="Secondary accent, occasional use"/>
                <w:bCs w:val="Secondary accent, occasional use"/>
                <w:color w:val="FFFFFF"/>
                <w:sz w:val="20"/>
                <w:szCs w:val="20"/>
              </w:rPr>
              <w:t xml:space="preserve">#a855f7</w:t>
            </w:r>
          </w:p>
        </w:tc>
        <w:tc>
          <w:tcPr>
            <w:tcW w:type="dxa" w:w="2200"/>
            <w:tcBorders>
              <w:top w:val="single" w:color="cccccc" w:sz="1"/>
              <w:left w:val="single" w:color="cccccc" w:sz="1"/>
              <w:bottom w:val="single" w:color="cccccc" w:sz="1"/>
              <w:right w:val="single" w:color="cccccc" w:sz="1"/>
            </w:tcBorders>
            <w:shd w:fill="080010" w:val="clear"/>
            <w:tcMar>
              <w:top w:type="dxa" w:w="80"/>
              <w:left w:type="dxa" w:w="150"/>
              <w:bottom w:type="dxa" w:w="80"/>
              <w:right w:type="dxa" w:w="150"/>
            </w:tcMar>
          </w:tcPr>
          <w:p>
            <w:r>
              <w:rPr>
                <w:rFonts w:ascii="Arial" w:cs="Arial" w:eastAsia="Arial" w:hAnsi="Arial"/>
                <w:b w:val="Secondary accent, occasional use"/>
                <w:bCs w:val="Secondary accent, occasional use"/>
                <w:color w:val="FFFFFF"/>
                <w:sz w:val="20"/>
                <w:szCs w:val="20"/>
              </w:rPr>
              <w:t xml:space="preserve">Violet</w:t>
            </w:r>
          </w:p>
        </w:tc>
        <w:tc>
          <w:tcPr>
            <w:tcW w:type="dxa" w:w="4960"/>
            <w:tcBorders>
              <w:top w:val="single" w:color="cccccc" w:sz="1"/>
              <w:left w:val="single" w:color="cccccc" w:sz="1"/>
              <w:bottom w:val="single" w:color="cccccc" w:sz="1"/>
              <w:right w:val="single" w:color="cccccc" w:sz="1"/>
            </w:tcBorders>
            <w:shd w:fill="080010" w:val="clear"/>
            <w:tcMar>
              <w:top w:type="dxa" w:w="80"/>
              <w:left w:type="dxa" w:w="150"/>
              <w:bottom w:type="dxa" w:w="80"/>
              <w:right w:type="dxa" w:w="150"/>
            </w:tcMar>
          </w:tcPr>
          <w:p>
            <w:r>
              <w:rPr>
                <w:rFonts w:ascii="Arial" w:cs="Arial" w:eastAsia="Arial" w:hAnsi="Arial"/>
                <w:b w:val="Secondary accent, occasional use"/>
                <w:bCs w:val="Secondary accent, occasional use"/>
                <w:color w:val="FFFFFF"/>
                <w:sz w:val="20"/>
                <w:szCs w:val="20"/>
              </w:rPr>
              <w:t xml:space="preserve">#a855f7</w:t>
            </w:r>
          </w:p>
        </w:tc>
      </w:tr>
      <w:tr>
        <w:tc>
          <w:tcPr>
            <w:tcW w:type="dxa" w:w="600"/>
            <w:tcBorders>
              <w:top w:val="single" w:color="cccccc" w:sz="1"/>
              <w:left w:val="single" w:color="cccccc" w:sz="1"/>
              <w:bottom w:val="single" w:color="cccccc" w:sz="1"/>
              <w:right w:val="single" w:color="cccccc" w:sz="1"/>
            </w:tcBorders>
            <w:shd w:fill="080010" w:val="clear"/>
            <w:tcMar>
              <w:top w:type="dxa" w:w="80"/>
              <w:left w:type="dxa" w:w="80"/>
              <w:bottom w:type="dxa" w:w="80"/>
              <w:right w:type="dxa" w:w="80"/>
            </w:tcMar>
          </w:tcPr>
          <w:p>
            <w:r>
              <w:t xml:space="preserve"/>
            </w:r>
          </w:p>
        </w:tc>
        <w:tc>
          <w:tcPr>
            <w:tcW w:type="dxa" w:w="1600"/>
            <w:tcBorders>
              <w:top w:val="single" w:color="cccccc" w:sz="1"/>
              <w:left w:val="single" w:color="cccccc" w:sz="1"/>
              <w:bottom w:val="single" w:color="cccccc" w:sz="1"/>
              <w:right w:val="single" w:color="cccccc" w:sz="1"/>
            </w:tcBorders>
            <w:shd w:fill="080010" w:val="clear"/>
            <w:tcMar>
              <w:top w:type="dxa" w:w="80"/>
              <w:left w:type="dxa" w:w="150"/>
              <w:bottom w:type="dxa" w:w="80"/>
              <w:right w:type="dxa" w:w="150"/>
            </w:tcMar>
          </w:tcPr>
          <w:p>
            <w:r>
              <w:rPr>
                <w:rFonts w:ascii="Arial" w:cs="Arial" w:eastAsia="Arial" w:hAnsi="Arial"/>
                <w:b w:val="All primary text"/>
                <w:bCs w:val="All primary text"/>
                <w:color w:val="FFFFFF"/>
                <w:sz w:val="20"/>
                <w:szCs w:val="20"/>
              </w:rPr>
              <w:t xml:space="preserve">#f8f4ff</w:t>
            </w:r>
          </w:p>
        </w:tc>
        <w:tc>
          <w:tcPr>
            <w:tcW w:type="dxa" w:w="2200"/>
            <w:tcBorders>
              <w:top w:val="single" w:color="cccccc" w:sz="1"/>
              <w:left w:val="single" w:color="cccccc" w:sz="1"/>
              <w:bottom w:val="single" w:color="cccccc" w:sz="1"/>
              <w:right w:val="single" w:color="cccccc" w:sz="1"/>
            </w:tcBorders>
            <w:shd w:fill="080010" w:val="clear"/>
            <w:tcMar>
              <w:top w:type="dxa" w:w="80"/>
              <w:left w:type="dxa" w:w="150"/>
              <w:bottom w:type="dxa" w:w="80"/>
              <w:right w:type="dxa" w:w="150"/>
            </w:tcMar>
          </w:tcPr>
          <w:p>
            <w:r>
              <w:rPr>
                <w:rFonts w:ascii="Arial" w:cs="Arial" w:eastAsia="Arial" w:hAnsi="Arial"/>
                <w:b w:val="All primary text"/>
                <w:bCs w:val="All primary text"/>
                <w:color w:val="FFFFFF"/>
                <w:sz w:val="20"/>
                <w:szCs w:val="20"/>
              </w:rPr>
              <w:t xml:space="preserve">Star White</w:t>
            </w:r>
          </w:p>
        </w:tc>
        <w:tc>
          <w:tcPr>
            <w:tcW w:type="dxa" w:w="4960"/>
            <w:tcBorders>
              <w:top w:val="single" w:color="cccccc" w:sz="1"/>
              <w:left w:val="single" w:color="cccccc" w:sz="1"/>
              <w:bottom w:val="single" w:color="cccccc" w:sz="1"/>
              <w:right w:val="single" w:color="cccccc" w:sz="1"/>
            </w:tcBorders>
            <w:shd w:fill="080010" w:val="clear"/>
            <w:tcMar>
              <w:top w:type="dxa" w:w="80"/>
              <w:left w:type="dxa" w:w="150"/>
              <w:bottom w:type="dxa" w:w="80"/>
              <w:right w:type="dxa" w:w="150"/>
            </w:tcMar>
          </w:tcPr>
          <w:p>
            <w:r>
              <w:rPr>
                <w:rFonts w:ascii="Arial" w:cs="Arial" w:eastAsia="Arial" w:hAnsi="Arial"/>
                <w:b w:val="All primary text"/>
                <w:bCs w:val="All primary text"/>
                <w:color w:val="FFFFFF"/>
                <w:sz w:val="20"/>
                <w:szCs w:val="20"/>
              </w:rPr>
              <w:t xml:space="preserve">#F8F4FF</w:t>
            </w:r>
          </w:p>
        </w:tc>
      </w:tr>
      <w:tr>
        <w:tc>
          <w:tcPr>
            <w:tcW w:type="dxa" w:w="600"/>
            <w:tcBorders>
              <w:top w:val="single" w:color="cccccc" w:sz="1"/>
              <w:left w:val="single" w:color="cccccc" w:sz="1"/>
              <w:bottom w:val="single" w:color="cccccc" w:sz="1"/>
              <w:right w:val="single" w:color="cccccc" w:sz="1"/>
            </w:tcBorders>
            <w:shd w:fill="080010" w:val="clear"/>
            <w:tcMar>
              <w:top w:type="dxa" w:w="80"/>
              <w:left w:type="dxa" w:w="80"/>
              <w:bottom w:type="dxa" w:w="80"/>
              <w:right w:type="dxa" w:w="80"/>
            </w:tcMar>
          </w:tcPr>
          <w:p>
            <w:r>
              <w:t xml:space="preserve"/>
            </w:r>
          </w:p>
        </w:tc>
        <w:tc>
          <w:tcPr>
            <w:tcW w:type="dxa" w:w="1600"/>
            <w:tcBorders>
              <w:top w:val="single" w:color="cccccc" w:sz="1"/>
              <w:left w:val="single" w:color="cccccc" w:sz="1"/>
              <w:bottom w:val="single" w:color="cccccc" w:sz="1"/>
              <w:right w:val="single" w:color="cccccc" w:sz="1"/>
            </w:tcBorders>
            <w:shd w:fill="080010" w:val="clear"/>
            <w:tcMar>
              <w:top w:type="dxa" w:w="80"/>
              <w:left w:type="dxa" w:w="150"/>
              <w:bottom w:type="dxa" w:w="80"/>
              <w:right w:type="dxa" w:w="150"/>
            </w:tcMar>
          </w:tcPr>
          <w:p>
            <w:r>
              <w:rPr>
                <w:rFonts w:ascii="Arial" w:cs="Arial" w:eastAsia="Arial" w:hAnsi="Arial"/>
                <w:b w:val="Sub-labels only (use rarely on thumbnails)"/>
                <w:bCs w:val="Sub-labels only (use rarely on thumbnails)"/>
                <w:color w:val="FFFFFF"/>
                <w:sz w:val="20"/>
                <w:szCs w:val="20"/>
              </w:rPr>
              <w:t xml:space="preserve">#c4b5fd</w:t>
            </w:r>
          </w:p>
        </w:tc>
        <w:tc>
          <w:tcPr>
            <w:tcW w:type="dxa" w:w="2200"/>
            <w:tcBorders>
              <w:top w:val="single" w:color="cccccc" w:sz="1"/>
              <w:left w:val="single" w:color="cccccc" w:sz="1"/>
              <w:bottom w:val="single" w:color="cccccc" w:sz="1"/>
              <w:right w:val="single" w:color="cccccc" w:sz="1"/>
            </w:tcBorders>
            <w:shd w:fill="080010" w:val="clear"/>
            <w:tcMar>
              <w:top w:type="dxa" w:w="80"/>
              <w:left w:type="dxa" w:w="150"/>
              <w:bottom w:type="dxa" w:w="80"/>
              <w:right w:type="dxa" w:w="150"/>
            </w:tcMar>
          </w:tcPr>
          <w:p>
            <w:r>
              <w:rPr>
                <w:rFonts w:ascii="Arial" w:cs="Arial" w:eastAsia="Arial" w:hAnsi="Arial"/>
                <w:b w:val="Sub-labels only (use rarely on thumbnails)"/>
                <w:bCs w:val="Sub-labels only (use rarely on thumbnails)"/>
                <w:color w:val="FFFFFF"/>
                <w:sz w:val="20"/>
                <w:szCs w:val="20"/>
              </w:rPr>
              <w:t xml:space="preserve">Muted Lavender</w:t>
            </w:r>
          </w:p>
        </w:tc>
        <w:tc>
          <w:tcPr>
            <w:tcW w:type="dxa" w:w="4960"/>
            <w:tcBorders>
              <w:top w:val="single" w:color="cccccc" w:sz="1"/>
              <w:left w:val="single" w:color="cccccc" w:sz="1"/>
              <w:bottom w:val="single" w:color="cccccc" w:sz="1"/>
              <w:right w:val="single" w:color="cccccc" w:sz="1"/>
            </w:tcBorders>
            <w:shd w:fill="080010" w:val="clear"/>
            <w:tcMar>
              <w:top w:type="dxa" w:w="80"/>
              <w:left w:type="dxa" w:w="150"/>
              <w:bottom w:type="dxa" w:w="80"/>
              <w:right w:type="dxa" w:w="150"/>
            </w:tcMar>
          </w:tcPr>
          <w:p>
            <w:r>
              <w:rPr>
                <w:rFonts w:ascii="Arial" w:cs="Arial" w:eastAsia="Arial" w:hAnsi="Arial"/>
                <w:b w:val="Sub-labels only (use rarely on thumbnails)"/>
                <w:bCs w:val="Sub-labels only (use rarely on thumbnails)"/>
                <w:color w:val="FFFFFF"/>
                <w:sz w:val="20"/>
                <w:szCs w:val="20"/>
              </w:rPr>
              <w:t xml:space="preserve">#C4B5FD</w:t>
            </w:r>
          </w:p>
        </w:tc>
      </w:tr>
    </w:tbl>
    <w:p>
      <w:pPr>
        <w:spacing w:after="80" w:before="0"/>
      </w:pPr>
      <w:r>
        <w:t xml:space="preserve"/>
      </w:r>
    </w:p>
    <w:p>
      <w:pPr>
        <w:pStyle w:val="Heading2"/>
        <w:spacing w:after="80" w:before="280"/>
      </w:pPr>
      <w:r>
        <w:rPr>
          <w:rFonts w:ascii="Arial" w:cs="Arial" w:eastAsia="Arial" w:hAnsi="Arial"/>
          <w:b/>
          <w:bCs/>
          <w:color w:val="333333"/>
          <w:sz w:val="26"/>
          <w:szCs w:val="26"/>
        </w:rPr>
        <w:t xml:space="preserve">Colour Usage Rules</w:t>
      </w:r>
    </w:p>
    <w:p>
      <w:pPr>
        <w:pStyle w:val="ListParagraph"/>
        <w:numPr>
          <w:ilvl w:val="0"/>
          <w:numId w:val="2"/>
        </w:numPr>
        <w:spacing w:after="40" w:before="40"/>
      </w:pPr>
      <w:r>
        <w:rPr>
          <w:rFonts w:ascii="Arial" w:cs="Arial" w:eastAsia="Arial" w:hAnsi="Arial"/>
          <w:b w:val="false"/>
          <w:bCs w:val="false"/>
          <w:color w:val="222222"/>
          <w:sz w:val="22"/>
          <w:szCs w:val="22"/>
        </w:rPr>
        <w:t xml:space="preserve">Background is always dark — Space Black or Deep Purple. Never a light or bright background.</w:t>
      </w:r>
    </w:p>
    <w:p>
      <w:pPr>
        <w:pStyle w:val="ListParagraph"/>
        <w:numPr>
          <w:ilvl w:val="0"/>
          <w:numId w:val="2"/>
        </w:numPr>
        <w:spacing w:after="40" w:before="40"/>
      </w:pPr>
      <w:r>
        <w:rPr>
          <w:rFonts w:ascii="Arial" w:cs="Arial" w:eastAsia="Arial" w:hAnsi="Arial"/>
          <w:b w:val="false"/>
          <w:bCs w:val="false"/>
          <w:color w:val="222222"/>
          <w:sz w:val="22"/>
          <w:szCs w:val="22"/>
        </w:rPr>
        <w:t xml:space="preserve">Primary text is always Star White (#F8F4FF). Pure white (#FFFFFF) also works.</w:t>
      </w:r>
    </w:p>
    <w:p>
      <w:pPr>
        <w:pStyle w:val="ListParagraph"/>
        <w:numPr>
          <w:ilvl w:val="0"/>
          <w:numId w:val="2"/>
        </w:numPr>
        <w:spacing w:after="40" w:before="40"/>
      </w:pPr>
      <w:r>
        <w:rPr>
          <w:rFonts w:ascii="Arial" w:cs="Arial" w:eastAsia="Arial" w:hAnsi="Arial"/>
          <w:b w:val="false"/>
          <w:bCs w:val="false"/>
          <w:color w:val="222222"/>
          <w:sz w:val="22"/>
          <w:szCs w:val="22"/>
        </w:rPr>
        <w:t xml:space="preserve">One accent line only in Magenta (#D946EF). Do not use Magenta for more than one element per thumbnail.</w:t>
      </w:r>
    </w:p>
    <w:p>
      <w:pPr>
        <w:pStyle w:val="ListParagraph"/>
        <w:numPr>
          <w:ilvl w:val="0"/>
          <w:numId w:val="2"/>
        </w:numPr>
        <w:spacing w:after="40" w:before="40"/>
      </w:pPr>
      <w:r>
        <w:rPr>
          <w:rFonts w:ascii="Arial" w:cs="Arial" w:eastAsia="Arial" w:hAnsi="Arial"/>
          <w:b w:val="false"/>
          <w:bCs w:val="false"/>
          <w:color w:val="222222"/>
          <w:sz w:val="22"/>
          <w:szCs w:val="22"/>
        </w:rPr>
        <w:t xml:space="preserve">Violet (#A855F7) can be used instead of Magenta for variety — same position, same rules.</w:t>
      </w:r>
    </w:p>
    <w:p>
      <w:pPr>
        <w:pStyle w:val="ListParagraph"/>
        <w:numPr>
          <w:ilvl w:val="0"/>
          <w:numId w:val="2"/>
        </w:numPr>
        <w:spacing w:after="40" w:before="40"/>
      </w:pPr>
      <w:r>
        <w:rPr>
          <w:rFonts w:ascii="Arial" w:cs="Arial" w:eastAsia="Arial" w:hAnsi="Arial"/>
          <w:b w:val="false"/>
          <w:bCs w:val="false"/>
          <w:color w:val="222222"/>
          <w:sz w:val="22"/>
          <w:szCs w:val="22"/>
        </w:rPr>
        <w:t xml:space="preserve">No yellow, no red, no orange — these belong to other creators. Ours is magenta/violet.</w:t>
      </w:r>
    </w:p>
    <w:p>
      <w:pPr>
        <w:spacing w:after="160" w:before="0"/>
      </w:pPr>
      <w:r>
        <w:t xml:space="preserve"/>
      </w:r>
    </w:p>
    <w:p>
      <w:pPr>
        <w:pBdr>
          <w:bottom w:val="single" w:color="d946ef" w:sz="4" w:space="1"/>
        </w:pBdr>
        <w:spacing w:after="120" w:before="120"/>
      </w:pPr>
      <w:r>
        <w:t xml:space="preserve"/>
      </w:r>
    </w:p>
    <w:p>
      <w:pPr>
        <w:pStyle w:val="Heading1"/>
        <w:spacing w:after="120" w:before="400"/>
      </w:pPr>
      <w:r>
        <w:rPr>
          <w:rFonts w:ascii="Arial" w:cs="Arial" w:eastAsia="Arial" w:hAnsi="Arial"/>
          <w:b/>
          <w:bCs/>
          <w:color w:val="080010"/>
          <w:sz w:val="32"/>
          <w:szCs w:val="32"/>
        </w:rPr>
        <w:t xml:space="preserve">6. Background Style</w:t>
      </w:r>
    </w:p>
    <w:p>
      <w:pPr>
        <w:spacing w:after="60" w:before="60"/>
      </w:pPr>
      <w:r>
        <w:rPr>
          <w:rFonts w:ascii="Arial" w:cs="Arial" w:eastAsia="Arial" w:hAnsi="Arial"/>
          <w:sz w:val="22"/>
          <w:szCs w:val="22"/>
        </w:rPr>
        <w:t xml:space="preserve">The background sets the mood. It should feel like the website — dark, cosmic, a sense of depth. Not a flat black rectangle. Not a bright illustrated scene.</w:t>
      </w:r>
    </w:p>
    <w:p>
      <w:pPr>
        <w:spacing w:after="80" w:before="0"/>
      </w:pPr>
      <w:r>
        <w:t xml:space="preserve"/>
      </w:r>
    </w:p>
    <w:p>
      <w:pPr>
        <w:pStyle w:val="Heading2"/>
        <w:spacing w:after="80" w:before="280"/>
      </w:pPr>
      <w:r>
        <w:rPr>
          <w:rFonts w:ascii="Arial" w:cs="Arial" w:eastAsia="Arial" w:hAnsi="Arial"/>
          <w:b/>
          <w:bCs/>
          <w:color w:val="333333"/>
          <w:sz w:val="26"/>
          <w:szCs w:val="26"/>
        </w:rPr>
        <w:t xml:space="preserve">Primary Style — Bokeh / Particle Texture</w:t>
      </w:r>
    </w:p>
    <w:p>
      <w:pPr>
        <w:pStyle w:val="ListParagraph"/>
        <w:numPr>
          <w:ilvl w:val="0"/>
          <w:numId w:val="2"/>
        </w:numPr>
        <w:spacing w:after="40" w:before="40"/>
      </w:pPr>
      <w:r>
        <w:rPr>
          <w:rFonts w:ascii="Arial" w:cs="Arial" w:eastAsia="Arial" w:hAnsi="Arial"/>
          <w:b w:val="false"/>
          <w:bCs w:val="false"/>
          <w:color w:val="222222"/>
          <w:sz w:val="22"/>
          <w:szCs w:val="22"/>
        </w:rPr>
        <w:t xml:space="preserve">Deep purple/black base (#080010 or #1a0535)</w:t>
      </w:r>
    </w:p>
    <w:p>
      <w:pPr>
        <w:pStyle w:val="ListParagraph"/>
        <w:numPr>
          <w:ilvl w:val="0"/>
          <w:numId w:val="2"/>
        </w:numPr>
        <w:spacing w:after="40" w:before="40"/>
      </w:pPr>
      <w:r>
        <w:rPr>
          <w:rFonts w:ascii="Arial" w:cs="Arial" w:eastAsia="Arial" w:hAnsi="Arial"/>
          <w:b w:val="false"/>
          <w:bCs w:val="false"/>
          <w:color w:val="222222"/>
          <w:sz w:val="22"/>
          <w:szCs w:val="22"/>
        </w:rPr>
        <w:t xml:space="preserve">Soft glowing orbs or particle overlay — blurred, subtle, not distracting</w:t>
      </w:r>
    </w:p>
    <w:p>
      <w:pPr>
        <w:pStyle w:val="ListParagraph"/>
        <w:numPr>
          <w:ilvl w:val="0"/>
          <w:numId w:val="2"/>
        </w:numPr>
        <w:spacing w:after="40" w:before="40"/>
      </w:pPr>
      <w:r>
        <w:rPr>
          <w:rFonts w:ascii="Arial" w:cs="Arial" w:eastAsia="Arial" w:hAnsi="Arial"/>
          <w:b w:val="false"/>
          <w:bCs w:val="false"/>
          <w:color w:val="222222"/>
          <w:sz w:val="22"/>
          <w:szCs w:val="22"/>
        </w:rPr>
        <w:t xml:space="preserve">Slight purple/magenta colour grading throughout</w:t>
      </w:r>
    </w:p>
    <w:p>
      <w:pPr>
        <w:pStyle w:val="ListParagraph"/>
        <w:numPr>
          <w:ilvl w:val="0"/>
          <w:numId w:val="2"/>
        </w:numPr>
        <w:spacing w:after="40" w:before="40"/>
      </w:pPr>
      <w:r>
        <w:rPr>
          <w:rFonts w:ascii="Arial" w:cs="Arial" w:eastAsia="Arial" w:hAnsi="Arial"/>
          <w:b w:val="false"/>
          <w:bCs w:val="false"/>
          <w:color w:val="222222"/>
          <w:sz w:val="22"/>
          <w:szCs w:val="22"/>
        </w:rPr>
        <w:t xml:space="preserve">This is the closest equivalent to Chris's bokeh background and maps directly to the website aesthetic</w:t>
      </w:r>
    </w:p>
    <w:p>
      <w:pPr>
        <w:pStyle w:val="ListParagraph"/>
        <w:numPr>
          <w:ilvl w:val="0"/>
          <w:numId w:val="2"/>
        </w:numPr>
        <w:spacing w:after="40" w:before="40"/>
      </w:pPr>
      <w:r>
        <w:rPr>
          <w:rFonts w:ascii="Arial" w:cs="Arial" w:eastAsia="Arial" w:hAnsi="Arial"/>
          <w:b w:val="false"/>
          <w:bCs w:val="false"/>
          <w:color w:val="222222"/>
          <w:sz w:val="22"/>
          <w:szCs w:val="22"/>
        </w:rPr>
        <w:t xml:space="preserve">In Canva: search for 'bokeh dark purple' or 'dark particle background' — save the best one as a brand asset for reuse</w:t>
      </w:r>
    </w:p>
    <w:p>
      <w:pPr>
        <w:spacing w:after="80" w:before="0"/>
      </w:pPr>
      <w:r>
        <w:t xml:space="preserve"/>
      </w:r>
    </w:p>
    <w:p>
      <w:pPr>
        <w:pStyle w:val="Heading2"/>
        <w:spacing w:after="80" w:before="280"/>
      </w:pPr>
      <w:r>
        <w:rPr>
          <w:rFonts w:ascii="Arial" w:cs="Arial" w:eastAsia="Arial" w:hAnsi="Arial"/>
          <w:b/>
          <w:bCs/>
          <w:color w:val="333333"/>
          <w:sz w:val="26"/>
          <w:szCs w:val="26"/>
        </w:rPr>
        <w:t xml:space="preserve">Alternative — Subtle Nebula / Cosmic</w:t>
      </w:r>
    </w:p>
    <w:p>
      <w:pPr>
        <w:pStyle w:val="ListParagraph"/>
        <w:numPr>
          <w:ilvl w:val="0"/>
          <w:numId w:val="2"/>
        </w:numPr>
        <w:spacing w:after="40" w:before="40"/>
      </w:pPr>
      <w:r>
        <w:rPr>
          <w:rFonts w:ascii="Arial" w:cs="Arial" w:eastAsia="Arial" w:hAnsi="Arial"/>
          <w:b w:val="false"/>
          <w:bCs w:val="false"/>
          <w:color w:val="222222"/>
          <w:sz w:val="22"/>
          <w:szCs w:val="22"/>
        </w:rPr>
        <w:t xml:space="preserve">Deep space or nebula stock image with a dark purple/magenta colour grade applied</w:t>
      </w:r>
    </w:p>
    <w:p>
      <w:pPr>
        <w:pStyle w:val="ListParagraph"/>
        <w:numPr>
          <w:ilvl w:val="0"/>
          <w:numId w:val="2"/>
        </w:numPr>
        <w:spacing w:after="40" w:before="40"/>
      </w:pPr>
      <w:r>
        <w:rPr>
          <w:rFonts w:ascii="Arial" w:cs="Arial" w:eastAsia="Arial" w:hAnsi="Arial"/>
          <w:b w:val="false"/>
          <w:bCs w:val="false"/>
          <w:color w:val="222222"/>
          <w:sz w:val="22"/>
          <w:szCs w:val="22"/>
        </w:rPr>
        <w:t xml:space="preserve">Works especially well for content about consciousness, reality creation, the subconscious</w:t>
      </w:r>
    </w:p>
    <w:p>
      <w:pPr>
        <w:pStyle w:val="ListParagraph"/>
        <w:numPr>
          <w:ilvl w:val="0"/>
          <w:numId w:val="2"/>
        </w:numPr>
        <w:spacing w:after="40" w:before="40"/>
      </w:pPr>
      <w:r>
        <w:rPr>
          <w:rFonts w:ascii="Arial" w:cs="Arial" w:eastAsia="Arial" w:hAnsi="Arial"/>
          <w:b w:val="false"/>
          <w:bCs w:val="false"/>
          <w:color w:val="222222"/>
          <w:sz w:val="22"/>
          <w:szCs w:val="22"/>
        </w:rPr>
        <w:t xml:space="preserve">Use a consistent stock image or two — consistency matters more than variety in the background</w:t>
      </w:r>
    </w:p>
    <w:p>
      <w:pPr>
        <w:spacing w:after="80" w:before="0"/>
      </w:pPr>
      <w:r>
        <w:t xml:space="preserve"/>
      </w:r>
    </w:p>
    <w:p>
      <w:pPr>
        <w:pStyle w:val="Heading2"/>
        <w:spacing w:after="80" w:before="280"/>
      </w:pPr>
      <w:r>
        <w:rPr>
          <w:rFonts w:ascii="Arial" w:cs="Arial" w:eastAsia="Arial" w:hAnsi="Arial"/>
          <w:b/>
          <w:bCs/>
          <w:color w:val="333333"/>
          <w:sz w:val="26"/>
          <w:szCs w:val="26"/>
        </w:rPr>
        <w:t xml:space="preserve">What to Avoid</w:t>
      </w:r>
    </w:p>
    <w:p>
      <w:pPr>
        <w:pStyle w:val="ListParagraph"/>
        <w:numPr>
          <w:ilvl w:val="0"/>
          <w:numId w:val="2"/>
        </w:numPr>
        <w:spacing w:after="40" w:before="40"/>
      </w:pPr>
      <w:r>
        <w:rPr>
          <w:rFonts w:ascii="Arial" w:cs="Arial" w:eastAsia="Arial" w:hAnsi="Arial"/>
          <w:b w:val="false"/>
          <w:bCs w:val="false"/>
          <w:color w:val="222222"/>
          <w:sz w:val="22"/>
          <w:szCs w:val="22"/>
        </w:rPr>
        <w:t xml:space="preserve">Flat solid black — too flat, no depth</w:t>
      </w:r>
    </w:p>
    <w:p>
      <w:pPr>
        <w:pStyle w:val="ListParagraph"/>
        <w:numPr>
          <w:ilvl w:val="0"/>
          <w:numId w:val="2"/>
        </w:numPr>
        <w:spacing w:after="40" w:before="40"/>
      </w:pPr>
      <w:r>
        <w:rPr>
          <w:rFonts w:ascii="Arial" w:cs="Arial" w:eastAsia="Arial" w:hAnsi="Arial"/>
          <w:b w:val="false"/>
          <w:bCs w:val="false"/>
          <w:color w:val="222222"/>
          <w:sz w:val="22"/>
          <w:szCs w:val="22"/>
        </w:rPr>
        <w:t xml:space="preserve">Bright backgrounds — kills the dark moody brand look</w:t>
      </w:r>
    </w:p>
    <w:p>
      <w:pPr>
        <w:pStyle w:val="ListParagraph"/>
        <w:numPr>
          <w:ilvl w:val="0"/>
          <w:numId w:val="2"/>
        </w:numPr>
        <w:spacing w:after="40" w:before="40"/>
      </w:pPr>
      <w:r>
        <w:rPr>
          <w:rFonts w:ascii="Arial" w:cs="Arial" w:eastAsia="Arial" w:hAnsi="Arial"/>
          <w:b w:val="false"/>
          <w:bCs w:val="false"/>
          <w:color w:val="222222"/>
          <w:sz w:val="22"/>
          <w:szCs w:val="22"/>
        </w:rPr>
        <w:t xml:space="preserve">Illustrated/cartoon elements — too graphic-heavy for Olly's style</w:t>
      </w:r>
    </w:p>
    <w:p>
      <w:pPr>
        <w:pStyle w:val="ListParagraph"/>
        <w:numPr>
          <w:ilvl w:val="0"/>
          <w:numId w:val="2"/>
        </w:numPr>
        <w:spacing w:after="40" w:before="40"/>
      </w:pPr>
      <w:r>
        <w:rPr>
          <w:rFonts w:ascii="Arial" w:cs="Arial" w:eastAsia="Arial" w:hAnsi="Arial"/>
          <w:b w:val="false"/>
          <w:bCs w:val="false"/>
          <w:color w:val="222222"/>
          <w:sz w:val="22"/>
          <w:szCs w:val="22"/>
        </w:rPr>
        <w:t xml:space="preserve">Highly detailed busy backgrounds — they compete with the face and text</w:t>
      </w:r>
    </w:p>
    <w:p>
      <w:pPr>
        <w:spacing w:after="160" w:before="0"/>
      </w:pPr>
      <w:r>
        <w:t xml:space="preserve"/>
      </w:r>
    </w:p>
    <w:p>
      <w:pPr>
        <w:pBdr>
          <w:bottom w:val="single" w:color="d946ef" w:sz="4" w:space="1"/>
        </w:pBdr>
        <w:spacing w:after="120" w:before="120"/>
      </w:pPr>
      <w:r>
        <w:t xml:space="preserve"/>
      </w:r>
    </w:p>
    <w:p>
      <w:pPr>
        <w:pageBreakBefore/>
      </w:pPr>
      <w:r>
        <w:t xml:space="preserve"/>
      </w:r>
    </w:p>
    <w:p>
      <w:pPr>
        <w:pStyle w:val="Heading1"/>
        <w:spacing w:after="120" w:before="400"/>
      </w:pPr>
      <w:r>
        <w:rPr>
          <w:rFonts w:ascii="Arial" w:cs="Arial" w:eastAsia="Arial" w:hAnsi="Arial"/>
          <w:b/>
          <w:bCs/>
          <w:color w:val="080010"/>
          <w:sz w:val="32"/>
          <w:szCs w:val="32"/>
        </w:rPr>
        <w:t xml:space="preserve">7. Face Photo Guidelines</w:t>
      </w:r>
    </w:p>
    <w:p>
      <w:pPr>
        <w:spacing w:after="60" w:before="60"/>
      </w:pPr>
      <w:r>
        <w:rPr>
          <w:rFonts w:ascii="Arial" w:cs="Arial" w:eastAsia="Arial" w:hAnsi="Arial"/>
          <w:sz w:val="22"/>
          <w:szCs w:val="22"/>
        </w:rPr>
        <w:t xml:space="preserve">The face is the most important element. It is what makes someone stop — human faces trigger involuntary attention. The face must be large, clear, and expressive.</w:t>
      </w:r>
    </w:p>
    <w:p>
      <w:pPr>
        <w:spacing w:after="80" w:before="0"/>
      </w:pPr>
      <w:r>
        <w:t xml:space="preserve"/>
      </w:r>
    </w:p>
    <w:p>
      <w:pPr>
        <w:pStyle w:val="Heading2"/>
        <w:spacing w:after="80" w:before="280"/>
      </w:pPr>
      <w:r>
        <w:rPr>
          <w:rFonts w:ascii="Arial" w:cs="Arial" w:eastAsia="Arial" w:hAnsi="Arial"/>
          <w:b/>
          <w:bCs/>
          <w:color w:val="333333"/>
          <w:sz w:val="26"/>
          <w:szCs w:val="26"/>
        </w:rPr>
        <w:t xml:space="preserve">Shot Spec</w:t>
      </w:r>
    </w:p>
    <w:p>
      <w:pPr>
        <w:pStyle w:val="ListParagraph"/>
        <w:numPr>
          <w:ilvl w:val="0"/>
          <w:numId w:val="2"/>
        </w:numPr>
        <w:spacing w:after="40" w:before="40"/>
      </w:pPr>
      <w:r>
        <w:rPr>
          <w:rFonts w:ascii="Arial" w:cs="Arial" w:eastAsia="Arial" w:hAnsi="Arial"/>
          <w:b w:val="false"/>
          <w:bCs w:val="false"/>
          <w:color w:val="222222"/>
          <w:sz w:val="22"/>
          <w:szCs w:val="22"/>
        </w:rPr>
        <w:t xml:space="preserve">Framing: chest-up (not full body, not just face)</w:t>
      </w:r>
    </w:p>
    <w:p>
      <w:pPr>
        <w:pStyle w:val="ListParagraph"/>
        <w:numPr>
          <w:ilvl w:val="0"/>
          <w:numId w:val="2"/>
        </w:numPr>
        <w:spacing w:after="40" w:before="40"/>
      </w:pPr>
      <w:r>
        <w:rPr>
          <w:rFonts w:ascii="Arial" w:cs="Arial" w:eastAsia="Arial" w:hAnsi="Arial"/>
          <w:b w:val="false"/>
          <w:bCs w:val="false"/>
          <w:color w:val="222222"/>
          <w:sz w:val="22"/>
          <w:szCs w:val="22"/>
        </w:rPr>
        <w:t xml:space="preserve">Orientation: landscape (horizontal iPhone, 16:9 crop)</w:t>
      </w:r>
    </w:p>
    <w:p>
      <w:pPr>
        <w:pStyle w:val="ListParagraph"/>
        <w:numPr>
          <w:ilvl w:val="0"/>
          <w:numId w:val="2"/>
        </w:numPr>
        <w:spacing w:after="40" w:before="40"/>
      </w:pPr>
      <w:r>
        <w:rPr>
          <w:rFonts w:ascii="Arial" w:cs="Arial" w:eastAsia="Arial" w:hAnsi="Arial"/>
          <w:b w:val="false"/>
          <w:bCs w:val="false"/>
          <w:color w:val="222222"/>
          <w:sz w:val="22"/>
          <w:szCs w:val="22"/>
        </w:rPr>
        <w:t xml:space="preserve">Background when shooting: dark room, key light setup per filming setup doc</w:t>
      </w:r>
    </w:p>
    <w:p>
      <w:pPr>
        <w:pStyle w:val="ListParagraph"/>
        <w:numPr>
          <w:ilvl w:val="0"/>
          <w:numId w:val="2"/>
        </w:numPr>
        <w:spacing w:after="40" w:before="40"/>
      </w:pPr>
      <w:r>
        <w:rPr>
          <w:rFonts w:ascii="Arial" w:cs="Arial" w:eastAsia="Arial" w:hAnsi="Arial"/>
          <w:b w:val="false"/>
          <w:bCs w:val="false"/>
          <w:color w:val="222222"/>
          <w:sz w:val="22"/>
          <w:szCs w:val="22"/>
        </w:rPr>
        <w:t xml:space="preserve">The dark background from filming makes background removal in Canva straightforward</w:t>
      </w:r>
    </w:p>
    <w:p>
      <w:pPr>
        <w:spacing w:after="80" w:before="0"/>
      </w:pPr>
      <w:r>
        <w:t xml:space="preserve"/>
      </w:r>
    </w:p>
    <w:p>
      <w:pPr>
        <w:pStyle w:val="Heading2"/>
        <w:spacing w:after="80" w:before="280"/>
      </w:pPr>
      <w:r>
        <w:rPr>
          <w:rFonts w:ascii="Arial" w:cs="Arial" w:eastAsia="Arial" w:hAnsi="Arial"/>
          <w:b/>
          <w:bCs/>
          <w:color w:val="333333"/>
          <w:sz w:val="26"/>
          <w:szCs w:val="26"/>
        </w:rPr>
        <w:t xml:space="preserve">Expression by Template Variation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80010" w:val="clear"/>
            <w:tcMar>
              <w:top w:type="dxa" w:w="80"/>
              <w:left w:type="dxa" w:w="150"/>
              <w:bottom w:type="dxa" w:w="80"/>
              <w:right w:type="dxa" w:w="150"/>
            </w:tcMar>
          </w:tcPr>
          <w:p>
            <w:r>
              <w:rPr>
                <w:rFonts w:ascii="Arial" w:cs="Arial" w:eastAsia="Arial" w:hAnsi="Arial"/>
                <w:b/>
                <w:bCs/>
                <w:color w:val="FFFFFF"/>
                <w:sz w:val="20"/>
                <w:szCs w:val="20"/>
              </w:rPr>
              <w:t xml:space="preserve">Shot Type</w:t>
            </w:r>
          </w:p>
        </w:tc>
        <w:tc>
          <w:tcPr>
            <w:tcW w:type="dxa" w:w="6240"/>
            <w:tcBorders>
              <w:top w:val="single" w:color="cccccc" w:sz="1"/>
              <w:left w:val="single" w:color="cccccc" w:sz="1"/>
              <w:bottom w:val="single" w:color="cccccc" w:sz="1"/>
              <w:right w:val="single" w:color="cccccc" w:sz="1"/>
            </w:tcBorders>
            <w:shd w:fill="080010" w:val="clear"/>
            <w:tcMar>
              <w:top w:type="dxa" w:w="80"/>
              <w:left w:type="dxa" w:w="150"/>
              <w:bottom w:type="dxa" w:w="80"/>
              <w:right w:type="dxa" w:w="150"/>
            </w:tcMar>
          </w:tcPr>
          <w:p>
            <w:r>
              <w:rPr>
                <w:rFonts w:ascii="Arial" w:cs="Arial" w:eastAsia="Arial" w:hAnsi="Arial"/>
                <w:b/>
                <w:bCs/>
                <w:color w:val="FFFFFF"/>
                <w:sz w:val="20"/>
                <w:szCs w:val="20"/>
              </w:rPr>
              <w:t xml:space="preserve">Best Template / Content Use</w:t>
            </w:r>
          </w:p>
        </w:tc>
      </w:tr>
      <w:tr>
        <w:tc>
          <w:tcPr>
            <w:tcW w:type="dxa" w:w="312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222222"/>
                <w:sz w:val="20"/>
                <w:szCs w:val="20"/>
              </w:rPr>
              <w:t xml:space="preserve">The Direct (serious, locked in)</w:t>
            </w:r>
          </w:p>
        </w:tc>
        <w:tc>
          <w:tcPr>
            <w:tcW w:type="dxa" w:w="62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222222"/>
                <w:sz w:val="20"/>
                <w:szCs w:val="20"/>
              </w:rPr>
              <w:t xml:space="preserve">Variation A — argument/truth content</w:t>
            </w:r>
          </w:p>
        </w:tc>
      </w:tr>
      <w:tr>
        <w:tc>
          <w:tcPr>
            <w:tcW w:type="dxa" w:w="312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222222"/>
                <w:sz w:val="20"/>
                <w:szCs w:val="20"/>
              </w:rPr>
              <w:t xml:space="preserve">The Knowing Smile (warm, confident)</w:t>
            </w:r>
          </w:p>
        </w:tc>
        <w:tc>
          <w:tcPr>
            <w:tcW w:type="dxa" w:w="62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222222"/>
                <w:sz w:val="20"/>
                <w:szCs w:val="20"/>
              </w:rPr>
              <w:t xml:space="preserve">Variation A or B — aspirational content</w:t>
            </w:r>
          </w:p>
        </w:tc>
      </w:tr>
      <w:tr>
        <w:tc>
          <w:tcPr>
            <w:tcW w:type="dxa" w:w="312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222222"/>
                <w:sz w:val="20"/>
                <w:szCs w:val="20"/>
              </w:rPr>
              <w:t xml:space="preserve">The Lean In (conspiratorial)</w:t>
            </w:r>
          </w:p>
        </w:tc>
        <w:tc>
          <w:tcPr>
            <w:tcW w:type="dxa" w:w="62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222222"/>
                <w:sz w:val="20"/>
                <w:szCs w:val="20"/>
              </w:rPr>
              <w:t xml:space="preserve">Variation A — secret/insider content</w:t>
            </w:r>
          </w:p>
        </w:tc>
      </w:tr>
      <w:tr>
        <w:tc>
          <w:tcPr>
            <w:tcW w:type="dxa" w:w="312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222222"/>
                <w:sz w:val="20"/>
                <w:szCs w:val="20"/>
              </w:rPr>
              <w:t xml:space="preserve">The Revelation (wide eyes)</w:t>
            </w:r>
          </w:p>
        </w:tc>
        <w:tc>
          <w:tcPr>
            <w:tcW w:type="dxa" w:w="62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222222"/>
                <w:sz w:val="20"/>
                <w:szCs w:val="20"/>
              </w:rPr>
              <w:t xml:space="preserve">Variation A or C — breakthrough content</w:t>
            </w:r>
          </w:p>
        </w:tc>
      </w:tr>
      <w:tr>
        <w:tc>
          <w:tcPr>
            <w:tcW w:type="dxa" w:w="312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222222"/>
                <w:sz w:val="20"/>
                <w:szCs w:val="20"/>
              </w:rPr>
              <w:t xml:space="preserve">The Disbelief (raised eyebrow)</w:t>
            </w:r>
          </w:p>
        </w:tc>
        <w:tc>
          <w:tcPr>
            <w:tcW w:type="dxa" w:w="62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222222"/>
                <w:sz w:val="20"/>
                <w:szCs w:val="20"/>
              </w:rPr>
              <w:t xml:space="preserve">Variation A or C — challenging beliefs</w:t>
            </w:r>
          </w:p>
        </w:tc>
      </w:tr>
      <w:tr>
        <w:tc>
          <w:tcPr>
            <w:tcW w:type="dxa" w:w="312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222222"/>
                <w:sz w:val="20"/>
                <w:szCs w:val="20"/>
              </w:rPr>
              <w:t xml:space="preserve">The Open Hands (honest)</w:t>
            </w:r>
          </w:p>
        </w:tc>
        <w:tc>
          <w:tcPr>
            <w:tcW w:type="dxa" w:w="62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222222"/>
                <w:sz w:val="20"/>
                <w:szCs w:val="20"/>
              </w:rPr>
              <w:t xml:space="preserve">Variation B or D — personal story content</w:t>
            </w:r>
          </w:p>
        </w:tc>
      </w:tr>
    </w:tbl>
    <w:p>
      <w:pPr>
        <w:spacing w:after="80" w:before="0"/>
      </w:pPr>
      <w:r>
        <w:t xml:space="preserve"/>
      </w:r>
    </w:p>
    <w:p>
      <w:pPr>
        <w:pStyle w:val="Heading2"/>
        <w:spacing w:after="80" w:before="280"/>
      </w:pPr>
      <w:r>
        <w:rPr>
          <w:rFonts w:ascii="Arial" w:cs="Arial" w:eastAsia="Arial" w:hAnsi="Arial"/>
          <w:b/>
          <w:bCs/>
          <w:color w:val="333333"/>
          <w:sz w:val="26"/>
          <w:szCs w:val="26"/>
        </w:rPr>
        <w:t xml:space="preserve">Storage &amp; File Naming</w:t>
      </w:r>
    </w:p>
    <w:p>
      <w:pPr>
        <w:pStyle w:val="ListParagraph"/>
        <w:numPr>
          <w:ilvl w:val="0"/>
          <w:numId w:val="2"/>
        </w:numPr>
        <w:spacing w:after="40" w:before="40"/>
      </w:pPr>
      <w:r>
        <w:rPr>
          <w:rFonts w:ascii="Arial" w:cs="Arial" w:eastAsia="Arial" w:hAnsi="Arial"/>
          <w:b w:val="false"/>
          <w:bCs w:val="false"/>
          <w:color w:val="222222"/>
          <w:sz w:val="22"/>
          <w:szCs w:val="22"/>
        </w:rPr>
        <w:t xml:space="preserve">All photos stored in: marketing/thumbnail-photos/</w:t>
      </w:r>
    </w:p>
    <w:p>
      <w:pPr>
        <w:pStyle w:val="ListParagraph"/>
        <w:numPr>
          <w:ilvl w:val="0"/>
          <w:numId w:val="2"/>
        </w:numPr>
        <w:spacing w:after="40" w:before="40"/>
      </w:pPr>
      <w:r>
        <w:rPr>
          <w:rFonts w:ascii="Arial" w:cs="Arial" w:eastAsia="Arial" w:hAnsi="Arial"/>
          <w:b w:val="false"/>
          <w:bCs w:val="false"/>
          <w:color w:val="222222"/>
          <w:sz w:val="22"/>
          <w:szCs w:val="22"/>
        </w:rPr>
        <w:t xml:space="preserve">Naming: YYYY-MM-DD_shot-name_take-number.jpg</w:t>
      </w:r>
    </w:p>
    <w:p>
      <w:pPr>
        <w:pStyle w:val="ListParagraph"/>
        <w:numPr>
          <w:ilvl w:val="0"/>
          <w:numId w:val="2"/>
        </w:numPr>
        <w:spacing w:after="40" w:before="40"/>
      </w:pPr>
      <w:r>
        <w:rPr>
          <w:rFonts w:ascii="Arial" w:cs="Arial" w:eastAsia="Arial" w:hAnsi="Arial"/>
          <w:b w:val="false"/>
          <w:bCs w:val="false"/>
          <w:color w:val="222222"/>
          <w:sz w:val="22"/>
          <w:szCs w:val="22"/>
        </w:rPr>
        <w:t xml:space="preserve">Example: 2026-06-18_knowing-smile_02.jpg</w:t>
      </w:r>
    </w:p>
    <w:p>
      <w:pPr>
        <w:pStyle w:val="ListParagraph"/>
        <w:numPr>
          <w:ilvl w:val="0"/>
          <w:numId w:val="2"/>
        </w:numPr>
        <w:spacing w:after="40" w:before="40"/>
      </w:pPr>
      <w:r>
        <w:rPr>
          <w:rFonts w:ascii="Arial" w:cs="Arial" w:eastAsia="Arial" w:hAnsi="Arial"/>
          <w:b w:val="false"/>
          <w:bCs w:val="false"/>
          <w:color w:val="222222"/>
          <w:sz w:val="22"/>
          <w:szCs w:val="22"/>
        </w:rPr>
        <w:t xml:space="preserve">Full shot list: see youtube-thumbnail-shot-list.md</w:t>
      </w:r>
    </w:p>
    <w:p>
      <w:pPr>
        <w:spacing w:after="160" w:before="0"/>
      </w:pPr>
      <w:r>
        <w:t xml:space="preserve"/>
      </w:r>
    </w:p>
    <w:p>
      <w:pPr>
        <w:pBdr>
          <w:bottom w:val="single" w:color="d946ef" w:sz="4" w:space="1"/>
        </w:pBdr>
        <w:spacing w:after="120" w:before="120"/>
      </w:pPr>
      <w:r>
        <w:t xml:space="preserve"/>
      </w:r>
    </w:p>
    <w:p>
      <w:pPr>
        <w:pStyle w:val="Heading1"/>
        <w:spacing w:after="120" w:before="400"/>
      </w:pPr>
      <w:r>
        <w:rPr>
          <w:rFonts w:ascii="Arial" w:cs="Arial" w:eastAsia="Arial" w:hAnsi="Arial"/>
          <w:b/>
          <w:bCs/>
          <w:color w:val="080010"/>
          <w:sz w:val="32"/>
          <w:szCs w:val="32"/>
        </w:rPr>
        <w:t xml:space="preserve">8. Title to Thumbnail Pairing</w:t>
      </w:r>
    </w:p>
    <w:p>
      <w:pPr>
        <w:spacing w:after="60" w:before="60"/>
      </w:pPr>
      <w:r>
        <w:rPr>
          <w:rFonts w:ascii="Arial" w:cs="Arial" w:eastAsia="Arial" w:hAnsi="Arial"/>
          <w:sz w:val="22"/>
          <w:szCs w:val="22"/>
        </w:rPr>
        <w:t xml:space="preserve">The thumbnail text is NOT the video title. It is a compressed, emotional version of the title — the feeling, not the explanation. The title and thumbnail work together: one gives the hook, the other gives the context.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2080"/>
            <w:tcBorders>
              <w:top w:val="single" w:color="cccccc" w:sz="1"/>
              <w:left w:val="single" w:color="cccccc" w:sz="1"/>
              <w:bottom w:val="single" w:color="cccccc" w:sz="1"/>
              <w:right w:val="single" w:color="cccccc" w:sz="1"/>
            </w:tcBorders>
            <w:shd w:fill="080010" w:val="clear"/>
            <w:tcMar>
              <w:top w:type="dxa" w:w="80"/>
              <w:left w:type="dxa" w:w="150"/>
              <w:bottom w:type="dxa" w:w="80"/>
              <w:right w:type="dxa" w:w="150"/>
            </w:tcMar>
          </w:tcPr>
          <w:p>
            <w:r>
              <w:rPr>
                <w:rFonts w:ascii="Arial" w:cs="Arial" w:eastAsia="Arial" w:hAnsi="Arial"/>
                <w:b/>
                <w:bCs/>
                <w:color w:val="FFFFFF"/>
                <w:sz w:val="20"/>
                <w:szCs w:val="20"/>
              </w:rPr>
              <w:t xml:space="preserve">Video Title</w:t>
            </w:r>
          </w:p>
        </w:tc>
        <w:tc>
          <w:tcPr>
            <w:tcW w:type="dxa" w:w="3640"/>
            <w:tcBorders>
              <w:top w:val="single" w:color="cccccc" w:sz="1"/>
              <w:left w:val="single" w:color="cccccc" w:sz="1"/>
              <w:bottom w:val="single" w:color="cccccc" w:sz="1"/>
              <w:right w:val="single" w:color="cccccc" w:sz="1"/>
            </w:tcBorders>
            <w:shd w:fill="080010" w:val="clear"/>
            <w:tcMar>
              <w:top w:type="dxa" w:w="80"/>
              <w:left w:type="dxa" w:w="150"/>
              <w:bottom w:type="dxa" w:w="80"/>
              <w:right w:type="dxa" w:w="150"/>
            </w:tcMar>
          </w:tcPr>
          <w:p>
            <w:r>
              <w:rPr>
                <w:rFonts w:ascii="Arial" w:cs="Arial" w:eastAsia="Arial" w:hAnsi="Arial"/>
                <w:b/>
                <w:bCs/>
                <w:color w:val="FFFFFF"/>
                <w:sz w:val="20"/>
                <w:szCs w:val="20"/>
              </w:rPr>
              <w:t xml:space="preserve">Thumbnail Line 1 (white)</w:t>
            </w:r>
          </w:p>
        </w:tc>
        <w:tc>
          <w:tcPr>
            <w:tcW w:type="dxa" w:w="3640"/>
            <w:tcBorders>
              <w:top w:val="single" w:color="cccccc" w:sz="1"/>
              <w:left w:val="single" w:color="cccccc" w:sz="1"/>
              <w:bottom w:val="single" w:color="cccccc" w:sz="1"/>
              <w:right w:val="single" w:color="cccccc" w:sz="1"/>
            </w:tcBorders>
            <w:shd w:fill="080010" w:val="clear"/>
            <w:tcMar>
              <w:top w:type="dxa" w:w="80"/>
              <w:left w:type="dxa" w:w="150"/>
              <w:bottom w:type="dxa" w:w="80"/>
              <w:right w:type="dxa" w:w="150"/>
            </w:tcMar>
          </w:tcPr>
          <w:p>
            <w:r>
              <w:rPr>
                <w:rFonts w:ascii="Arial" w:cs="Arial" w:eastAsia="Arial" w:hAnsi="Arial"/>
                <w:b/>
                <w:bCs/>
                <w:color w:val="FFFFFF"/>
                <w:sz w:val="20"/>
                <w:szCs w:val="20"/>
              </w:rPr>
              <w:t xml:space="preserve">Thumbnail Line 2 (magenta italic)</w:t>
            </w:r>
          </w:p>
        </w:tc>
      </w:tr>
      <w:tr>
        <w:tc>
          <w:tcPr>
            <w:tcW w:type="dxa" w:w="208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222222"/>
                <w:sz w:val="20"/>
                <w:szCs w:val="20"/>
              </w:rPr>
              <w:t xml:space="preserve">Why your manifestation isn't working</w:t>
            </w:r>
          </w:p>
        </w:tc>
        <w:tc>
          <w:tcPr>
            <w:tcW w:type="dxa" w:w="36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222222"/>
                <w:sz w:val="20"/>
                <w:szCs w:val="20"/>
              </w:rPr>
              <w:t xml:space="preserve">WHY IT'S NOT</w:t>
            </w:r>
          </w:p>
        </w:tc>
        <w:tc>
          <w:tcPr>
            <w:tcW w:type="dxa" w:w="36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222222"/>
                <w:sz w:val="20"/>
                <w:szCs w:val="20"/>
              </w:rPr>
              <w:t xml:space="preserve">Working</w:t>
            </w:r>
          </w:p>
        </w:tc>
      </w:tr>
      <w:tr>
        <w:tc>
          <w:tcPr>
            <w:tcW w:type="dxa" w:w="208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222222"/>
                <w:sz w:val="20"/>
                <w:szCs w:val="20"/>
              </w:rPr>
              <w:t xml:space="preserve">How to get out of your head and into your heart</w:t>
            </w:r>
          </w:p>
        </w:tc>
        <w:tc>
          <w:tcPr>
            <w:tcW w:type="dxa" w:w="36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222222"/>
                <w:sz w:val="20"/>
                <w:szCs w:val="20"/>
              </w:rPr>
              <w:t xml:space="preserve">OUT OF YOUR</w:t>
            </w:r>
          </w:p>
        </w:tc>
        <w:tc>
          <w:tcPr>
            <w:tcW w:type="dxa" w:w="36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222222"/>
                <w:sz w:val="20"/>
                <w:szCs w:val="20"/>
              </w:rPr>
              <w:t xml:space="preserve">Head</w:t>
            </w:r>
          </w:p>
        </w:tc>
      </w:tr>
      <w:tr>
        <w:tc>
          <w:tcPr>
            <w:tcW w:type="dxa" w:w="208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222222"/>
                <w:sz w:val="20"/>
                <w:szCs w:val="20"/>
              </w:rPr>
              <w:t xml:space="preserve">The truth about Heart Coherence nobody talks about</w:t>
            </w:r>
          </w:p>
        </w:tc>
        <w:tc>
          <w:tcPr>
            <w:tcW w:type="dxa" w:w="36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222222"/>
                <w:sz w:val="20"/>
                <w:szCs w:val="20"/>
              </w:rPr>
              <w:t xml:space="preserve">THE TRUTH ABOUT</w:t>
            </w:r>
          </w:p>
        </w:tc>
        <w:tc>
          <w:tcPr>
            <w:tcW w:type="dxa" w:w="36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222222"/>
                <w:sz w:val="20"/>
                <w:szCs w:val="20"/>
              </w:rPr>
              <w:t xml:space="preserve">This</w:t>
            </w:r>
          </w:p>
        </w:tc>
      </w:tr>
      <w:tr>
        <w:tc>
          <w:tcPr>
            <w:tcW w:type="dxa" w:w="208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222222"/>
                <w:sz w:val="20"/>
                <w:szCs w:val="20"/>
              </w:rPr>
              <w:t xml:space="preserve">I made $13,000 in one month doing this</w:t>
            </w:r>
          </w:p>
        </w:tc>
        <w:tc>
          <w:tcPr>
            <w:tcW w:type="dxa" w:w="36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222222"/>
                <w:sz w:val="20"/>
                <w:szCs w:val="20"/>
              </w:rPr>
              <w:t xml:space="preserve">HOW I MADE</w:t>
            </w:r>
          </w:p>
        </w:tc>
        <w:tc>
          <w:tcPr>
            <w:tcW w:type="dxa" w:w="36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222222"/>
                <w:sz w:val="20"/>
                <w:szCs w:val="20"/>
              </w:rPr>
              <w:t xml:space="preserve">$13,000</w:t>
            </w:r>
          </w:p>
        </w:tc>
      </w:tr>
      <w:tr>
        <w:tc>
          <w:tcPr>
            <w:tcW w:type="dxa" w:w="208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222222"/>
                <w:sz w:val="20"/>
                <w:szCs w:val="20"/>
              </w:rPr>
              <w:t xml:space="preserve">Another week and nothing has changed</w:t>
            </w:r>
          </w:p>
        </w:tc>
        <w:tc>
          <w:tcPr>
            <w:tcW w:type="dxa" w:w="36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222222"/>
                <w:sz w:val="20"/>
                <w:szCs w:val="20"/>
              </w:rPr>
              <w:t xml:space="preserve">ANOTHER WEEK.</w:t>
            </w:r>
          </w:p>
        </w:tc>
        <w:tc>
          <w:tcPr>
            <w:tcW w:type="dxa" w:w="36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222222"/>
                <w:sz w:val="20"/>
                <w:szCs w:val="20"/>
              </w:rPr>
              <w:t xml:space="preserve">Nothing Changed.</w:t>
            </w:r>
          </w:p>
        </w:tc>
      </w:tr>
    </w:tbl>
    <w:p>
      <w:pPr>
        <w:spacing w:after="80" w:before="0"/>
      </w:pPr>
      <w:r>
        <w:t xml:space="preserve"/>
      </w:r>
    </w:p>
    <w:p>
      <w:pPr>
        <w:pStyle w:val="Heading2"/>
        <w:spacing w:after="80" w:before="280"/>
      </w:pPr>
      <w:r>
        <w:rPr>
          <w:rFonts w:ascii="Arial" w:cs="Arial" w:eastAsia="Arial" w:hAnsi="Arial"/>
          <w:b/>
          <w:bCs/>
          <w:color w:val="333333"/>
          <w:sz w:val="26"/>
          <w:szCs w:val="26"/>
        </w:rPr>
        <w:t xml:space="preserve">The Rule</w:t>
      </w:r>
    </w:p>
    <w:p>
      <w:pPr>
        <w:pStyle w:val="ListParagraph"/>
        <w:numPr>
          <w:ilvl w:val="0"/>
          <w:numId w:val="2"/>
        </w:numPr>
        <w:spacing w:after="40" w:before="40"/>
      </w:pPr>
      <w:r>
        <w:rPr>
          <w:rFonts w:ascii="Arial" w:cs="Arial" w:eastAsia="Arial" w:hAnsi="Arial"/>
          <w:b w:val="false"/>
          <w:bCs w:val="false"/>
          <w:color w:val="222222"/>
          <w:sz w:val="22"/>
          <w:szCs w:val="22"/>
        </w:rPr>
        <w:t xml:space="preserve">White line: the topic or question — all caps or sentence case, 2-4 words</w:t>
      </w:r>
    </w:p>
    <w:p>
      <w:pPr>
        <w:pStyle w:val="ListParagraph"/>
        <w:numPr>
          <w:ilvl w:val="0"/>
          <w:numId w:val="2"/>
        </w:numPr>
        <w:spacing w:after="40" w:before="40"/>
      </w:pPr>
      <w:r>
        <w:rPr>
          <w:rFonts w:ascii="Arial" w:cs="Arial" w:eastAsia="Arial" w:hAnsi="Arial"/>
          <w:b w:val="false"/>
          <w:bCs w:val="false"/>
          <w:color w:val="222222"/>
          <w:sz w:val="22"/>
          <w:szCs w:val="22"/>
        </w:rPr>
        <w:t xml:space="preserve">Magenta italic line: the hook, the result, or the emotional word — 1-3 words</w:t>
      </w:r>
    </w:p>
    <w:p>
      <w:pPr>
        <w:pStyle w:val="ListParagraph"/>
        <w:numPr>
          <w:ilvl w:val="0"/>
          <w:numId w:val="2"/>
        </w:numPr>
        <w:spacing w:after="40" w:before="40"/>
      </w:pPr>
      <w:r>
        <w:rPr>
          <w:rFonts w:ascii="Arial" w:cs="Arial" w:eastAsia="Arial" w:hAnsi="Arial"/>
          <w:b w:val="false"/>
          <w:bCs w:val="false"/>
          <w:color w:val="222222"/>
          <w:sz w:val="22"/>
          <w:szCs w:val="22"/>
        </w:rPr>
        <w:t xml:space="preserve">If you can't compress it to 4 words total, reframe — simpler is always better at thumbnail scale</w:t>
      </w:r>
    </w:p>
    <w:p>
      <w:pPr>
        <w:spacing w:after="160" w:before="0"/>
      </w:pPr>
      <w:r>
        <w:t xml:space="preserve"/>
      </w:r>
    </w:p>
    <w:p>
      <w:pPr>
        <w:pBdr>
          <w:bottom w:val="single" w:color="d946ef" w:sz="4" w:space="1"/>
        </w:pBdr>
        <w:spacing w:after="120" w:before="120"/>
      </w:pPr>
      <w:r>
        <w:t xml:space="preserve"/>
      </w:r>
    </w:p>
    <w:p>
      <w:pPr>
        <w:pStyle w:val="Heading1"/>
        <w:spacing w:after="120" w:before="400"/>
      </w:pPr>
      <w:r>
        <w:rPr>
          <w:rFonts w:ascii="Arial" w:cs="Arial" w:eastAsia="Arial" w:hAnsi="Arial"/>
          <w:b/>
          <w:bCs/>
          <w:color w:val="080010"/>
          <w:sz w:val="32"/>
          <w:szCs w:val="32"/>
        </w:rPr>
        <w:t xml:space="preserve">9. Production Workflow</w:t>
      </w:r>
    </w:p>
    <w:p>
      <w:pPr>
        <w:spacing w:after="60" w:before="60"/>
      </w:pPr>
      <w:r>
        <w:rPr>
          <w:rFonts w:ascii="Arial" w:cs="Arial" w:eastAsia="Arial" w:hAnsi="Arial"/>
          <w:sz w:val="22"/>
          <w:szCs w:val="22"/>
        </w:rPr>
        <w:t xml:space="preserve">Run through this every time you create a thumbnail. Consistency in process = consistent quality output.</w:t>
      </w:r>
    </w:p>
    <w:p>
      <w:pPr>
        <w:spacing w:after="80" w:before="0"/>
      </w:pPr>
      <w:r>
        <w:t xml:space="preserve"/>
      </w:r>
    </w:p>
    <w:p>
      <w:pPr>
        <w:pStyle w:val="ListParagraph"/>
        <w:numPr>
          <w:ilvl w:val="0"/>
          <w:numId w:val="3"/>
        </w:numPr>
        <w:spacing w:after="40" w:before="40"/>
      </w:pPr>
      <w:r>
        <w:rPr>
          <w:rFonts w:ascii="Arial" w:cs="Arial" w:eastAsia="Arial" w:hAnsi="Arial"/>
          <w:b w:val="false"/>
          <w:bCs w:val="false"/>
          <w:sz w:val="22"/>
          <w:szCs w:val="22"/>
        </w:rPr>
        <w:t xml:space="preserve">Write the video title and identify the core hook</w:t>
      </w:r>
    </w:p>
    <w:p>
      <w:pPr>
        <w:pStyle w:val="ListParagraph"/>
        <w:numPr>
          <w:ilvl w:val="0"/>
          <w:numId w:val="3"/>
        </w:numPr>
        <w:spacing w:after="40" w:before="40"/>
      </w:pPr>
      <w:r>
        <w:rPr>
          <w:rFonts w:ascii="Arial" w:cs="Arial" w:eastAsia="Arial" w:hAnsi="Arial"/>
          <w:b w:val="false"/>
          <w:bCs w:val="false"/>
          <w:sz w:val="22"/>
          <w:szCs w:val="22"/>
        </w:rPr>
        <w:t xml:space="preserve">Compress the hook to 2-4 words across two lines (white / magenta italic)</w:t>
      </w:r>
    </w:p>
    <w:p>
      <w:pPr>
        <w:pStyle w:val="ListParagraph"/>
        <w:numPr>
          <w:ilvl w:val="0"/>
          <w:numId w:val="3"/>
        </w:numPr>
        <w:spacing w:after="40" w:before="40"/>
      </w:pPr>
      <w:r>
        <w:rPr>
          <w:rFonts w:ascii="Arial" w:cs="Arial" w:eastAsia="Arial" w:hAnsi="Arial"/>
          <w:b w:val="false"/>
          <w:bCs w:val="false"/>
          <w:sz w:val="22"/>
          <w:szCs w:val="22"/>
        </w:rPr>
        <w:t xml:space="preserve">Choose the template variation (A, B, C, or D)</w:t>
      </w:r>
    </w:p>
    <w:p>
      <w:pPr>
        <w:pStyle w:val="ListParagraph"/>
        <w:numPr>
          <w:ilvl w:val="0"/>
          <w:numId w:val="3"/>
        </w:numPr>
        <w:spacing w:after="40" w:before="40"/>
      </w:pPr>
      <w:r>
        <w:rPr>
          <w:rFonts w:ascii="Arial" w:cs="Arial" w:eastAsia="Arial" w:hAnsi="Arial"/>
          <w:b w:val="false"/>
          <w:bCs w:val="false"/>
          <w:sz w:val="22"/>
          <w:szCs w:val="22"/>
        </w:rPr>
        <w:t xml:space="preserve">Select the matching face expression from marketing/thumbnail-photos/</w:t>
      </w:r>
    </w:p>
    <w:p>
      <w:pPr>
        <w:pStyle w:val="ListParagraph"/>
        <w:numPr>
          <w:ilvl w:val="0"/>
          <w:numId w:val="3"/>
        </w:numPr>
        <w:spacing w:after="40" w:before="40"/>
      </w:pPr>
      <w:r>
        <w:rPr>
          <w:rFonts w:ascii="Arial" w:cs="Arial" w:eastAsia="Arial" w:hAnsi="Arial"/>
          <w:b w:val="false"/>
          <w:bCs w:val="false"/>
          <w:sz w:val="22"/>
          <w:szCs w:val="22"/>
        </w:rPr>
        <w:t xml:space="preserve">Open the Canva template for that variation</w:t>
      </w:r>
    </w:p>
    <w:p>
      <w:pPr>
        <w:pStyle w:val="ListParagraph"/>
        <w:numPr>
          <w:ilvl w:val="0"/>
          <w:numId w:val="3"/>
        </w:numPr>
        <w:spacing w:after="40" w:before="40"/>
      </w:pPr>
      <w:r>
        <w:rPr>
          <w:rFonts w:ascii="Arial" w:cs="Arial" w:eastAsia="Arial" w:hAnsi="Arial"/>
          <w:b w:val="false"/>
          <w:bCs w:val="false"/>
          <w:sz w:val="22"/>
          <w:szCs w:val="22"/>
        </w:rPr>
        <w:t xml:space="preserve">Remove face background (Canva background remover or pre-removed)</w:t>
      </w:r>
    </w:p>
    <w:p>
      <w:pPr>
        <w:pStyle w:val="ListParagraph"/>
        <w:numPr>
          <w:ilvl w:val="0"/>
          <w:numId w:val="3"/>
        </w:numPr>
        <w:spacing w:after="40" w:before="40"/>
      </w:pPr>
      <w:r>
        <w:rPr>
          <w:rFonts w:ascii="Arial" w:cs="Arial" w:eastAsia="Arial" w:hAnsi="Arial"/>
          <w:b w:val="false"/>
          <w:bCs w:val="false"/>
          <w:sz w:val="22"/>
          <w:szCs w:val="22"/>
        </w:rPr>
        <w:t xml:space="preserve">Place face in correct position for the variation</w:t>
      </w:r>
    </w:p>
    <w:p>
      <w:pPr>
        <w:pStyle w:val="ListParagraph"/>
        <w:numPr>
          <w:ilvl w:val="0"/>
          <w:numId w:val="3"/>
        </w:numPr>
        <w:spacing w:after="40" w:before="40"/>
      </w:pPr>
      <w:r>
        <w:rPr>
          <w:rFonts w:ascii="Arial" w:cs="Arial" w:eastAsia="Arial" w:hAnsi="Arial"/>
          <w:b w:val="false"/>
          <w:bCs w:val="false"/>
          <w:sz w:val="22"/>
          <w:szCs w:val="22"/>
        </w:rPr>
        <w:t xml:space="preserve">Update text — Line 1 white Playfair Display Black, Line 2 magenta italic</w:t>
      </w:r>
    </w:p>
    <w:p>
      <w:pPr>
        <w:pStyle w:val="ListParagraph"/>
        <w:numPr>
          <w:ilvl w:val="0"/>
          <w:numId w:val="3"/>
        </w:numPr>
        <w:spacing w:after="40" w:before="40"/>
      </w:pPr>
      <w:r>
        <w:rPr>
          <w:rFonts w:ascii="Arial" w:cs="Arial" w:eastAsia="Arial" w:hAnsi="Arial"/>
          <w:b w:val="false"/>
          <w:bCs w:val="false"/>
          <w:sz w:val="22"/>
          <w:szCs w:val="22"/>
        </w:rPr>
        <w:t xml:space="preserve">Check: is the text readable at 25% zoom? If not, make it bigger or simpler</w:t>
      </w:r>
    </w:p>
    <w:p>
      <w:pPr>
        <w:pStyle w:val="ListParagraph"/>
        <w:numPr>
          <w:ilvl w:val="0"/>
          <w:numId w:val="3"/>
        </w:numPr>
        <w:spacing w:after="40" w:before="40"/>
      </w:pPr>
      <w:r>
        <w:rPr>
          <w:rFonts w:ascii="Arial" w:cs="Arial" w:eastAsia="Arial" w:hAnsi="Arial"/>
          <w:b w:val="false"/>
          <w:bCs w:val="false"/>
          <w:sz w:val="22"/>
          <w:szCs w:val="22"/>
        </w:rPr>
        <w:t xml:space="preserve">Export as JPG, 1280 x 720px, max 2MB</w:t>
      </w:r>
    </w:p>
    <w:p>
      <w:pPr>
        <w:pStyle w:val="ListParagraph"/>
        <w:numPr>
          <w:ilvl w:val="0"/>
          <w:numId w:val="3"/>
        </w:numPr>
        <w:spacing w:after="40" w:before="40"/>
      </w:pPr>
      <w:r>
        <w:rPr>
          <w:rFonts w:ascii="Arial" w:cs="Arial" w:eastAsia="Arial" w:hAnsi="Arial"/>
          <w:b w:val="false"/>
          <w:bCs w:val="false"/>
          <w:sz w:val="22"/>
          <w:szCs w:val="22"/>
        </w:rPr>
        <w:t xml:space="preserve">Save to: marketing/thumbnail-photos/ with naming convention YYYY-MM-DD_video-slug_thumb.jpg</w:t>
      </w:r>
    </w:p>
    <w:p>
      <w:pPr>
        <w:spacing w:after="160" w:before="0"/>
      </w:pPr>
      <w:r>
        <w:t xml:space="preserve"/>
      </w:r>
    </w:p>
    <w:p>
      <w:pPr>
        <w:pBdr>
          <w:bottom w:val="single" w:color="d946ef" w:sz="4" w:space="1"/>
        </w:pBdr>
        <w:spacing w:after="120" w:before="120"/>
      </w:pPr>
      <w:r>
        <w:t xml:space="preserve"/>
      </w:r>
    </w:p>
    <w:p>
      <w:pPr>
        <w:pStyle w:val="Heading1"/>
        <w:spacing w:after="120" w:before="400"/>
      </w:pPr>
      <w:r>
        <w:rPr>
          <w:rFonts w:ascii="Arial" w:cs="Arial" w:eastAsia="Arial" w:hAnsi="Arial"/>
          <w:b/>
          <w:bCs/>
          <w:color w:val="080010"/>
          <w:sz w:val="32"/>
          <w:szCs w:val="32"/>
        </w:rPr>
        <w:t xml:space="preserve">10. Canva Setup</w:t>
      </w:r>
    </w:p>
    <w:p>
      <w:pPr>
        <w:pStyle w:val="Heading2"/>
        <w:spacing w:after="80" w:before="280"/>
      </w:pPr>
      <w:r>
        <w:rPr>
          <w:rFonts w:ascii="Arial" w:cs="Arial" w:eastAsia="Arial" w:hAnsi="Arial"/>
          <w:b/>
          <w:bCs/>
          <w:color w:val="333333"/>
          <w:sz w:val="26"/>
          <w:szCs w:val="26"/>
        </w:rPr>
        <w:t xml:space="preserve">Brand Kit — Olly Henson Coaching</w:t>
      </w:r>
    </w:p>
    <w:p>
      <w:pPr>
        <w:pStyle w:val="ListParagraph"/>
        <w:numPr>
          <w:ilvl w:val="0"/>
          <w:numId w:val="2"/>
        </w:numPr>
        <w:spacing w:after="40" w:before="40"/>
      </w:pPr>
      <w:r>
        <w:rPr>
          <w:rFonts w:ascii="Arial" w:cs="Arial" w:eastAsia="Arial" w:hAnsi="Arial"/>
          <w:b w:val="false"/>
          <w:bCs w:val="false"/>
          <w:color w:val="222222"/>
          <w:sz w:val="22"/>
          <w:szCs w:val="22"/>
        </w:rPr>
        <w:t xml:space="preserve">Brand kit ID: kAGtnDnHQD8</w:t>
      </w:r>
    </w:p>
    <w:p>
      <w:pPr>
        <w:pStyle w:val="ListParagraph"/>
        <w:numPr>
          <w:ilvl w:val="0"/>
          <w:numId w:val="2"/>
        </w:numPr>
        <w:spacing w:after="40" w:before="40"/>
      </w:pPr>
      <w:r>
        <w:rPr>
          <w:rFonts w:ascii="Arial" w:cs="Arial" w:eastAsia="Arial" w:hAnsi="Arial"/>
          <w:b w:val="false"/>
          <w:bCs w:val="false"/>
          <w:color w:val="222222"/>
          <w:sz w:val="22"/>
          <w:szCs w:val="22"/>
        </w:rPr>
        <w:t xml:space="preserve">Fonts to set in brand kit: Playfair Display (Title/Heading, Black 900) and Inter (Body, Regular 400)</w:t>
      </w:r>
    </w:p>
    <w:p>
      <w:pPr>
        <w:pStyle w:val="ListParagraph"/>
        <w:numPr>
          <w:ilvl w:val="0"/>
          <w:numId w:val="2"/>
        </w:numPr>
        <w:spacing w:after="40" w:before="40"/>
      </w:pPr>
      <w:r>
        <w:rPr>
          <w:rFonts w:ascii="Arial" w:cs="Arial" w:eastAsia="Arial" w:hAnsi="Arial"/>
          <w:b w:val="false"/>
          <w:bCs w:val="false"/>
          <w:color w:val="222222"/>
          <w:sz w:val="22"/>
          <w:szCs w:val="22"/>
        </w:rPr>
        <w:t xml:space="preserve">Both fonts are free Google Fonts — available in Canva without uploading</w:t>
      </w:r>
    </w:p>
    <w:p>
      <w:pPr>
        <w:pStyle w:val="ListParagraph"/>
        <w:numPr>
          <w:ilvl w:val="0"/>
          <w:numId w:val="2"/>
        </w:numPr>
        <w:spacing w:after="40" w:before="40"/>
      </w:pPr>
      <w:r>
        <w:rPr>
          <w:rFonts w:ascii="Arial" w:cs="Arial" w:eastAsia="Arial" w:hAnsi="Arial"/>
          <w:b w:val="false"/>
          <w:bCs w:val="false"/>
          <w:color w:val="222222"/>
          <w:sz w:val="22"/>
          <w:szCs w:val="22"/>
        </w:rPr>
        <w:t xml:space="preserve">Colours to add: Space Black #080010, Deep Purple #1a0535, Magenta #d946ef, Violet #a855f7, Star White #F8F4FF</w:t>
      </w:r>
    </w:p>
    <w:p>
      <w:pPr>
        <w:spacing w:after="80" w:before="0"/>
      </w:pPr>
      <w:r>
        <w:t xml:space="preserve"/>
      </w:r>
    </w:p>
    <w:p>
      <w:pPr>
        <w:pStyle w:val="Heading2"/>
        <w:spacing w:after="80" w:before="280"/>
      </w:pPr>
      <w:r>
        <w:rPr>
          <w:rFonts w:ascii="Arial" w:cs="Arial" w:eastAsia="Arial" w:hAnsi="Arial"/>
          <w:b/>
          <w:bCs/>
          <w:color w:val="333333"/>
          <w:sz w:val="26"/>
          <w:szCs w:val="26"/>
        </w:rPr>
        <w:t xml:space="preserve">Thumbnail Templates to Create</w:t>
      </w:r>
    </w:p>
    <w:p>
      <w:pPr>
        <w:pStyle w:val="ListParagraph"/>
        <w:numPr>
          <w:ilvl w:val="0"/>
          <w:numId w:val="2"/>
        </w:numPr>
        <w:spacing w:after="40" w:before="40"/>
      </w:pPr>
      <w:r>
        <w:rPr>
          <w:rFonts w:ascii="Arial" w:cs="Arial" w:eastAsia="Arial" w:hAnsi="Arial"/>
          <w:b w:val="false"/>
          <w:bCs w:val="false"/>
          <w:color w:val="222222"/>
          <w:sz w:val="22"/>
          <w:szCs w:val="22"/>
        </w:rPr>
        <w:t xml:space="preserve">Variation A — Text Left, Face Right (primary template)</w:t>
      </w:r>
    </w:p>
    <w:p>
      <w:pPr>
        <w:pStyle w:val="ListParagraph"/>
        <w:numPr>
          <w:ilvl w:val="0"/>
          <w:numId w:val="2"/>
        </w:numPr>
        <w:spacing w:after="40" w:before="40"/>
      </w:pPr>
      <w:r>
        <w:rPr>
          <w:rFonts w:ascii="Arial" w:cs="Arial" w:eastAsia="Arial" w:hAnsi="Arial"/>
          <w:b w:val="false"/>
          <w:bCs w:val="false"/>
          <w:color w:val="222222"/>
          <w:sz w:val="22"/>
          <w:szCs w:val="22"/>
        </w:rPr>
        <w:t xml:space="preserve">Variation B — Text Right, Face Left (alternate)</w:t>
      </w:r>
    </w:p>
    <w:p>
      <w:pPr>
        <w:pStyle w:val="ListParagraph"/>
        <w:numPr>
          <w:ilvl w:val="0"/>
          <w:numId w:val="2"/>
        </w:numPr>
        <w:spacing w:after="40" w:before="40"/>
      </w:pPr>
      <w:r>
        <w:rPr>
          <w:rFonts w:ascii="Arial" w:cs="Arial" w:eastAsia="Arial" w:hAnsi="Arial"/>
          <w:b w:val="false"/>
          <w:bCs w:val="false"/>
          <w:color w:val="222222"/>
          <w:sz w:val="22"/>
          <w:szCs w:val="22"/>
        </w:rPr>
        <w:t xml:space="preserve">Variation C — Full-width face, text overlay</w:t>
      </w:r>
    </w:p>
    <w:p>
      <w:pPr>
        <w:pStyle w:val="ListParagraph"/>
        <w:numPr>
          <w:ilvl w:val="0"/>
          <w:numId w:val="2"/>
        </w:numPr>
        <w:spacing w:after="40" w:before="40"/>
      </w:pPr>
      <w:r>
        <w:rPr>
          <w:rFonts w:ascii="Arial" w:cs="Arial" w:eastAsia="Arial" w:hAnsi="Arial"/>
          <w:b w:val="false"/>
          <w:bCs w:val="false"/>
          <w:color w:val="222222"/>
          <w:sz w:val="22"/>
          <w:szCs w:val="22"/>
        </w:rPr>
        <w:t xml:space="preserve">Save each as a Brand Template in Canva for quick reuse</w:t>
      </w:r>
    </w:p>
    <w:p>
      <w:pPr>
        <w:spacing w:after="80" w:before="0"/>
      </w:pPr>
      <w:r>
        <w:t xml:space="preserve"/>
      </w:r>
    </w:p>
    <w:p>
      <w:pPr>
        <w:pStyle w:val="Heading2"/>
        <w:spacing w:after="80" w:before="280"/>
      </w:pPr>
      <w:r>
        <w:rPr>
          <w:rFonts w:ascii="Arial" w:cs="Arial" w:eastAsia="Arial" w:hAnsi="Arial"/>
          <w:b/>
          <w:bCs/>
          <w:color w:val="333333"/>
          <w:sz w:val="26"/>
          <w:szCs w:val="26"/>
        </w:rPr>
        <w:t xml:space="preserve">Background Asset</w:t>
      </w:r>
    </w:p>
    <w:p>
      <w:pPr>
        <w:pStyle w:val="ListParagraph"/>
        <w:numPr>
          <w:ilvl w:val="0"/>
          <w:numId w:val="2"/>
        </w:numPr>
        <w:spacing w:after="40" w:before="40"/>
      </w:pPr>
      <w:r>
        <w:rPr>
          <w:rFonts w:ascii="Arial" w:cs="Arial" w:eastAsia="Arial" w:hAnsi="Arial"/>
          <w:b w:val="false"/>
          <w:bCs w:val="false"/>
          <w:color w:val="222222"/>
          <w:sz w:val="22"/>
          <w:szCs w:val="22"/>
        </w:rPr>
        <w:t xml:space="preserve">Find one or two dark bokeh/particle background images that work</w:t>
      </w:r>
    </w:p>
    <w:p>
      <w:pPr>
        <w:pStyle w:val="ListParagraph"/>
        <w:numPr>
          <w:ilvl w:val="0"/>
          <w:numId w:val="2"/>
        </w:numPr>
        <w:spacing w:after="40" w:before="40"/>
      </w:pPr>
      <w:r>
        <w:rPr>
          <w:rFonts w:ascii="Arial" w:cs="Arial" w:eastAsia="Arial" w:hAnsi="Arial"/>
          <w:b w:val="false"/>
          <w:bCs w:val="false"/>
          <w:color w:val="222222"/>
          <w:sz w:val="22"/>
          <w:szCs w:val="22"/>
        </w:rPr>
        <w:t xml:space="preserve">Upload them to Canva brand assets so they are always available</w:t>
      </w:r>
    </w:p>
    <w:p>
      <w:pPr>
        <w:pStyle w:val="ListParagraph"/>
        <w:numPr>
          <w:ilvl w:val="0"/>
          <w:numId w:val="2"/>
        </w:numPr>
        <w:spacing w:after="40" w:before="40"/>
      </w:pPr>
      <w:r>
        <w:rPr>
          <w:rFonts w:ascii="Arial" w:cs="Arial" w:eastAsia="Arial" w:hAnsi="Arial"/>
          <w:b w:val="false"/>
          <w:bCs w:val="false"/>
          <w:color w:val="222222"/>
          <w:sz w:val="22"/>
          <w:szCs w:val="22"/>
        </w:rPr>
        <w:t xml:space="preserve">Using the same background image across multiple thumbnails creates pattern recognition — viewers start to recognise your style</w:t>
      </w:r>
    </w:p>
    <w:p>
      <w:pPr>
        <w:spacing w:after="160" w:before="0"/>
      </w:pPr>
      <w:r>
        <w:t xml:space="preserve"/>
      </w:r>
    </w:p>
    <w:p>
      <w:pPr>
        <w:pBdr>
          <w:bottom w:val="single" w:color="d946ef" w:sz="4" w:space="1"/>
        </w:pBdr>
        <w:spacing w:after="120" w:before="120"/>
      </w:pPr>
      <w:r>
        <w:t xml:space="preserve"/>
      </w:r>
    </w:p>
    <w:p>
      <w:pPr>
        <w:pStyle w:val="Heading1"/>
        <w:spacing w:after="120" w:before="400"/>
      </w:pPr>
      <w:r>
        <w:rPr>
          <w:rFonts w:ascii="Arial" w:cs="Arial" w:eastAsia="Arial" w:hAnsi="Arial"/>
          <w:b/>
          <w:bCs/>
          <w:color w:val="080010"/>
          <w:sz w:val="32"/>
          <w:szCs w:val="32"/>
        </w:rPr>
        <w:t xml:space="preserve">11. Open Questions</w:t>
      </w:r>
    </w:p>
    <w:p>
      <w:pPr>
        <w:spacing w:after="60" w:before="60"/>
      </w:pPr>
      <w:r>
        <w:rPr>
          <w:rFonts w:ascii="Arial" w:cs="Arial" w:eastAsia="Arial" w:hAnsi="Arial"/>
          <w:i/>
          <w:iCs/>
          <w:color w:val="666666"/>
          <w:sz w:val="22"/>
          <w:szCs w:val="22"/>
        </w:rPr>
        <w:t xml:space="preserve">These are the things to decide or test as the thumbnail library builds. Answers should be added here once known.</w:t>
      </w:r>
    </w:p>
    <w:p>
      <w:pPr>
        <w:spacing w:after="40" w:before="0"/>
      </w:pPr>
      <w:r>
        <w:t xml:space="preserve"/>
      </w:r>
    </w:p>
    <w:p>
      <w:pPr>
        <w:pStyle w:val="ListParagraph"/>
        <w:numPr>
          <w:ilvl w:val="0"/>
          <w:numId w:val="2"/>
        </w:numPr>
        <w:spacing w:after="40" w:before="40"/>
      </w:pPr>
      <w:r>
        <w:rPr>
          <w:rFonts w:ascii="Arial" w:cs="Arial" w:eastAsia="Arial" w:hAnsi="Arial"/>
          <w:b w:val="false"/>
          <w:bCs w:val="false"/>
          <w:color w:val="222222"/>
          <w:sz w:val="22"/>
          <w:szCs w:val="22"/>
        </w:rPr>
        <w:t xml:space="preserve">Should the magenta italic line always be the second line, or can it lead (line 1)?</w:t>
      </w:r>
    </w:p>
    <w:p>
      <w:pPr>
        <w:pStyle w:val="ListParagraph"/>
        <w:numPr>
          <w:ilvl w:val="0"/>
          <w:numId w:val="2"/>
        </w:numPr>
        <w:spacing w:after="40" w:before="40"/>
      </w:pPr>
      <w:r>
        <w:rPr>
          <w:rFonts w:ascii="Arial" w:cs="Arial" w:eastAsia="Arial" w:hAnsi="Arial"/>
          <w:b w:val="false"/>
          <w:bCs w:val="false"/>
          <w:color w:val="222222"/>
          <w:sz w:val="22"/>
          <w:szCs w:val="22"/>
        </w:rPr>
        <w:t xml:space="preserve">Should one consistent bokeh background texture be used across all thumbnails, or can it vary slightly between videos?</w:t>
      </w:r>
    </w:p>
    <w:p>
      <w:pPr>
        <w:pStyle w:val="ListParagraph"/>
        <w:numPr>
          <w:ilvl w:val="0"/>
          <w:numId w:val="2"/>
        </w:numPr>
        <w:spacing w:after="40" w:before="40"/>
      </w:pPr>
      <w:r>
        <w:rPr>
          <w:rFonts w:ascii="Arial" w:cs="Arial" w:eastAsia="Arial" w:hAnsi="Arial"/>
          <w:b w:val="false"/>
          <w:bCs w:val="false"/>
          <w:color w:val="222222"/>
          <w:sz w:val="22"/>
          <w:szCs w:val="22"/>
        </w:rPr>
        <w:t xml:space="preserve">At what point should A/B thumbnail testing start (comparing two designs per video to see which performs better)?</w:t>
      </w:r>
    </w:p>
    <w:p>
      <w:pPr>
        <w:pStyle w:val="ListParagraph"/>
        <w:numPr>
          <w:ilvl w:val="0"/>
          <w:numId w:val="2"/>
        </w:numPr>
        <w:spacing w:after="40" w:before="40"/>
      </w:pPr>
      <w:r>
        <w:rPr>
          <w:rFonts w:ascii="Arial" w:cs="Arial" w:eastAsia="Arial" w:hAnsi="Arial"/>
          <w:b w:val="false"/>
          <w:bCs w:val="false"/>
          <w:color w:val="222222"/>
          <w:sz w:val="22"/>
          <w:szCs w:val="22"/>
        </w:rPr>
        <w:t xml:space="preserve">Clothing: is there a preferred top to wear for the majority of thumbnail sessions?</w:t>
      </w:r>
    </w:p>
    <w:p>
      <w:pPr>
        <w:pStyle w:val="ListParagraph"/>
        <w:numPr>
          <w:ilvl w:val="0"/>
          <w:numId w:val="2"/>
        </w:numPr>
        <w:spacing w:after="40" w:before="40"/>
      </w:pPr>
      <w:r>
        <w:rPr>
          <w:rFonts w:ascii="Arial" w:cs="Arial" w:eastAsia="Arial" w:hAnsi="Arial"/>
          <w:b w:val="false"/>
          <w:bCs w:val="false"/>
          <w:color w:val="222222"/>
          <w:sz w:val="22"/>
          <w:szCs w:val="22"/>
        </w:rPr>
        <w:t xml:space="preserve">Should a small subtitle or category label be added to any thumbnails (e.g. a small white 'EPISODE 12' or topic tag)?</w:t>
      </w:r>
    </w:p>
    <w:p>
      <w:pPr>
        <w:spacing w:after="160" w:before="0"/>
      </w:pPr>
      <w:r>
        <w:t xml:space="preserve"/>
      </w:r>
    </w:p>
    <w:p>
      <w:pPr>
        <w:pBdr>
          <w:bottom w:val="single" w:color="d946ef" w:sz="4" w:space="1"/>
        </w:pBdr>
        <w:spacing w:after="120" w:before="120"/>
      </w:pPr>
      <w:r>
        <w:t xml:space="preserve"/>
      </w:r>
    </w:p>
    <w:p>
      <w:pPr>
        <w:pStyle w:val="Heading1"/>
        <w:spacing w:after="120" w:before="400"/>
      </w:pPr>
      <w:r>
        <w:rPr>
          <w:rFonts w:ascii="Arial" w:cs="Arial" w:eastAsia="Arial" w:hAnsi="Arial"/>
          <w:b/>
          <w:bCs/>
          <w:color w:val="080010"/>
          <w:sz w:val="32"/>
          <w:szCs w:val="32"/>
        </w:rPr>
        <w:t xml:space="preserve">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80010" w:val="clear"/>
            <w:tcMar>
              <w:top w:type="dxa" w:w="80"/>
              <w:left w:type="dxa" w:w="150"/>
              <w:bottom w:type="dxa" w:w="80"/>
              <w:right w:type="dxa" w:w="150"/>
            </w:tcMar>
          </w:tcPr>
          <w:p>
            <w:r>
              <w:rPr>
                <w:rFonts w:ascii="Arial" w:cs="Arial" w:eastAsia="Arial" w:hAnsi="Arial"/>
                <w:b/>
                <w:bCs/>
                <w:color w:val="FFFFFF"/>
                <w:sz w:val="20"/>
                <w:szCs w:val="20"/>
              </w:rPr>
              <w:t xml:space="preserve">Item</w:t>
            </w:r>
          </w:p>
        </w:tc>
        <w:tc>
          <w:tcPr>
            <w:tcW w:type="dxa" w:w="6240"/>
            <w:tcBorders>
              <w:top w:val="single" w:color="cccccc" w:sz="1"/>
              <w:left w:val="single" w:color="cccccc" w:sz="1"/>
              <w:bottom w:val="single" w:color="cccccc" w:sz="1"/>
              <w:right w:val="single" w:color="cccccc" w:sz="1"/>
            </w:tcBorders>
            <w:shd w:fill="080010" w:val="clear"/>
            <w:tcMar>
              <w:top w:type="dxa" w:w="80"/>
              <w:left w:type="dxa" w:w="150"/>
              <w:bottom w:type="dxa" w:w="80"/>
              <w:right w:type="dxa" w:w="150"/>
            </w:tcMar>
          </w:tcPr>
          <w:p>
            <w:r>
              <w:rPr>
                <w:rFonts w:ascii="Arial" w:cs="Arial" w:eastAsia="Arial" w:hAnsi="Arial"/>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222222"/>
                <w:sz w:val="20"/>
                <w:szCs w:val="20"/>
              </w:rPr>
              <w:t xml:space="preserve">Canvas</w:t>
            </w:r>
          </w:p>
        </w:tc>
        <w:tc>
          <w:tcPr>
            <w:tcW w:type="dxa" w:w="62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222222"/>
                <w:sz w:val="20"/>
                <w:szCs w:val="20"/>
              </w:rPr>
              <w:t xml:space="preserve">1280 x 720px JPG</w:t>
            </w:r>
          </w:p>
        </w:tc>
      </w:tr>
      <w:tr>
        <w:tc>
          <w:tcPr>
            <w:tcW w:type="dxa" w:w="312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222222"/>
                <w:sz w:val="20"/>
                <w:szCs w:val="20"/>
              </w:rPr>
              <w:t xml:space="preserve">Font — headline</w:t>
            </w:r>
          </w:p>
        </w:tc>
        <w:tc>
          <w:tcPr>
            <w:tcW w:type="dxa" w:w="62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222222"/>
                <w:sz w:val="20"/>
                <w:szCs w:val="20"/>
              </w:rPr>
              <w:t xml:space="preserve">Playfair Display Black (900), white #F8F4FF</w:t>
            </w:r>
          </w:p>
        </w:tc>
      </w:tr>
      <w:tr>
        <w:tc>
          <w:tcPr>
            <w:tcW w:type="dxa" w:w="312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222222"/>
                <w:sz w:val="20"/>
                <w:szCs w:val="20"/>
              </w:rPr>
              <w:t xml:space="preserve">Font — accent</w:t>
            </w:r>
          </w:p>
        </w:tc>
        <w:tc>
          <w:tcPr>
            <w:tcW w:type="dxa" w:w="62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222222"/>
                <w:sz w:val="20"/>
                <w:szCs w:val="20"/>
              </w:rPr>
              <w:t xml:space="preserve">Playfair Display Black Italic, magenta #D946EF</w:t>
            </w:r>
          </w:p>
        </w:tc>
      </w:tr>
      <w:tr>
        <w:tc>
          <w:tcPr>
            <w:tcW w:type="dxa" w:w="312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222222"/>
                <w:sz w:val="20"/>
                <w:szCs w:val="20"/>
              </w:rPr>
              <w:t xml:space="preserve">Font — body (rare)</w:t>
            </w:r>
          </w:p>
        </w:tc>
        <w:tc>
          <w:tcPr>
            <w:tcW w:type="dxa" w:w="62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222222"/>
                <w:sz w:val="20"/>
                <w:szCs w:val="20"/>
              </w:rPr>
              <w:t xml:space="preserve">Inter SemiBold, violet #A855F7</w:t>
            </w:r>
          </w:p>
        </w:tc>
      </w:tr>
      <w:tr>
        <w:tc>
          <w:tcPr>
            <w:tcW w:type="dxa" w:w="312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222222"/>
                <w:sz w:val="20"/>
                <w:szCs w:val="20"/>
              </w:rPr>
              <w:t xml:space="preserve">Background</w:t>
            </w:r>
          </w:p>
        </w:tc>
        <w:tc>
          <w:tcPr>
            <w:tcW w:type="dxa" w:w="62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222222"/>
                <w:sz w:val="20"/>
                <w:szCs w:val="20"/>
              </w:rPr>
              <w:t xml:space="preserve">Space Black #080010 or Deep Purple #1a0535 + bokeh overlay</w:t>
            </w:r>
          </w:p>
        </w:tc>
      </w:tr>
      <w:tr>
        <w:tc>
          <w:tcPr>
            <w:tcW w:type="dxa" w:w="312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222222"/>
                <w:sz w:val="20"/>
                <w:szCs w:val="20"/>
              </w:rPr>
              <w:t xml:space="preserve">Line height</w:t>
            </w:r>
          </w:p>
        </w:tc>
        <w:tc>
          <w:tcPr>
            <w:tcW w:type="dxa" w:w="62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222222"/>
                <w:sz w:val="20"/>
                <w:szCs w:val="20"/>
              </w:rPr>
              <w:t xml:space="preserve">0.9 (very tight)</w:t>
            </w:r>
          </w:p>
        </w:tc>
      </w:tr>
      <w:tr>
        <w:tc>
          <w:tcPr>
            <w:tcW w:type="dxa" w:w="312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222222"/>
                <w:sz w:val="20"/>
                <w:szCs w:val="20"/>
              </w:rPr>
              <w:t xml:space="preserve">Letter spacing</w:t>
            </w:r>
          </w:p>
        </w:tc>
        <w:tc>
          <w:tcPr>
            <w:tcW w:type="dxa" w:w="62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222222"/>
                <w:sz w:val="20"/>
                <w:szCs w:val="20"/>
              </w:rPr>
              <w:t xml:space="preserve">0 (default)</w:t>
            </w:r>
          </w:p>
        </w:tc>
      </w:tr>
      <w:tr>
        <w:tc>
          <w:tcPr>
            <w:tcW w:type="dxa" w:w="312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222222"/>
                <w:sz w:val="20"/>
                <w:szCs w:val="20"/>
              </w:rPr>
              <w:t xml:space="preserve">Face position (A)</w:t>
            </w:r>
          </w:p>
        </w:tc>
        <w:tc>
          <w:tcPr>
            <w:tcW w:type="dxa" w:w="62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222222"/>
                <w:sz w:val="20"/>
                <w:szCs w:val="20"/>
              </w:rPr>
              <w:t xml:space="preserve">Right side, 45% of canvas, chest-up</w:t>
            </w:r>
          </w:p>
        </w:tc>
      </w:tr>
      <w:tr>
        <w:tc>
          <w:tcPr>
            <w:tcW w:type="dxa" w:w="312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222222"/>
                <w:sz w:val="20"/>
                <w:szCs w:val="20"/>
              </w:rPr>
              <w:t xml:space="preserve">Face position (B)</w:t>
            </w:r>
          </w:p>
        </w:tc>
        <w:tc>
          <w:tcPr>
            <w:tcW w:type="dxa" w:w="62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222222"/>
                <w:sz w:val="20"/>
                <w:szCs w:val="20"/>
              </w:rPr>
              <w:t xml:space="preserve">Left side, 45% of canvas, chest-up</w:t>
            </w:r>
          </w:p>
        </w:tc>
      </w:tr>
      <w:tr>
        <w:tc>
          <w:tcPr>
            <w:tcW w:type="dxa" w:w="312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222222"/>
                <w:sz w:val="20"/>
                <w:szCs w:val="20"/>
              </w:rPr>
              <w:t xml:space="preserve">No logo on thumbnails</w:t>
            </w:r>
          </w:p>
        </w:tc>
        <w:tc>
          <w:tcPr>
            <w:tcW w:type="dxa" w:w="62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222222"/>
                <w:sz w:val="20"/>
                <w:szCs w:val="20"/>
              </w:rPr>
              <w:t xml:space="preserve">Face + text = brand identity</w:t>
            </w:r>
          </w:p>
        </w:tc>
      </w:tr>
      <w:tr>
        <w:tc>
          <w:tcPr>
            <w:tcW w:type="dxa" w:w="312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222222"/>
                <w:sz w:val="20"/>
                <w:szCs w:val="20"/>
              </w:rPr>
              <w:t xml:space="preserve">Shot library</w:t>
            </w:r>
          </w:p>
        </w:tc>
        <w:tc>
          <w:tcPr>
            <w:tcW w:type="dxa" w:w="62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222222"/>
                <w:sz w:val="20"/>
                <w:szCs w:val="20"/>
              </w:rPr>
              <w:t xml:space="preserve">marketing/thumbnail-photos/</w:t>
            </w:r>
          </w:p>
        </w:tc>
      </w:tr>
      <w:tr>
        <w:tc>
          <w:tcPr>
            <w:tcW w:type="dxa" w:w="312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222222"/>
                <w:sz w:val="20"/>
                <w:szCs w:val="20"/>
              </w:rPr>
              <w:t xml:space="preserve">File naming</w:t>
            </w:r>
          </w:p>
        </w:tc>
        <w:tc>
          <w:tcPr>
            <w:tcW w:type="dxa" w:w="62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222222"/>
                <w:sz w:val="20"/>
                <w:szCs w:val="20"/>
              </w:rPr>
              <w:t xml:space="preserve">YYYY-MM-DD_video-slug_thumb.jpg</w:t>
            </w:r>
          </w:p>
        </w:tc>
      </w:tr>
      <w:tr>
        <w:tc>
          <w:tcPr>
            <w:tcW w:type="dxa" w:w="312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222222"/>
                <w:sz w:val="20"/>
                <w:szCs w:val="20"/>
              </w:rPr>
              <w:t xml:space="preserve">Style reference</w:t>
            </w:r>
          </w:p>
        </w:tc>
        <w:tc>
          <w:tcPr>
            <w:tcW w:type="dxa" w:w="624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color w:val="222222"/>
                <w:sz w:val="20"/>
                <w:szCs w:val="20"/>
              </w:rPr>
              <w:t xml:space="preserve">Chris 'The Wiz' Miller @christhewizmiller</w:t>
            </w:r>
          </w:p>
        </w:tc>
      </w:tr>
    </w:tbl>
    <w:p>
      <w:pPr>
        <w:spacing w:after="160" w:before="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2026-06-18T10:26:04.311Z</dcterms:created>
  <dcterms:modified xsi:type="dcterms:W3CDTF">2026-06-18T10:26:04.311Z</dcterms:modified>
</cp:coreProperties>
</file>

<file path=docProps/custom.xml><?xml version="1.0" encoding="utf-8"?>
<Properties xmlns="http://schemas.openxmlformats.org/officeDocument/2006/custom-properties" xmlns:vt="http://schemas.openxmlformats.org/officeDocument/2006/docPropsVTypes"/>
</file>