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C8102E"/>
          <w:sz w:val="17"/>
        </w:rPr>
        <w:t>FICHA TÉCNICA DE ARQUITECTURA DE SOFTWARE | SISTEMA POS &amp; GESTIÓN OPERATIVA</w:t>
      </w:r>
    </w:p>
    <w:p>
      <w:pPr>
        <w:spacing w:before="0" w:after="80"/>
      </w:pPr>
      <w:r>
        <w:rPr>
          <w:b/>
          <w:color w:val="0F172A"/>
          <w:sz w:val="44"/>
        </w:rPr>
        <w:t>STACK TECNOLÓGICO Y MATRIZ DE ENTORNOS</w:t>
      </w:r>
    </w:p>
    <w:p>
      <w:pPr>
        <w:spacing w:before="0" w:after="280"/>
      </w:pPr>
      <w:r>
        <w:rPr>
          <w:i/>
          <w:color w:val="64748B"/>
          <w:sz w:val="22"/>
        </w:rPr>
        <w:t>Sistema Pollo Crispy POS — Análisis Integral de Desarrollo, Producción y Despliegue en la Nube (Vercel + Supabase)</w:t>
      </w:r>
    </w:p>
    <w:p>
      <w:pPr>
        <w:spacing w:after="280"/>
      </w:pPr>
      <w:r>
        <w:rPr>
          <w:b/>
          <w:color w:val="C8102E"/>
        </w:rPr>
        <w:t>――――――――――――――――――――――――――――――――――――――――――――――――――――――――――</w:t>
      </w:r>
    </w:p>
    <w:p>
      <w:pPr>
        <w:pStyle w:val="Heading1"/>
        <w:spacing w:before="160" w:after="80"/>
      </w:pPr>
      <w:r>
        <w:rPr>
          <w:b/>
          <w:color w:val="0F172A"/>
          <w:sz w:val="28"/>
        </w:rPr>
        <w:t>1. Resumen Ejecutivo y Alcance del Proyecto</w:t>
      </w:r>
    </w:p>
    <w:p>
      <w:pPr>
        <w:spacing w:after="160" w:line="276" w:lineRule="auto"/>
      </w:pPr>
      <w:r>
        <w:t xml:space="preserve">El presente documento técnico establece formalmente la especificación de componentes tecnológicos, la comparativa entre el entorno de desarrollo local y el entorno de producción en la nube, así como el análisis de costos e infraestructura para el sistema </w:t>
      </w:r>
      <w:r>
        <w:rPr>
          <w:b/>
        </w:rPr>
        <w:t>Pollo Crispy POS</w:t>
      </w:r>
      <w:r>
        <w:t>. La plataforma integra Punto de Venta ágil, Control de Caja Chica y Arqueos, Control de Gastos Operativos independiente, y Control de Producción e Inventario por Tandas de Pollo Frito.</w:t>
        <w:br/>
        <w:br/>
        <w:t xml:space="preserve">La arquitectura fue diseñada bajo el paradigma de </w:t>
      </w:r>
      <w:r>
        <w:rPr>
          <w:b/>
        </w:rPr>
        <w:t>Cloud-Native / Jamstack Moderno</w:t>
      </w:r>
      <w:r>
        <w:t>, lo que garantiza cero costos operativos en alojamiento web (Tier Gratuito de Vercel y Supabase), escalabilidad automática, alta disponibilidad y máxima seguridad mediante políticas a nivel de fila (RLS).</w:t>
      </w:r>
    </w:p>
    <w:p>
      <w:pPr>
        <w:pStyle w:val="Heading1"/>
        <w:spacing w:before="280" w:after="80"/>
      </w:pPr>
      <w:r>
        <w:rPr>
          <w:b/>
          <w:color w:val="0F172A"/>
          <w:sz w:val="28"/>
        </w:rPr>
        <w:t>2. Correspondencia Técnica: Stack de Referencia vs. Pollo Crispy POS</w:t>
      </w:r>
    </w:p>
    <w:p>
      <w:pPr>
        <w:spacing w:after="200"/>
      </w:pPr>
      <w:r>
        <w:t>Para contextualizar la solución implementada con respecto a los modelos teóricos de referencia (ej. backend monolítico tradicional en Python/FastAPI vs arquitectura modular moderna en TypeScript/Cloud), se presenta la siguiente matriz de equivalencia tecnológica: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c>
          <w:tcPr>
            <w:tcW w:type="dxa" w:w="2592"/>
            <w:shd w:fill="1E293B"/>
            <w:tcMar>
              <w:top w:w="120" w:type="dxa"/>
              <w:bottom w:w="120" w:type="dxa"/>
              <w:left w:w="140" w:type="dxa"/>
              <w:right w:w="140" w:type="dxa"/>
            </w:tcMar>
          </w:tcPr>
          <w:p>
            <w:pPr>
              <w:jc w:val="left"/>
            </w:pPr>
            <w:r>
              <w:rPr>
                <w:b/>
                <w:color w:val="FFFFFF"/>
                <w:sz w:val="18"/>
              </w:rPr>
              <w:t>Criterio / Componente</w:t>
            </w:r>
          </w:p>
        </w:tc>
        <w:tc>
          <w:tcPr>
            <w:tcW w:type="dxa" w:w="3312"/>
            <w:shd w:fill="1E293B"/>
            <w:tcMar>
              <w:top w:w="120" w:type="dxa"/>
              <w:bottom w:w="120" w:type="dxa"/>
              <w:left w:w="140" w:type="dxa"/>
              <w:right w:w="140" w:type="dxa"/>
            </w:tcMar>
          </w:tcPr>
          <w:p>
            <w:pPr>
              <w:jc w:val="left"/>
            </w:pPr>
            <w:r>
              <w:rPr>
                <w:b/>
                <w:color w:val="FFFFFF"/>
                <w:sz w:val="18"/>
              </w:rPr>
              <w:t>Stack de Referencia Típico</w:t>
            </w:r>
          </w:p>
        </w:tc>
        <w:tc>
          <w:tcPr>
            <w:tcW w:type="dxa" w:w="3888"/>
            <w:shd w:fill="1E293B"/>
            <w:tcMar>
              <w:top w:w="120" w:type="dxa"/>
              <w:bottom w:w="120" w:type="dxa"/>
              <w:left w:w="140" w:type="dxa"/>
              <w:right w:w="140" w:type="dxa"/>
            </w:tcMar>
          </w:tcPr>
          <w:p>
            <w:pPr>
              <w:jc w:val="left"/>
            </w:pPr>
            <w:r>
              <w:rPr>
                <w:b/>
                <w:color w:val="FFFFFF"/>
                <w:sz w:val="18"/>
              </w:rPr>
              <w:t>Implementación Pollo Crispy POS (Optimizada)</w:t>
            </w:r>
          </w:p>
        </w:tc>
      </w:tr>
      <w:tr>
        <w:tc>
          <w:tcPr>
            <w:tcW w:type="dxa" w:w="2592"/>
            <w:shd w:fill="FFFFFF"/>
            <w:tcMar>
              <w:top w:w="100" w:type="dxa"/>
              <w:bottom w:w="100" w:type="dxa"/>
              <w:left w:w="140" w:type="dxa"/>
              <w:right w:w="140" w:type="dxa"/>
            </w:tcMar>
          </w:tcPr>
          <w:p>
            <w:pPr>
              <w:spacing w:after="0" w:line="264" w:lineRule="auto"/>
            </w:pPr>
            <w:r>
              <w:rPr>
                <w:b/>
                <w:color w:val="0F172A"/>
                <w:sz w:val="17"/>
              </w:rPr>
              <w:t>Backend &amp; API</w:t>
            </w:r>
          </w:p>
        </w:tc>
        <w:tc>
          <w:tcPr>
            <w:tcW w:type="dxa" w:w="3312"/>
            <w:shd w:fill="FFFFFF"/>
            <w:tcMar>
              <w:top w:w="100" w:type="dxa"/>
              <w:bottom w:w="100" w:type="dxa"/>
              <w:left w:w="140" w:type="dxa"/>
              <w:right w:w="140" w:type="dxa"/>
            </w:tcMar>
          </w:tcPr>
          <w:p>
            <w:pPr>
              <w:spacing w:after="0" w:line="264" w:lineRule="auto"/>
            </w:pPr>
            <w:r>
              <w:rPr>
                <w:color w:val="475569"/>
                <w:sz w:val="17"/>
              </w:rPr>
              <w:t>Python 3.12 + FastAPI</w:t>
            </w:r>
          </w:p>
        </w:tc>
        <w:tc>
          <w:tcPr>
            <w:tcW w:type="dxa" w:w="3888"/>
            <w:shd w:fill="FFFFFF"/>
            <w:tcMar>
              <w:top w:w="100" w:type="dxa"/>
              <w:bottom w:w="100" w:type="dxa"/>
              <w:left w:w="140" w:type="dxa"/>
              <w:right w:w="140" w:type="dxa"/>
            </w:tcMar>
          </w:tcPr>
          <w:p>
            <w:pPr>
              <w:spacing w:after="0" w:line="264" w:lineRule="auto"/>
            </w:pPr>
            <w:r>
              <w:rPr>
                <w:color w:val="0F172A"/>
                <w:sz w:val="17"/>
              </w:rPr>
              <w:t>Arquitectura Serverless REST / PostgREST nativo sobre PostgreSQL + Supabase Client</w:t>
            </w:r>
          </w:p>
        </w:tc>
      </w:tr>
      <w:tr>
        <w:tc>
          <w:tcPr>
            <w:tcW w:type="dxa" w:w="2592"/>
            <w:shd w:fill="F8FAFC"/>
            <w:tcMar>
              <w:top w:w="100" w:type="dxa"/>
              <w:bottom w:w="100" w:type="dxa"/>
              <w:left w:w="140" w:type="dxa"/>
              <w:right w:w="140" w:type="dxa"/>
            </w:tcMar>
          </w:tcPr>
          <w:p>
            <w:pPr>
              <w:spacing w:after="0" w:line="264" w:lineRule="auto"/>
            </w:pPr>
            <w:r>
              <w:rPr>
                <w:b/>
                <w:color w:val="0F172A"/>
                <w:sz w:val="17"/>
              </w:rPr>
              <w:t>Base de Datos</w:t>
            </w:r>
          </w:p>
        </w:tc>
        <w:tc>
          <w:tcPr>
            <w:tcW w:type="dxa" w:w="3312"/>
            <w:shd w:fill="F8FAFC"/>
            <w:tcMar>
              <w:top w:w="100" w:type="dxa"/>
              <w:bottom w:w="100" w:type="dxa"/>
              <w:left w:w="140" w:type="dxa"/>
              <w:right w:w="140" w:type="dxa"/>
            </w:tcMar>
          </w:tcPr>
          <w:p>
            <w:pPr>
              <w:spacing w:after="0" w:line="264" w:lineRule="auto"/>
            </w:pPr>
            <w:r>
              <w:rPr>
                <w:color w:val="475569"/>
                <w:sz w:val="17"/>
              </w:rPr>
              <w:t>PostgreSQL</w:t>
            </w:r>
          </w:p>
        </w:tc>
        <w:tc>
          <w:tcPr>
            <w:tcW w:type="dxa" w:w="3888"/>
            <w:shd w:fill="F8FAFC"/>
            <w:tcMar>
              <w:top w:w="100" w:type="dxa"/>
              <w:bottom w:w="100" w:type="dxa"/>
              <w:left w:w="140" w:type="dxa"/>
              <w:right w:w="140" w:type="dxa"/>
            </w:tcMar>
          </w:tcPr>
          <w:p>
            <w:pPr>
              <w:spacing w:after="0" w:line="264" w:lineRule="auto"/>
            </w:pPr>
            <w:r>
              <w:rPr>
                <w:color w:val="0F172A"/>
                <w:sz w:val="17"/>
              </w:rPr>
              <w:t>PostgreSQL 15+ gestionado en Supabase Cloud con extensiones pg_crypto y UUID</w:t>
            </w:r>
          </w:p>
        </w:tc>
      </w:tr>
      <w:tr>
        <w:tc>
          <w:tcPr>
            <w:tcW w:type="dxa" w:w="2592"/>
            <w:shd w:fill="FFFFFF"/>
            <w:tcMar>
              <w:top w:w="100" w:type="dxa"/>
              <w:bottom w:w="100" w:type="dxa"/>
              <w:left w:w="140" w:type="dxa"/>
              <w:right w:w="140" w:type="dxa"/>
            </w:tcMar>
          </w:tcPr>
          <w:p>
            <w:pPr>
              <w:spacing w:after="0" w:line="264" w:lineRule="auto"/>
            </w:pPr>
            <w:r>
              <w:rPr>
                <w:b/>
                <w:color w:val="0F172A"/>
                <w:sz w:val="17"/>
              </w:rPr>
              <w:t>ORM / Capa de Datos</w:t>
            </w:r>
          </w:p>
        </w:tc>
        <w:tc>
          <w:tcPr>
            <w:tcW w:type="dxa" w:w="3312"/>
            <w:shd w:fill="FFFFFF"/>
            <w:tcMar>
              <w:top w:w="100" w:type="dxa"/>
              <w:bottom w:w="100" w:type="dxa"/>
              <w:left w:w="140" w:type="dxa"/>
              <w:right w:w="140" w:type="dxa"/>
            </w:tcMar>
          </w:tcPr>
          <w:p>
            <w:pPr>
              <w:spacing w:after="0" w:line="264" w:lineRule="auto"/>
            </w:pPr>
            <w:r>
              <w:rPr>
                <w:color w:val="475569"/>
                <w:sz w:val="17"/>
              </w:rPr>
              <w:t>SQLAlchemy</w:t>
            </w:r>
          </w:p>
        </w:tc>
        <w:tc>
          <w:tcPr>
            <w:tcW w:type="dxa" w:w="3888"/>
            <w:shd w:fill="FFFFFF"/>
            <w:tcMar>
              <w:top w:w="100" w:type="dxa"/>
              <w:bottom w:w="100" w:type="dxa"/>
              <w:left w:w="140" w:type="dxa"/>
              <w:right w:w="140" w:type="dxa"/>
            </w:tcMar>
          </w:tcPr>
          <w:p>
            <w:pPr>
              <w:spacing w:after="0" w:line="264" w:lineRule="auto"/>
            </w:pPr>
            <w:r>
              <w:rPr>
                <w:color w:val="0F172A"/>
                <w:sz w:val="17"/>
              </w:rPr>
              <w:t>Supabase Client SDK con tipado estricto TypeScript + Vistas y Procedimientos Almacenados (PL/pgSQL)</w:t>
            </w:r>
          </w:p>
        </w:tc>
      </w:tr>
      <w:tr>
        <w:tc>
          <w:tcPr>
            <w:tcW w:type="dxa" w:w="2592"/>
            <w:shd w:fill="F8FAFC"/>
            <w:tcMar>
              <w:top w:w="100" w:type="dxa"/>
              <w:bottom w:w="100" w:type="dxa"/>
              <w:left w:w="140" w:type="dxa"/>
              <w:right w:w="140" w:type="dxa"/>
            </w:tcMar>
          </w:tcPr>
          <w:p>
            <w:pPr>
              <w:spacing w:after="0" w:line="264" w:lineRule="auto"/>
            </w:pPr>
            <w:r>
              <w:rPr>
                <w:b/>
                <w:color w:val="0F172A"/>
                <w:sz w:val="17"/>
              </w:rPr>
              <w:t>Autenticación</w:t>
            </w:r>
          </w:p>
        </w:tc>
        <w:tc>
          <w:tcPr>
            <w:tcW w:type="dxa" w:w="3312"/>
            <w:shd w:fill="F8FAFC"/>
            <w:tcMar>
              <w:top w:w="100" w:type="dxa"/>
              <w:bottom w:w="100" w:type="dxa"/>
              <w:left w:w="140" w:type="dxa"/>
              <w:right w:w="140" w:type="dxa"/>
            </w:tcMar>
          </w:tcPr>
          <w:p>
            <w:pPr>
              <w:spacing w:after="0" w:line="264" w:lineRule="auto"/>
            </w:pPr>
            <w:r>
              <w:rPr>
                <w:color w:val="475569"/>
                <w:sz w:val="17"/>
              </w:rPr>
              <w:t>JWT (JSON Web Tokens)</w:t>
            </w:r>
          </w:p>
        </w:tc>
        <w:tc>
          <w:tcPr>
            <w:tcW w:type="dxa" w:w="3888"/>
            <w:shd w:fill="F8FAFC"/>
            <w:tcMar>
              <w:top w:w="100" w:type="dxa"/>
              <w:bottom w:w="100" w:type="dxa"/>
              <w:left w:w="140" w:type="dxa"/>
              <w:right w:w="140" w:type="dxa"/>
            </w:tcMar>
          </w:tcPr>
          <w:p>
            <w:pPr>
              <w:spacing w:after="0" w:line="264" w:lineRule="auto"/>
            </w:pPr>
            <w:r>
              <w:rPr>
                <w:color w:val="0F172A"/>
                <w:sz w:val="17"/>
              </w:rPr>
              <w:t>Supabase Auth (Tokens JWT criptográficos RFC 7519, manejo de sesiones y RLS integrado)</w:t>
            </w:r>
          </w:p>
        </w:tc>
      </w:tr>
      <w:tr>
        <w:tc>
          <w:tcPr>
            <w:tcW w:type="dxa" w:w="2592"/>
            <w:shd w:fill="FFFFFF"/>
            <w:tcMar>
              <w:top w:w="100" w:type="dxa"/>
              <w:bottom w:w="100" w:type="dxa"/>
              <w:left w:w="140" w:type="dxa"/>
              <w:right w:w="140" w:type="dxa"/>
            </w:tcMar>
          </w:tcPr>
          <w:p>
            <w:pPr>
              <w:spacing w:after="0" w:line="264" w:lineRule="auto"/>
            </w:pPr>
            <w:r>
              <w:rPr>
                <w:b/>
                <w:color w:val="0F172A"/>
                <w:sz w:val="17"/>
              </w:rPr>
              <w:t>Documentación &amp; Tipado</w:t>
            </w:r>
          </w:p>
        </w:tc>
        <w:tc>
          <w:tcPr>
            <w:tcW w:type="dxa" w:w="3312"/>
            <w:shd w:fill="FFFFFF"/>
            <w:tcMar>
              <w:top w:w="100" w:type="dxa"/>
              <w:bottom w:w="100" w:type="dxa"/>
              <w:left w:w="140" w:type="dxa"/>
              <w:right w:w="140" w:type="dxa"/>
            </w:tcMar>
          </w:tcPr>
          <w:p>
            <w:pPr>
              <w:spacing w:after="0" w:line="264" w:lineRule="auto"/>
            </w:pPr>
            <w:r>
              <w:rPr>
                <w:color w:val="475569"/>
                <w:sz w:val="17"/>
              </w:rPr>
              <w:t>OpenAPI / Swagger UI</w:t>
            </w:r>
          </w:p>
        </w:tc>
        <w:tc>
          <w:tcPr>
            <w:tcW w:type="dxa" w:w="3888"/>
            <w:shd w:fill="FFFFFF"/>
            <w:tcMar>
              <w:top w:w="100" w:type="dxa"/>
              <w:bottom w:w="100" w:type="dxa"/>
              <w:left w:w="140" w:type="dxa"/>
              <w:right w:w="140" w:type="dxa"/>
            </w:tcMar>
          </w:tcPr>
          <w:p>
            <w:pPr>
              <w:spacing w:after="0" w:line="264" w:lineRule="auto"/>
            </w:pPr>
            <w:r>
              <w:rPr>
                <w:color w:val="0F172A"/>
                <w:sz w:val="17"/>
              </w:rPr>
              <w:t>TypeScript 5.6 (esquemas y contratos fuertemente tipados) + Esquema relacional SQL documentado</w:t>
            </w:r>
          </w:p>
        </w:tc>
      </w:tr>
      <w:tr>
        <w:tc>
          <w:tcPr>
            <w:tcW w:type="dxa" w:w="2592"/>
            <w:shd w:fill="F8FAFC"/>
            <w:tcMar>
              <w:top w:w="100" w:type="dxa"/>
              <w:bottom w:w="100" w:type="dxa"/>
              <w:left w:w="140" w:type="dxa"/>
              <w:right w:w="140" w:type="dxa"/>
            </w:tcMar>
          </w:tcPr>
          <w:p>
            <w:pPr>
              <w:spacing w:after="0" w:line="264" w:lineRule="auto"/>
            </w:pPr>
            <w:r>
              <w:rPr>
                <w:b/>
                <w:color w:val="0F172A"/>
                <w:sz w:val="17"/>
              </w:rPr>
              <w:t>Pruebas &amp; Calidad</w:t>
            </w:r>
          </w:p>
        </w:tc>
        <w:tc>
          <w:tcPr>
            <w:tcW w:type="dxa" w:w="3312"/>
            <w:shd w:fill="F8FAFC"/>
            <w:tcMar>
              <w:top w:w="100" w:type="dxa"/>
              <w:bottom w:w="100" w:type="dxa"/>
              <w:left w:w="140" w:type="dxa"/>
              <w:right w:w="140" w:type="dxa"/>
            </w:tcMar>
          </w:tcPr>
          <w:p>
            <w:pPr>
              <w:spacing w:after="0" w:line="264" w:lineRule="auto"/>
            </w:pPr>
            <w:r>
              <w:rPr>
                <w:color w:val="475569"/>
                <w:sz w:val="17"/>
              </w:rPr>
              <w:t>Pytest</w:t>
            </w:r>
          </w:p>
        </w:tc>
        <w:tc>
          <w:tcPr>
            <w:tcW w:type="dxa" w:w="3888"/>
            <w:shd w:fill="F8FAFC"/>
            <w:tcMar>
              <w:top w:w="100" w:type="dxa"/>
              <w:bottom w:w="100" w:type="dxa"/>
              <w:left w:w="140" w:type="dxa"/>
              <w:right w:w="140" w:type="dxa"/>
            </w:tcMar>
          </w:tcPr>
          <w:p>
            <w:pPr>
              <w:spacing w:after="0" w:line="264" w:lineRule="auto"/>
            </w:pPr>
            <w:r>
              <w:rPr>
                <w:color w:val="0F172A"/>
                <w:sz w:val="17"/>
              </w:rPr>
              <w:t>ESLint 9 + Verificación estricta de compilación en build (`tsc --noEmit &amp;&amp; vite build`)</w:t>
            </w:r>
          </w:p>
        </w:tc>
      </w:tr>
      <w:tr>
        <w:tc>
          <w:tcPr>
            <w:tcW w:type="dxa" w:w="2592"/>
            <w:shd w:fill="FFFFFF"/>
            <w:tcMar>
              <w:top w:w="100" w:type="dxa"/>
              <w:bottom w:w="100" w:type="dxa"/>
              <w:left w:w="140" w:type="dxa"/>
              <w:right w:w="140" w:type="dxa"/>
            </w:tcMar>
          </w:tcPr>
          <w:p>
            <w:pPr>
              <w:spacing w:after="0" w:line="264" w:lineRule="auto"/>
            </w:pPr>
            <w:r>
              <w:rPr>
                <w:b/>
                <w:color w:val="0F172A"/>
                <w:sz w:val="17"/>
              </w:rPr>
              <w:t>Control de Versiones</w:t>
            </w:r>
          </w:p>
        </w:tc>
        <w:tc>
          <w:tcPr>
            <w:tcW w:type="dxa" w:w="3312"/>
            <w:shd w:fill="FFFFFF"/>
            <w:tcMar>
              <w:top w:w="100" w:type="dxa"/>
              <w:bottom w:w="100" w:type="dxa"/>
              <w:left w:w="140" w:type="dxa"/>
              <w:right w:w="140" w:type="dxa"/>
            </w:tcMar>
          </w:tcPr>
          <w:p>
            <w:pPr>
              <w:spacing w:after="0" w:line="264" w:lineRule="auto"/>
            </w:pPr>
            <w:r>
              <w:rPr>
                <w:color w:val="475569"/>
                <w:sz w:val="17"/>
              </w:rPr>
              <w:t>Git + GitHub</w:t>
            </w:r>
          </w:p>
        </w:tc>
        <w:tc>
          <w:tcPr>
            <w:tcW w:type="dxa" w:w="3888"/>
            <w:shd w:fill="FFFFFF"/>
            <w:tcMar>
              <w:top w:w="100" w:type="dxa"/>
              <w:bottom w:w="100" w:type="dxa"/>
              <w:left w:w="140" w:type="dxa"/>
              <w:right w:w="140" w:type="dxa"/>
            </w:tcMar>
          </w:tcPr>
          <w:p>
            <w:pPr>
              <w:spacing w:after="0" w:line="264" w:lineRule="auto"/>
            </w:pPr>
            <w:r>
              <w:rPr>
                <w:color w:val="0F172A"/>
                <w:sz w:val="17"/>
              </w:rPr>
              <w:t>Git v2.4x local + Repositorio remoto en GitHub (`olmanmart162005/Pollo_Crispy`)</w:t>
            </w:r>
          </w:p>
        </w:tc>
      </w:tr>
      <w:tr>
        <w:tc>
          <w:tcPr>
            <w:tcW w:type="dxa" w:w="2592"/>
            <w:shd w:fill="F8FAFC"/>
            <w:tcMar>
              <w:top w:w="100" w:type="dxa"/>
              <w:bottom w:w="100" w:type="dxa"/>
              <w:left w:w="140" w:type="dxa"/>
              <w:right w:w="140" w:type="dxa"/>
            </w:tcMar>
          </w:tcPr>
          <w:p>
            <w:pPr>
              <w:spacing w:after="0" w:line="264" w:lineRule="auto"/>
            </w:pPr>
            <w:r>
              <w:rPr>
                <w:b/>
                <w:color w:val="0F172A"/>
                <w:sz w:val="17"/>
              </w:rPr>
              <w:t>Contenedores / Build</w:t>
            </w:r>
          </w:p>
        </w:tc>
        <w:tc>
          <w:tcPr>
            <w:tcW w:type="dxa" w:w="3312"/>
            <w:shd w:fill="F8FAFC"/>
            <w:tcMar>
              <w:top w:w="100" w:type="dxa"/>
              <w:bottom w:w="100" w:type="dxa"/>
              <w:left w:w="140" w:type="dxa"/>
              <w:right w:w="140" w:type="dxa"/>
            </w:tcMar>
          </w:tcPr>
          <w:p>
            <w:pPr>
              <w:spacing w:after="0" w:line="264" w:lineRule="auto"/>
            </w:pPr>
            <w:r>
              <w:rPr>
                <w:color w:val="475569"/>
                <w:sz w:val="17"/>
              </w:rPr>
              <w:t>Docker + Docker Compose</w:t>
            </w:r>
          </w:p>
        </w:tc>
        <w:tc>
          <w:tcPr>
            <w:tcW w:type="dxa" w:w="3888"/>
            <w:shd w:fill="F8FAFC"/>
            <w:tcMar>
              <w:top w:w="100" w:type="dxa"/>
              <w:bottom w:w="100" w:type="dxa"/>
              <w:left w:w="140" w:type="dxa"/>
              <w:right w:w="140" w:type="dxa"/>
            </w:tcMar>
          </w:tcPr>
          <w:p>
            <w:pPr>
              <w:spacing w:after="0" w:line="264" w:lineRule="auto"/>
            </w:pPr>
            <w:r>
              <w:rPr>
                <w:color w:val="0F172A"/>
                <w:sz w:val="17"/>
              </w:rPr>
              <w:t>Vercel Build Container (Sandboxing Linux Nix/Debian automatizado sin sobrecarga de gestión)</w:t>
            </w:r>
          </w:p>
        </w:tc>
      </w:tr>
      <w:tr>
        <w:tc>
          <w:tcPr>
            <w:tcW w:type="dxa" w:w="2592"/>
            <w:shd w:fill="FFFFFF"/>
            <w:tcMar>
              <w:top w:w="100" w:type="dxa"/>
              <w:bottom w:w="100" w:type="dxa"/>
              <w:left w:w="140" w:type="dxa"/>
              <w:right w:w="140" w:type="dxa"/>
            </w:tcMar>
          </w:tcPr>
          <w:p>
            <w:pPr>
              <w:spacing w:after="0" w:line="264" w:lineRule="auto"/>
            </w:pPr>
            <w:r>
              <w:rPr>
                <w:b/>
                <w:color w:val="0F172A"/>
                <w:sz w:val="17"/>
              </w:rPr>
              <w:t>Despliegue Demo / Prod</w:t>
            </w:r>
          </w:p>
        </w:tc>
        <w:tc>
          <w:tcPr>
            <w:tcW w:type="dxa" w:w="3312"/>
            <w:shd w:fill="FFFFFF"/>
            <w:tcMar>
              <w:top w:w="100" w:type="dxa"/>
              <w:bottom w:w="100" w:type="dxa"/>
              <w:left w:w="140" w:type="dxa"/>
              <w:right w:w="140" w:type="dxa"/>
            </w:tcMar>
          </w:tcPr>
          <w:p>
            <w:pPr>
              <w:spacing w:after="0" w:line="264" w:lineRule="auto"/>
            </w:pPr>
            <w:r>
              <w:rPr>
                <w:color w:val="475569"/>
                <w:sz w:val="17"/>
              </w:rPr>
              <w:t>Render, Railway o Docker local</w:t>
            </w:r>
          </w:p>
        </w:tc>
        <w:tc>
          <w:tcPr>
            <w:tcW w:type="dxa" w:w="3888"/>
            <w:shd w:fill="FFFFFF"/>
            <w:tcMar>
              <w:top w:w="100" w:type="dxa"/>
              <w:bottom w:w="100" w:type="dxa"/>
              <w:left w:w="140" w:type="dxa"/>
              <w:right w:w="140" w:type="dxa"/>
            </w:tcMar>
          </w:tcPr>
          <w:p>
            <w:pPr>
              <w:spacing w:after="0" w:line="264" w:lineRule="auto"/>
            </w:pPr>
            <w:r>
              <w:rPr>
                <w:color w:val="0F172A"/>
                <w:sz w:val="17"/>
              </w:rPr>
              <w:t>Vercel Edge Global Network (Hosting Web Frontend Gratuito) + Supabase Cloud Database</w:t>
            </w:r>
          </w:p>
        </w:tc>
      </w:tr>
    </w:tbl>
    <w:p>
      <w:pPr>
        <w:pStyle w:val="Heading1"/>
        <w:spacing w:before="360" w:after="80"/>
      </w:pPr>
      <w:r>
        <w:rPr>
          <w:b/>
          <w:color w:val="0F172A"/>
          <w:sz w:val="28"/>
        </w:rPr>
        <w:t>3. Matriz de Entornos Obligatorios: Desarrollo vs. Producción</w:t>
      </w:r>
    </w:p>
    <w:p>
      <w:pPr>
        <w:spacing w:after="200"/>
      </w:pPr>
      <w:r>
        <w:t>A continuación se presenta el desglose formal de cada componente del ciclo de vida del software, especificando las herramientas y configuraciones empleadas en la estación de trabajo y en el servidor de producción: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c>
          <w:tcPr>
            <w:tcW w:type="dxa" w:w="2592"/>
            <w:shd w:fill="C8102E"/>
            <w:tcMar>
              <w:top w:w="120" w:type="dxa"/>
              <w:bottom w:w="120" w:type="dxa"/>
              <w:left w:w="140" w:type="dxa"/>
              <w:right w:w="140" w:type="dxa"/>
            </w:tcMar>
          </w:tcPr>
          <w:p>
            <w:pPr>
              <w:jc w:val="left"/>
            </w:pPr>
            <w:r>
              <w:rPr>
                <w:b/>
                <w:color w:val="FFFFFF"/>
                <w:sz w:val="18"/>
              </w:rPr>
              <w:t>Componente</w:t>
            </w:r>
          </w:p>
        </w:tc>
        <w:tc>
          <w:tcPr>
            <w:tcW w:type="dxa" w:w="3600"/>
            <w:shd w:fill="C8102E"/>
            <w:tcMar>
              <w:top w:w="120" w:type="dxa"/>
              <w:bottom w:w="120" w:type="dxa"/>
              <w:left w:w="140" w:type="dxa"/>
              <w:right w:w="140" w:type="dxa"/>
            </w:tcMar>
          </w:tcPr>
          <w:p>
            <w:pPr>
              <w:jc w:val="left"/>
            </w:pPr>
            <w:r>
              <w:rPr>
                <w:b/>
                <w:color w:val="FFFFFF"/>
                <w:sz w:val="18"/>
              </w:rPr>
              <w:t>Entorno de Desarrollo (Local)</w:t>
            </w:r>
          </w:p>
        </w:tc>
        <w:tc>
          <w:tcPr>
            <w:tcW w:type="dxa" w:w="3600"/>
            <w:shd w:fill="C8102E"/>
            <w:tcMar>
              <w:top w:w="120" w:type="dxa"/>
              <w:bottom w:w="120" w:type="dxa"/>
              <w:left w:w="140" w:type="dxa"/>
              <w:right w:w="140" w:type="dxa"/>
            </w:tcMar>
          </w:tcPr>
          <w:p>
            <w:pPr>
              <w:jc w:val="left"/>
            </w:pPr>
            <w:r>
              <w:rPr>
                <w:b/>
                <w:color w:val="FFFFFF"/>
                <w:sz w:val="18"/>
              </w:rPr>
              <w:t>Entorno de Producción (Cloud / Vercel)</w:t>
            </w:r>
          </w:p>
        </w:tc>
      </w:tr>
      <w:tr>
        <w:tc>
          <w:tcPr>
            <w:tcW w:type="dxa" w:w="2592"/>
            <w:shd w:fill="FFFFFF"/>
            <w:tcMar>
              <w:top w:w="110" w:type="dxa"/>
              <w:bottom w:w="110" w:type="dxa"/>
              <w:left w:w="140" w:type="dxa"/>
              <w:right w:w="140" w:type="dxa"/>
            </w:tcMar>
          </w:tcPr>
          <w:p>
            <w:pPr>
              <w:spacing w:after="0" w:line="269" w:lineRule="auto"/>
            </w:pPr>
            <w:r>
              <w:rPr>
                <w:b/>
                <w:color w:val="0F172A"/>
                <w:sz w:val="17"/>
              </w:rPr>
              <w:t>1. Sistema Operativo</w:t>
            </w:r>
          </w:p>
        </w:tc>
        <w:tc>
          <w:tcPr>
            <w:tcW w:type="dxa" w:w="3600"/>
            <w:shd w:fill="FFFFFF"/>
            <w:tcMar>
              <w:top w:w="110" w:type="dxa"/>
              <w:bottom w:w="110" w:type="dxa"/>
              <w:left w:w="140" w:type="dxa"/>
              <w:right w:w="140" w:type="dxa"/>
            </w:tcMar>
          </w:tcPr>
          <w:p>
            <w:pPr>
              <w:spacing w:after="0" w:line="269" w:lineRule="auto"/>
            </w:pPr>
            <w:r>
              <w:rPr>
                <w:color w:val="334155"/>
                <w:sz w:val="17"/>
              </w:rPr>
              <w:t>Windows 11 / Windows 10 Pro (x64) con terminal PowerShell 7 y entorno local Node.js.</w:t>
            </w:r>
          </w:p>
        </w:tc>
        <w:tc>
          <w:tcPr>
            <w:tcW w:type="dxa" w:w="3600"/>
            <w:shd w:fill="FFFFFF"/>
            <w:tcMar>
              <w:top w:w="110" w:type="dxa"/>
              <w:bottom w:w="110" w:type="dxa"/>
              <w:left w:w="140" w:type="dxa"/>
              <w:right w:w="140" w:type="dxa"/>
            </w:tcMar>
          </w:tcPr>
          <w:p>
            <w:pPr>
              <w:spacing w:after="0" w:line="269" w:lineRule="auto"/>
            </w:pPr>
            <w:r>
              <w:rPr>
                <w:color w:val="334155"/>
                <w:sz w:val="17"/>
              </w:rPr>
              <w:t>Linux Serverless Containerizado (Vercel Anycast Edge Network distribuido en múltiples zonas geográficas).</w:t>
            </w:r>
          </w:p>
        </w:tc>
      </w:tr>
      <w:tr>
        <w:tc>
          <w:tcPr>
            <w:tcW w:type="dxa" w:w="2592"/>
            <w:shd w:fill="F8FAFC"/>
            <w:tcMar>
              <w:top w:w="110" w:type="dxa"/>
              <w:bottom w:w="110" w:type="dxa"/>
              <w:left w:w="140" w:type="dxa"/>
              <w:right w:w="140" w:type="dxa"/>
            </w:tcMar>
          </w:tcPr>
          <w:p>
            <w:pPr>
              <w:spacing w:after="0" w:line="269" w:lineRule="auto"/>
            </w:pPr>
            <w:r>
              <w:rPr>
                <w:b/>
                <w:color w:val="0F172A"/>
                <w:sz w:val="17"/>
              </w:rPr>
              <w:t>2. Control de Versiones</w:t>
            </w:r>
          </w:p>
        </w:tc>
        <w:tc>
          <w:tcPr>
            <w:tcW w:type="dxa" w:w="3600"/>
            <w:shd w:fill="F8FAFC"/>
            <w:tcMar>
              <w:top w:w="110" w:type="dxa"/>
              <w:bottom w:w="110" w:type="dxa"/>
              <w:left w:w="140" w:type="dxa"/>
              <w:right w:w="140" w:type="dxa"/>
            </w:tcMar>
          </w:tcPr>
          <w:p>
            <w:pPr>
              <w:spacing w:after="0" w:line="269" w:lineRule="auto"/>
            </w:pPr>
            <w:r>
              <w:rPr>
                <w:color w:val="334155"/>
                <w:sz w:val="17"/>
              </w:rPr>
              <w:t>Git v2.4x local: Ramas de desarrollo, confirmaciones atómicas, resolución de conflictos y staging de archivos.</w:t>
            </w:r>
          </w:p>
        </w:tc>
        <w:tc>
          <w:tcPr>
            <w:tcW w:type="dxa" w:w="3600"/>
            <w:shd w:fill="F8FAFC"/>
            <w:tcMar>
              <w:top w:w="110" w:type="dxa"/>
              <w:bottom w:w="110" w:type="dxa"/>
              <w:left w:w="140" w:type="dxa"/>
              <w:right w:w="140" w:type="dxa"/>
            </w:tcMar>
          </w:tcPr>
          <w:p>
            <w:pPr>
              <w:spacing w:after="0" w:line="269" w:lineRule="auto"/>
            </w:pPr>
            <w:r>
              <w:rPr>
                <w:color w:val="334155"/>
                <w:sz w:val="17"/>
              </w:rPr>
              <w:t>GitHub Cloud Repository (`olmanmart162005/Pollo_Crispy`) con Webhooks hacia el pipeline CI/CD de Vercel.</w:t>
            </w:r>
          </w:p>
        </w:tc>
      </w:tr>
      <w:tr>
        <w:tc>
          <w:tcPr>
            <w:tcW w:type="dxa" w:w="2592"/>
            <w:shd w:fill="FFFFFF"/>
            <w:tcMar>
              <w:top w:w="110" w:type="dxa"/>
              <w:bottom w:w="110" w:type="dxa"/>
              <w:left w:w="140" w:type="dxa"/>
              <w:right w:w="140" w:type="dxa"/>
            </w:tcMar>
          </w:tcPr>
          <w:p>
            <w:pPr>
              <w:spacing w:after="0" w:line="269" w:lineRule="auto"/>
            </w:pPr>
            <w:r>
              <w:rPr>
                <w:b/>
                <w:color w:val="0F172A"/>
                <w:sz w:val="17"/>
              </w:rPr>
              <w:t>3. Editor / IDE</w:t>
            </w:r>
          </w:p>
        </w:tc>
        <w:tc>
          <w:tcPr>
            <w:tcW w:type="dxa" w:w="3600"/>
            <w:shd w:fill="FFFFFF"/>
            <w:tcMar>
              <w:top w:w="110" w:type="dxa"/>
              <w:bottom w:w="110" w:type="dxa"/>
              <w:left w:w="140" w:type="dxa"/>
              <w:right w:w="140" w:type="dxa"/>
            </w:tcMar>
          </w:tcPr>
          <w:p>
            <w:pPr>
              <w:spacing w:after="0" w:line="269" w:lineRule="auto"/>
            </w:pPr>
            <w:r>
              <w:rPr>
                <w:color w:val="334155"/>
                <w:sz w:val="17"/>
              </w:rPr>
              <w:t>Visual Studio Code configurado con extensiones de TypeScript, Tailwind CSS IntelliSense, ESLint y Prettier.</w:t>
            </w:r>
          </w:p>
        </w:tc>
        <w:tc>
          <w:tcPr>
            <w:tcW w:type="dxa" w:w="3600"/>
            <w:shd w:fill="FFFFFF"/>
            <w:tcMar>
              <w:top w:w="110" w:type="dxa"/>
              <w:bottom w:w="110" w:type="dxa"/>
              <w:left w:w="140" w:type="dxa"/>
              <w:right w:w="140" w:type="dxa"/>
            </w:tcMar>
          </w:tcPr>
          <w:p>
            <w:pPr>
              <w:spacing w:after="0" w:line="269" w:lineRule="auto"/>
            </w:pPr>
            <w:r>
              <w:rPr>
                <w:color w:val="334155"/>
                <w:sz w:val="17"/>
              </w:rPr>
              <w:t>Pipeline Headless en servidores de Vercel que ejecutan validación de tipos (`tsc`) y minificación con Vite.</w:t>
            </w:r>
          </w:p>
        </w:tc>
      </w:tr>
      <w:tr>
        <w:tc>
          <w:tcPr>
            <w:tcW w:type="dxa" w:w="2592"/>
            <w:shd w:fill="F8FAFC"/>
            <w:tcMar>
              <w:top w:w="110" w:type="dxa"/>
              <w:bottom w:w="110" w:type="dxa"/>
              <w:left w:w="140" w:type="dxa"/>
              <w:right w:w="140" w:type="dxa"/>
            </w:tcMar>
          </w:tcPr>
          <w:p>
            <w:pPr>
              <w:spacing w:after="0" w:line="269" w:lineRule="auto"/>
            </w:pPr>
            <w:r>
              <w:rPr>
                <w:b/>
                <w:color w:val="0F172A"/>
                <w:sz w:val="17"/>
              </w:rPr>
              <w:t>4. Base de Datos</w:t>
            </w:r>
          </w:p>
        </w:tc>
        <w:tc>
          <w:tcPr>
            <w:tcW w:type="dxa" w:w="3600"/>
            <w:shd w:fill="F8FAFC"/>
            <w:tcMar>
              <w:top w:w="110" w:type="dxa"/>
              <w:bottom w:w="110" w:type="dxa"/>
              <w:left w:w="140" w:type="dxa"/>
              <w:right w:w="140" w:type="dxa"/>
            </w:tcMar>
          </w:tcPr>
          <w:p>
            <w:pPr>
              <w:spacing w:after="0" w:line="269" w:lineRule="auto"/>
            </w:pPr>
            <w:r>
              <w:rPr>
                <w:color w:val="334155"/>
                <w:sz w:val="17"/>
              </w:rPr>
              <w:t>Supabase Local / Supabase Cloud PostgreSQL 15+ ejecutando scripts SQL de migración y vistas analíticas.</w:t>
            </w:r>
          </w:p>
        </w:tc>
        <w:tc>
          <w:tcPr>
            <w:tcW w:type="dxa" w:w="3600"/>
            <w:shd w:fill="F8FAFC"/>
            <w:tcMar>
              <w:top w:w="110" w:type="dxa"/>
              <w:bottom w:w="110" w:type="dxa"/>
              <w:left w:w="140" w:type="dxa"/>
              <w:right w:w="140" w:type="dxa"/>
            </w:tcMar>
          </w:tcPr>
          <w:p>
            <w:pPr>
              <w:spacing w:after="0" w:line="269" w:lineRule="auto"/>
            </w:pPr>
            <w:r>
              <w:rPr>
                <w:color w:val="334155"/>
                <w:sz w:val="17"/>
              </w:rPr>
              <w:t>Supabase Cloud Enterprise PostgreSQL: Base de datos transaccional ACID, Row Level Security (RLS) y backup continuo.</w:t>
            </w:r>
          </w:p>
        </w:tc>
      </w:tr>
      <w:tr>
        <w:tc>
          <w:tcPr>
            <w:tcW w:type="dxa" w:w="2592"/>
            <w:shd w:fill="FFFFFF"/>
            <w:tcMar>
              <w:top w:w="110" w:type="dxa"/>
              <w:bottom w:w="110" w:type="dxa"/>
              <w:left w:w="140" w:type="dxa"/>
              <w:right w:w="140" w:type="dxa"/>
            </w:tcMar>
          </w:tcPr>
          <w:p>
            <w:pPr>
              <w:spacing w:after="0" w:line="269" w:lineRule="auto"/>
            </w:pPr>
            <w:r>
              <w:rPr>
                <w:b/>
                <w:color w:val="0F172A"/>
                <w:sz w:val="17"/>
              </w:rPr>
              <w:t>5. Gestión de Dependencias</w:t>
            </w:r>
          </w:p>
        </w:tc>
        <w:tc>
          <w:tcPr>
            <w:tcW w:type="dxa" w:w="3600"/>
            <w:shd w:fill="FFFFFF"/>
            <w:tcMar>
              <w:top w:w="110" w:type="dxa"/>
              <w:bottom w:w="110" w:type="dxa"/>
              <w:left w:w="140" w:type="dxa"/>
              <w:right w:w="140" w:type="dxa"/>
            </w:tcMar>
          </w:tcPr>
          <w:p>
            <w:pPr>
              <w:spacing w:after="0" w:line="269" w:lineRule="auto"/>
            </w:pPr>
            <w:r>
              <w:rPr>
                <w:color w:val="334155"/>
                <w:sz w:val="17"/>
              </w:rPr>
              <w:t>Node.js v20.x LTS y npm v10.x con bloqueo de dependencias determinista mediante `package-lock.json`.</w:t>
            </w:r>
          </w:p>
        </w:tc>
        <w:tc>
          <w:tcPr>
            <w:tcW w:type="dxa" w:w="3600"/>
            <w:shd w:fill="FFFFFF"/>
            <w:tcMar>
              <w:top w:w="110" w:type="dxa"/>
              <w:bottom w:w="110" w:type="dxa"/>
              <w:left w:w="140" w:type="dxa"/>
              <w:right w:w="140" w:type="dxa"/>
            </w:tcMar>
          </w:tcPr>
          <w:p>
            <w:pPr>
              <w:spacing w:after="0" w:line="269" w:lineRule="auto"/>
            </w:pPr>
            <w:r>
              <w:rPr>
                <w:color w:val="334155"/>
                <w:sz w:val="17"/>
              </w:rPr>
              <w:t>Entorno de compilación Vercel ejecutando `npm ci` con caché distribuida para builds de menos de 45 segundos.</w:t>
            </w:r>
          </w:p>
        </w:tc>
      </w:tr>
      <w:tr>
        <w:tc>
          <w:tcPr>
            <w:tcW w:type="dxa" w:w="2592"/>
            <w:shd w:fill="F8FAFC"/>
            <w:tcMar>
              <w:top w:w="110" w:type="dxa"/>
              <w:bottom w:w="110" w:type="dxa"/>
              <w:left w:w="140" w:type="dxa"/>
              <w:right w:w="140" w:type="dxa"/>
            </w:tcMar>
          </w:tcPr>
          <w:p>
            <w:pPr>
              <w:spacing w:after="0" w:line="269" w:lineRule="auto"/>
            </w:pPr>
            <w:r>
              <w:rPr>
                <w:b/>
                <w:color w:val="0F172A"/>
                <w:sz w:val="17"/>
              </w:rPr>
              <w:t>6. Documentación &amp; Pruebas</w:t>
            </w:r>
          </w:p>
        </w:tc>
        <w:tc>
          <w:tcPr>
            <w:tcW w:type="dxa" w:w="3600"/>
            <w:shd w:fill="F8FAFC"/>
            <w:tcMar>
              <w:top w:w="110" w:type="dxa"/>
              <w:bottom w:w="110" w:type="dxa"/>
              <w:left w:w="140" w:type="dxa"/>
              <w:right w:w="140" w:type="dxa"/>
            </w:tcMar>
          </w:tcPr>
          <w:p>
            <w:pPr>
              <w:spacing w:after="0" w:line="269" w:lineRule="auto"/>
            </w:pPr>
            <w:r>
              <w:rPr>
                <w:color w:val="334155"/>
                <w:sz w:val="17"/>
              </w:rPr>
              <w:t>TypeScript 5.6 con verificación estricta (`strict: true`), ESLint 9 para análisis estático y pruebas manuales de flujo POS.</w:t>
            </w:r>
          </w:p>
        </w:tc>
        <w:tc>
          <w:tcPr>
            <w:tcW w:type="dxa" w:w="3600"/>
            <w:shd w:fill="F8FAFC"/>
            <w:tcMar>
              <w:top w:w="110" w:type="dxa"/>
              <w:bottom w:w="110" w:type="dxa"/>
              <w:left w:w="140" w:type="dxa"/>
              <w:right w:w="140" w:type="dxa"/>
            </w:tcMar>
          </w:tcPr>
          <w:p>
            <w:pPr>
              <w:spacing w:after="0" w:line="269" w:lineRule="auto"/>
            </w:pPr>
            <w:r>
              <w:rPr>
                <w:color w:val="334155"/>
                <w:sz w:val="17"/>
              </w:rPr>
              <w:t>Verificación de compilación Vercel (falla de despliegue si hay errores de tipos), auditoría interna (`audit_logs`) y logs de producción.</w:t>
            </w:r>
          </w:p>
        </w:tc>
      </w:tr>
      <w:tr>
        <w:tc>
          <w:tcPr>
            <w:tcW w:type="dxa" w:w="2592"/>
            <w:shd w:fill="FFFFFF"/>
            <w:tcMar>
              <w:top w:w="110" w:type="dxa"/>
              <w:bottom w:w="110" w:type="dxa"/>
              <w:left w:w="140" w:type="dxa"/>
              <w:right w:w="140" w:type="dxa"/>
            </w:tcMar>
          </w:tcPr>
          <w:p>
            <w:pPr>
              <w:spacing w:after="0" w:line="269" w:lineRule="auto"/>
            </w:pPr>
            <w:r>
              <w:rPr>
                <w:b/>
                <w:color w:val="0F172A"/>
                <w:sz w:val="17"/>
              </w:rPr>
              <w:t>7. Despliegue &amp; Hosting</w:t>
            </w:r>
          </w:p>
        </w:tc>
        <w:tc>
          <w:tcPr>
            <w:tcW w:type="dxa" w:w="3600"/>
            <w:shd w:fill="FFFFFF"/>
            <w:tcMar>
              <w:top w:w="110" w:type="dxa"/>
              <w:bottom w:w="110" w:type="dxa"/>
              <w:left w:w="140" w:type="dxa"/>
              <w:right w:w="140" w:type="dxa"/>
            </w:tcMar>
          </w:tcPr>
          <w:p>
            <w:pPr>
              <w:spacing w:after="0" w:line="269" w:lineRule="auto"/>
            </w:pPr>
            <w:r>
              <w:rPr>
                <w:color w:val="334155"/>
                <w:sz w:val="17"/>
              </w:rPr>
              <w:t>Servidor de desarrollo Vite (`localhost:3000`) con soporte Hot Module Replacement (HMR) y recarga instantánea.</w:t>
            </w:r>
          </w:p>
        </w:tc>
        <w:tc>
          <w:tcPr>
            <w:tcW w:type="dxa" w:w="3600"/>
            <w:shd w:fill="FFFFFF"/>
            <w:tcMar>
              <w:top w:w="110" w:type="dxa"/>
              <w:bottom w:w="110" w:type="dxa"/>
              <w:left w:w="140" w:type="dxa"/>
              <w:right w:w="140" w:type="dxa"/>
            </w:tcMar>
          </w:tcPr>
          <w:p>
            <w:pPr>
              <w:spacing w:after="0" w:line="269" w:lineRule="auto"/>
            </w:pPr>
            <w:r>
              <w:rPr>
                <w:color w:val="334155"/>
                <w:sz w:val="17"/>
              </w:rPr>
              <w:t>Vercel Production Hosting (Free Tier) con CDN Anycast mundial, compresión Brotli, y enrutamiento SPA mediante `vercel.json`.</w:t>
            </w:r>
          </w:p>
        </w:tc>
      </w:tr>
    </w:tbl>
    <w:p>
      <w:pPr>
        <w:pStyle w:val="Heading1"/>
        <w:spacing w:before="360" w:after="80"/>
      </w:pPr>
      <w:r>
        <w:rPr>
          <w:b/>
          <w:color w:val="0F172A"/>
          <w:sz w:val="28"/>
        </w:rPr>
        <w:t>4. Arquitectura de Despliegue Web Gratuito con Vercel</w:t>
      </w:r>
    </w:p>
    <w:p>
      <w:pPr>
        <w:spacing w:after="160" w:line="276" w:lineRule="auto"/>
      </w:pPr>
      <w:r>
        <w:t xml:space="preserve">Para la publicación y acceso web del sistema, se eligió </w:t>
      </w:r>
      <w:r>
        <w:rPr>
          <w:b/>
        </w:rPr>
        <w:t>Vercel</w:t>
      </w:r>
      <w:r>
        <w:t xml:space="preserve"> como plataforma de alojamiento y distribución en la nube bajo su plan Hobby (100% gratuito de por vida). Esta decisión técnica ofrece ventajas sustanciales respecto a servidores VPS convencionales:</w:t>
      </w:r>
    </w:p>
    <w:p>
      <w:pPr>
        <w:pStyle w:val="ListBullet"/>
        <w:spacing w:after="80" w:line="269" w:lineRule="auto"/>
      </w:pPr>
      <w:r>
        <w:rPr>
          <w:b/>
          <w:color w:val="0F172A"/>
        </w:rPr>
        <w:t xml:space="preserve">Costo Cero Permanente ($0.00 USD/mes): </w:t>
      </w:r>
      <w:r>
        <w:rPr>
          <w:color w:val="475569"/>
          <w:sz w:val="19"/>
        </w:rPr>
        <w:t>Vercel provee 100 GB de ancho de banda mensual, ejecuciones de despliegue ilimitadas desde GitHub y alojamiento sin costo para proyectos personales y de demostración empresarial.</w:t>
      </w:r>
    </w:p>
    <w:p>
      <w:pPr>
        <w:pStyle w:val="ListBullet"/>
        <w:spacing w:after="80" w:line="269" w:lineRule="auto"/>
      </w:pPr>
      <w:r>
        <w:rPr>
          <w:b/>
          <w:color w:val="0F172A"/>
        </w:rPr>
        <w:t xml:space="preserve">Enrutamiento SPA Resiliente (`vercel.json`): </w:t>
      </w:r>
      <w:r>
        <w:rPr>
          <w:color w:val="475569"/>
          <w:sz w:val="19"/>
        </w:rPr>
        <w:t>Al tratarse de una Single Page Application con React Router, se incorporó en la raíz del repositorio el archivo de configuración `vercel.json` con reescritura hacia `index.html`, evitando el común error 404 cuando el usuario recarga la página en rutas internas (`/inventario`, `/gastos`, `/caja`).</w:t>
      </w:r>
    </w:p>
    <w:p>
      <w:pPr>
        <w:pStyle w:val="ListBullet"/>
        <w:spacing w:after="80" w:line="269" w:lineRule="auto"/>
      </w:pPr>
      <w:r>
        <w:rPr>
          <w:b/>
          <w:color w:val="0F172A"/>
        </w:rPr>
        <w:t xml:space="preserve">Integración Continua y Despliegue Continuo (CI/CD): </w:t>
      </w:r>
      <w:r>
        <w:rPr>
          <w:color w:val="475569"/>
          <w:sz w:val="19"/>
        </w:rPr>
        <w:t>Cada `git push` a la rama `main` de GitHub desencadena automáticamente un proceso de build en los servidores de Vercel. Si el código pasa las pruebas de TypeScript, se despliega a producción en menos de 45 segundos.</w:t>
      </w:r>
    </w:p>
    <w:p>
      <w:pPr>
        <w:pStyle w:val="ListBullet"/>
        <w:spacing w:after="80" w:line="269" w:lineRule="auto"/>
      </w:pPr>
      <w:r>
        <w:rPr>
          <w:b/>
          <w:color w:val="0F172A"/>
        </w:rPr>
        <w:t xml:space="preserve">Certificación SSL y Dominio Seguro Automático: </w:t>
      </w:r>
      <w:r>
        <w:rPr>
          <w:color w:val="475569"/>
          <w:sz w:val="19"/>
        </w:rPr>
        <w:t>Vercel aprovisiona de forma instantánea certificados TLS/SSL de Let's Encrypt con renovación automática y soporte para dominios personalizados o subdominios gratuitos `*.vercel.app`.</w:t>
      </w:r>
    </w:p>
    <w:p>
      <w:pPr>
        <w:pStyle w:val="ListBullet"/>
        <w:spacing w:after="80" w:line="269" w:lineRule="auto"/>
      </w:pPr>
      <w:r>
        <w:rPr>
          <w:b/>
          <w:color w:val="0F172A"/>
        </w:rPr>
        <w:t xml:space="preserve">Rendimiento Edge y Cache Global: </w:t>
      </w:r>
      <w:r>
        <w:rPr>
          <w:color w:val="475569"/>
          <w:sz w:val="19"/>
        </w:rPr>
        <w:t>Los assets estáticos (JS, CSS, imágenes) se replican en más de 100 centros de datos globales (Edge Anycast), logrando tiempos de carga inicial inferiores a 500 milisegundos en cualquier sucursal.</w:t>
      </w:r>
    </w:p>
    <w:p>
      <w:pPr>
        <w:pStyle w:val="Heading1"/>
        <w:spacing w:before="320" w:after="80"/>
      </w:pPr>
      <w:r>
        <w:rPr>
          <w:b/>
          <w:color w:val="0F172A"/>
          <w:sz w:val="28"/>
        </w:rPr>
        <w:t>5. Tabla de Costos de Operación e Infraestructura Cloud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48"/>
        <w:gridCol w:w="2448"/>
        <w:gridCol w:w="2448"/>
        <w:gridCol w:w="2448"/>
      </w:tblGrid>
      <w:tr>
        <w:tc>
          <w:tcPr>
            <w:tcW w:type="dxa" w:w="2592"/>
            <w:shd w:fill="1E293B"/>
            <w:tcMar>
              <w:top w:w="110" w:type="dxa"/>
              <w:bottom w:w="110" w:type="dxa"/>
              <w:left w:w="130" w:type="dxa"/>
              <w:right w:w="130" w:type="dxa"/>
            </w:tcMar>
          </w:tcPr>
          <w:p>
            <w:pPr>
              <w:jc w:val="left"/>
            </w:pPr>
            <w:r>
              <w:rPr>
                <w:b/>
                <w:color w:val="FFFFFF"/>
                <w:sz w:val="18"/>
              </w:rPr>
              <w:t>Servicio / Plataforma</w:t>
            </w:r>
          </w:p>
        </w:tc>
        <w:tc>
          <w:tcPr>
            <w:tcW w:type="dxa" w:w="3168"/>
            <w:shd w:fill="1E293B"/>
            <w:tcMar>
              <w:top w:w="110" w:type="dxa"/>
              <w:bottom w:w="110" w:type="dxa"/>
              <w:left w:w="130" w:type="dxa"/>
              <w:right w:w="130" w:type="dxa"/>
            </w:tcMar>
          </w:tcPr>
          <w:p>
            <w:pPr>
              <w:jc w:val="left"/>
            </w:pPr>
            <w:r>
              <w:rPr>
                <w:b/>
                <w:color w:val="FFFFFF"/>
                <w:sz w:val="18"/>
              </w:rPr>
              <w:t>Función en el Sistema</w:t>
            </w:r>
          </w:p>
        </w:tc>
        <w:tc>
          <w:tcPr>
            <w:tcW w:type="dxa" w:w="2592"/>
            <w:shd w:fill="1E293B"/>
            <w:tcMar>
              <w:top w:w="110" w:type="dxa"/>
              <w:bottom w:w="110" w:type="dxa"/>
              <w:left w:w="130" w:type="dxa"/>
              <w:right w:w="130" w:type="dxa"/>
            </w:tcMar>
          </w:tcPr>
          <w:p>
            <w:pPr>
              <w:jc w:val="left"/>
            </w:pPr>
            <w:r>
              <w:rPr>
                <w:b/>
                <w:color w:val="FFFFFF"/>
                <w:sz w:val="18"/>
              </w:rPr>
              <w:t>Límites del Plan Gratuito</w:t>
            </w:r>
          </w:p>
        </w:tc>
        <w:tc>
          <w:tcPr>
            <w:tcW w:type="dxa" w:w="1440"/>
            <w:shd w:fill="1E293B"/>
            <w:tcMar>
              <w:top w:w="110" w:type="dxa"/>
              <w:bottom w:w="110" w:type="dxa"/>
              <w:left w:w="130" w:type="dxa"/>
              <w:right w:w="130" w:type="dxa"/>
            </w:tcMar>
          </w:tcPr>
          <w:p>
            <w:pPr>
              <w:jc w:val="left"/>
            </w:pPr>
            <w:r>
              <w:rPr>
                <w:b/>
                <w:color w:val="FFFFFF"/>
                <w:sz w:val="18"/>
              </w:rPr>
              <w:t>Costo Mensual</w:t>
            </w:r>
          </w:p>
        </w:tc>
      </w:tr>
      <w:tr>
        <w:tc>
          <w:tcPr>
            <w:tcW w:type="dxa" w:w="2592"/>
            <w:shd w:fill="FFFFFF"/>
            <w:tcMar>
              <w:top w:w="100" w:type="dxa"/>
              <w:bottom w:w="100" w:type="dxa"/>
              <w:left w:w="130" w:type="dxa"/>
              <w:right w:w="130" w:type="dxa"/>
            </w:tcMar>
          </w:tcPr>
          <w:p>
            <w:pPr>
              <w:spacing w:after="0" w:line="264" w:lineRule="auto"/>
            </w:pPr>
            <w:r>
              <w:rPr>
                <w:b/>
                <w:color w:val="0F172A"/>
                <w:sz w:val="17"/>
              </w:rPr>
              <w:t>Vercel Hosting</w:t>
            </w:r>
          </w:p>
        </w:tc>
        <w:tc>
          <w:tcPr>
            <w:tcW w:type="dxa" w:w="3168"/>
            <w:shd w:fill="FFFFFF"/>
            <w:tcMar>
              <w:top w:w="100" w:type="dxa"/>
              <w:bottom w:w="100" w:type="dxa"/>
              <w:left w:w="130" w:type="dxa"/>
              <w:right w:w="130" w:type="dxa"/>
            </w:tcMar>
          </w:tcPr>
          <w:p>
            <w:pPr>
              <w:spacing w:after="0" w:line="264" w:lineRule="auto"/>
            </w:pPr>
            <w:r>
              <w:rPr>
                <w:sz w:val="17"/>
              </w:rPr>
              <w:t>Alojamiento Web Frontend, CI/CD, Edge CDN</w:t>
            </w:r>
          </w:p>
        </w:tc>
        <w:tc>
          <w:tcPr>
            <w:tcW w:type="dxa" w:w="2592"/>
            <w:shd w:fill="FFFFFF"/>
            <w:tcMar>
              <w:top w:w="100" w:type="dxa"/>
              <w:bottom w:w="100" w:type="dxa"/>
              <w:left w:w="130" w:type="dxa"/>
              <w:right w:w="130" w:type="dxa"/>
            </w:tcMar>
          </w:tcPr>
          <w:p>
            <w:pPr>
              <w:spacing w:after="0" w:line="264" w:lineRule="auto"/>
            </w:pPr>
            <w:r>
              <w:rPr>
                <w:sz w:val="17"/>
              </w:rPr>
              <w:t>100 GB tráfico / mes, Builds ilimitados</w:t>
            </w:r>
          </w:p>
        </w:tc>
        <w:tc>
          <w:tcPr>
            <w:tcW w:type="dxa" w:w="1440"/>
            <w:shd w:fill="FFFFFF"/>
            <w:tcMar>
              <w:top w:w="100" w:type="dxa"/>
              <w:bottom w:w="100" w:type="dxa"/>
              <w:left w:w="130" w:type="dxa"/>
              <w:right w:w="130" w:type="dxa"/>
            </w:tcMar>
          </w:tcPr>
          <w:p>
            <w:pPr>
              <w:spacing w:after="0" w:line="264" w:lineRule="auto"/>
            </w:pPr>
            <w:r>
              <w:rPr>
                <w:b/>
                <w:color w:val="0F172A"/>
                <w:sz w:val="17"/>
              </w:rPr>
              <w:t>$0.00 USD</w:t>
            </w:r>
          </w:p>
        </w:tc>
      </w:tr>
      <w:tr>
        <w:tc>
          <w:tcPr>
            <w:tcW w:type="dxa" w:w="2592"/>
            <w:shd w:fill="F8FAFC"/>
            <w:tcMar>
              <w:top w:w="100" w:type="dxa"/>
              <w:bottom w:w="100" w:type="dxa"/>
              <w:left w:w="130" w:type="dxa"/>
              <w:right w:w="130" w:type="dxa"/>
            </w:tcMar>
          </w:tcPr>
          <w:p>
            <w:pPr>
              <w:spacing w:after="0" w:line="264" w:lineRule="auto"/>
            </w:pPr>
            <w:r>
              <w:rPr>
                <w:b/>
                <w:color w:val="0F172A"/>
                <w:sz w:val="17"/>
              </w:rPr>
              <w:t>Supabase Cloud</w:t>
            </w:r>
          </w:p>
        </w:tc>
        <w:tc>
          <w:tcPr>
            <w:tcW w:type="dxa" w:w="3168"/>
            <w:shd w:fill="F8FAFC"/>
            <w:tcMar>
              <w:top w:w="100" w:type="dxa"/>
              <w:bottom w:w="100" w:type="dxa"/>
              <w:left w:w="130" w:type="dxa"/>
              <w:right w:w="130" w:type="dxa"/>
            </w:tcMar>
          </w:tcPr>
          <w:p>
            <w:pPr>
              <w:spacing w:after="0" w:line="264" w:lineRule="auto"/>
            </w:pPr>
            <w:r>
              <w:rPr>
                <w:sz w:val="17"/>
              </w:rPr>
              <w:t>Base de datos PostgreSQL, Auth, PostgREST API</w:t>
            </w:r>
          </w:p>
        </w:tc>
        <w:tc>
          <w:tcPr>
            <w:tcW w:type="dxa" w:w="2592"/>
            <w:shd w:fill="F8FAFC"/>
            <w:tcMar>
              <w:top w:w="100" w:type="dxa"/>
              <w:bottom w:w="100" w:type="dxa"/>
              <w:left w:w="130" w:type="dxa"/>
              <w:right w:w="130" w:type="dxa"/>
            </w:tcMar>
          </w:tcPr>
          <w:p>
            <w:pPr>
              <w:spacing w:after="0" w:line="264" w:lineRule="auto"/>
            </w:pPr>
            <w:r>
              <w:rPr>
                <w:sz w:val="17"/>
              </w:rPr>
              <w:t>500 MB base de datos, 50,000 MAU</w:t>
            </w:r>
          </w:p>
        </w:tc>
        <w:tc>
          <w:tcPr>
            <w:tcW w:type="dxa" w:w="1440"/>
            <w:shd w:fill="F8FAFC"/>
            <w:tcMar>
              <w:top w:w="100" w:type="dxa"/>
              <w:bottom w:w="100" w:type="dxa"/>
              <w:left w:w="130" w:type="dxa"/>
              <w:right w:w="130" w:type="dxa"/>
            </w:tcMar>
          </w:tcPr>
          <w:p>
            <w:pPr>
              <w:spacing w:after="0" w:line="264" w:lineRule="auto"/>
            </w:pPr>
            <w:r>
              <w:rPr>
                <w:b/>
                <w:color w:val="0F172A"/>
                <w:sz w:val="17"/>
              </w:rPr>
              <w:t>$0.00 USD</w:t>
            </w:r>
          </w:p>
        </w:tc>
      </w:tr>
      <w:tr>
        <w:tc>
          <w:tcPr>
            <w:tcW w:type="dxa" w:w="2592"/>
            <w:shd w:fill="FFFFFF"/>
            <w:tcMar>
              <w:top w:w="100" w:type="dxa"/>
              <w:bottom w:w="100" w:type="dxa"/>
              <w:left w:w="130" w:type="dxa"/>
              <w:right w:w="130" w:type="dxa"/>
            </w:tcMar>
          </w:tcPr>
          <w:p>
            <w:pPr>
              <w:spacing w:after="0" w:line="264" w:lineRule="auto"/>
            </w:pPr>
            <w:r>
              <w:rPr>
                <w:b/>
                <w:color w:val="0F172A"/>
                <w:sz w:val="17"/>
              </w:rPr>
              <w:t>GitHub Cloud</w:t>
            </w:r>
          </w:p>
        </w:tc>
        <w:tc>
          <w:tcPr>
            <w:tcW w:type="dxa" w:w="3168"/>
            <w:shd w:fill="FFFFFF"/>
            <w:tcMar>
              <w:top w:w="100" w:type="dxa"/>
              <w:bottom w:w="100" w:type="dxa"/>
              <w:left w:w="130" w:type="dxa"/>
              <w:right w:w="130" w:type="dxa"/>
            </w:tcMar>
          </w:tcPr>
          <w:p>
            <w:pPr>
              <w:spacing w:after="0" w:line="264" w:lineRule="auto"/>
            </w:pPr>
            <w:r>
              <w:rPr>
                <w:sz w:val="17"/>
              </w:rPr>
              <w:t>Control de versiones, almacenamiento de código</w:t>
            </w:r>
          </w:p>
        </w:tc>
        <w:tc>
          <w:tcPr>
            <w:tcW w:type="dxa" w:w="2592"/>
            <w:shd w:fill="FFFFFF"/>
            <w:tcMar>
              <w:top w:w="100" w:type="dxa"/>
              <w:bottom w:w="100" w:type="dxa"/>
              <w:left w:w="130" w:type="dxa"/>
              <w:right w:w="130" w:type="dxa"/>
            </w:tcMar>
          </w:tcPr>
          <w:p>
            <w:pPr>
              <w:spacing w:after="0" w:line="264" w:lineRule="auto"/>
            </w:pPr>
            <w:r>
              <w:rPr>
                <w:sz w:val="17"/>
              </w:rPr>
              <w:t>Repositorios públicos/privados ilimitados</w:t>
            </w:r>
          </w:p>
        </w:tc>
        <w:tc>
          <w:tcPr>
            <w:tcW w:type="dxa" w:w="1440"/>
            <w:shd w:fill="FFFFFF"/>
            <w:tcMar>
              <w:top w:w="100" w:type="dxa"/>
              <w:bottom w:w="100" w:type="dxa"/>
              <w:left w:w="130" w:type="dxa"/>
              <w:right w:w="130" w:type="dxa"/>
            </w:tcMar>
          </w:tcPr>
          <w:p>
            <w:pPr>
              <w:spacing w:after="0" w:line="264" w:lineRule="auto"/>
            </w:pPr>
            <w:r>
              <w:rPr>
                <w:b/>
                <w:color w:val="0F172A"/>
                <w:sz w:val="17"/>
              </w:rPr>
              <w:t>$0.00 USD</w:t>
            </w:r>
          </w:p>
        </w:tc>
      </w:tr>
      <w:tr>
        <w:tc>
          <w:tcPr>
            <w:tcW w:type="dxa" w:w="2592"/>
            <w:shd w:fill="F8FAFC"/>
            <w:tcMar>
              <w:top w:w="100" w:type="dxa"/>
              <w:bottom w:w="100" w:type="dxa"/>
              <w:left w:w="130" w:type="dxa"/>
              <w:right w:w="130" w:type="dxa"/>
            </w:tcMar>
          </w:tcPr>
          <w:p>
            <w:pPr>
              <w:spacing w:after="0" w:line="264" w:lineRule="auto"/>
            </w:pPr>
            <w:r>
              <w:rPr>
                <w:b/>
                <w:color w:val="0F172A"/>
                <w:sz w:val="17"/>
              </w:rPr>
              <w:t>Let's Encrypt / SSL</w:t>
            </w:r>
          </w:p>
        </w:tc>
        <w:tc>
          <w:tcPr>
            <w:tcW w:type="dxa" w:w="3168"/>
            <w:shd w:fill="F8FAFC"/>
            <w:tcMar>
              <w:top w:w="100" w:type="dxa"/>
              <w:bottom w:w="100" w:type="dxa"/>
              <w:left w:w="130" w:type="dxa"/>
              <w:right w:w="130" w:type="dxa"/>
            </w:tcMar>
          </w:tcPr>
          <w:p>
            <w:pPr>
              <w:spacing w:after="0" w:line="264" w:lineRule="auto"/>
            </w:pPr>
            <w:r>
              <w:rPr>
                <w:sz w:val="17"/>
              </w:rPr>
              <w:t>Cifrado HTTPS y seguridad en tránsito</w:t>
            </w:r>
          </w:p>
        </w:tc>
        <w:tc>
          <w:tcPr>
            <w:tcW w:type="dxa" w:w="2592"/>
            <w:shd w:fill="F8FAFC"/>
            <w:tcMar>
              <w:top w:w="100" w:type="dxa"/>
              <w:bottom w:w="100" w:type="dxa"/>
              <w:left w:w="130" w:type="dxa"/>
              <w:right w:w="130" w:type="dxa"/>
            </w:tcMar>
          </w:tcPr>
          <w:p>
            <w:pPr>
              <w:spacing w:after="0" w:line="264" w:lineRule="auto"/>
            </w:pPr>
            <w:r>
              <w:rPr>
                <w:sz w:val="17"/>
              </w:rPr>
              <w:t>Certificados SSL/TLS renovables</w:t>
            </w:r>
          </w:p>
        </w:tc>
        <w:tc>
          <w:tcPr>
            <w:tcW w:type="dxa" w:w="1440"/>
            <w:shd w:fill="F8FAFC"/>
            <w:tcMar>
              <w:top w:w="100" w:type="dxa"/>
              <w:bottom w:w="100" w:type="dxa"/>
              <w:left w:w="130" w:type="dxa"/>
              <w:right w:w="130" w:type="dxa"/>
            </w:tcMar>
          </w:tcPr>
          <w:p>
            <w:pPr>
              <w:spacing w:after="0" w:line="264" w:lineRule="auto"/>
            </w:pPr>
            <w:r>
              <w:rPr>
                <w:b/>
                <w:color w:val="0F172A"/>
                <w:sz w:val="17"/>
              </w:rPr>
              <w:t>$0.00 USD</w:t>
            </w:r>
          </w:p>
        </w:tc>
      </w:tr>
      <w:tr>
        <w:tc>
          <w:tcPr>
            <w:tcW w:type="dxa" w:w="2592"/>
            <w:shd w:fill="E2E8F0"/>
            <w:tcMar>
              <w:top w:w="100" w:type="dxa"/>
              <w:bottom w:w="100" w:type="dxa"/>
              <w:left w:w="130" w:type="dxa"/>
              <w:right w:w="130" w:type="dxa"/>
            </w:tcMar>
          </w:tcPr>
          <w:p>
            <w:pPr>
              <w:spacing w:after="0" w:line="264" w:lineRule="auto"/>
            </w:pPr>
            <w:r>
              <w:rPr>
                <w:b/>
                <w:color w:val="0F172A"/>
                <w:sz w:val="17"/>
              </w:rPr>
              <w:t>TOTAL MENSUAL</w:t>
            </w:r>
          </w:p>
        </w:tc>
        <w:tc>
          <w:tcPr>
            <w:tcW w:type="dxa" w:w="3168"/>
            <w:shd w:fill="E2E8F0"/>
            <w:tcMar>
              <w:top w:w="100" w:type="dxa"/>
              <w:bottom w:w="100" w:type="dxa"/>
              <w:left w:w="130" w:type="dxa"/>
              <w:right w:w="130" w:type="dxa"/>
            </w:tcMar>
          </w:tcPr>
          <w:p>
            <w:pPr>
              <w:spacing w:after="0" w:line="264" w:lineRule="auto"/>
            </w:pPr>
            <w:r>
              <w:rPr>
                <w:b/>
                <w:color w:val="0F172A"/>
                <w:sz w:val="17"/>
              </w:rPr>
              <w:t>Infraestructura Cloud Completa</w:t>
            </w:r>
          </w:p>
        </w:tc>
        <w:tc>
          <w:tcPr>
            <w:tcW w:type="dxa" w:w="2592"/>
            <w:shd w:fill="E2E8F0"/>
            <w:tcMar>
              <w:top w:w="100" w:type="dxa"/>
              <w:bottom w:w="100" w:type="dxa"/>
              <w:left w:w="130" w:type="dxa"/>
              <w:right w:w="130" w:type="dxa"/>
            </w:tcMar>
          </w:tcPr>
          <w:p>
            <w:pPr>
              <w:spacing w:after="0" w:line="264" w:lineRule="auto"/>
            </w:pPr>
            <w:r>
              <w:rPr>
                <w:b/>
                <w:color w:val="0F172A"/>
                <w:sz w:val="17"/>
              </w:rPr>
              <w:t>Operación 100% en Nube Gratuita</w:t>
            </w:r>
          </w:p>
        </w:tc>
        <w:tc>
          <w:tcPr>
            <w:tcW w:type="dxa" w:w="1440"/>
            <w:shd w:fill="E2E8F0"/>
            <w:tcMar>
              <w:top w:w="100" w:type="dxa"/>
              <w:bottom w:w="100" w:type="dxa"/>
              <w:left w:w="130" w:type="dxa"/>
              <w:right w:w="130" w:type="dxa"/>
            </w:tcMar>
          </w:tcPr>
          <w:p>
            <w:pPr>
              <w:spacing w:after="0" w:line="264" w:lineRule="auto"/>
            </w:pPr>
            <w:r>
              <w:rPr>
                <w:b/>
                <w:color w:val="16A34A"/>
                <w:sz w:val="17"/>
              </w:rPr>
              <w:t>$0.00 USD / mes</w:t>
            </w:r>
          </w:p>
        </w:tc>
      </w:tr>
    </w:tbl>
    <w:p>
      <w:pPr>
        <w:pStyle w:val="Heading1"/>
        <w:spacing w:before="360" w:after="80"/>
      </w:pPr>
      <w:r>
        <w:rPr>
          <w:b/>
          <w:color w:val="0F172A"/>
          <w:sz w:val="28"/>
        </w:rPr>
        <w:t>6. Integración Funcional de Módulos Operativos</w:t>
      </w:r>
    </w:p>
    <w:p>
      <w:pPr>
        <w:spacing w:before="80" w:after="120" w:line="276" w:lineRule="auto"/>
      </w:pPr>
      <w:r>
        <w:rPr>
          <w:b/>
          <w:color w:val="0F172A"/>
        </w:rPr>
        <w:t xml:space="preserve">• Módulo de Gastos Operativos (Independiente): </w:t>
      </w:r>
      <w:r>
        <w:rPr>
          <w:color w:val="334155"/>
          <w:sz w:val="19"/>
        </w:rPr>
        <w:t>Permite la gestión de categorías parametrizables, registro de facturas, monto, proveedor y método de pago. Mantiene independencia total del inventario. Si el método de pago seleccionado es Efectivo, el monto se descuenta en tiempo real del arqueo de la caja chica de la sucursal activa, garantizando coherencia financiera.</w:t>
      </w:r>
    </w:p>
    <w:p>
      <w:pPr>
        <w:spacing w:before="80" w:after="120" w:line="276" w:lineRule="auto"/>
      </w:pPr>
      <w:r>
        <w:rPr>
          <w:b/>
          <w:color w:val="0F172A"/>
        </w:rPr>
        <w:t xml:space="preserve">• Módulo de Inventario de Tandas de Pollo (Exclusivo): </w:t>
      </w:r>
      <w:r>
        <w:rPr>
          <w:color w:val="334155"/>
          <w:sz w:val="19"/>
        </w:rPr>
        <w:t>Diseñado específicamente para el control de volumen de producción de pollo frito. No maneja conceptos monetarios ni materias primas no cocinadas; su único fin operativo es conocer con exactitud cuántas tandas de pollo quedan disponibles en vitrina para satisfacer la demanda de ventas del turno.</w:t>
      </w:r>
    </w:p>
    <w:p>
      <w:pPr>
        <w:spacing w:before="80" w:after="120" w:line="276" w:lineRule="auto"/>
      </w:pPr>
      <w:r>
        <w:rPr>
          <w:b/>
          <w:color w:val="0F172A"/>
        </w:rPr>
        <w:t xml:space="preserve">• Módulo de Caja y Arqueo Diario: </w:t>
      </w:r>
      <w:r>
        <w:rPr>
          <w:color w:val="334155"/>
          <w:sz w:val="19"/>
        </w:rPr>
        <w:t>Gestiona el ciclo de apertura, control de movimientos y corte de caja por turno o cajero. Consolida las ventas en efectivo, salidas por gastos operativos y calcula el saldo teórico frente al saldo físico en tiempo real con auditoría estricta.</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