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00"/>
        <w:jc w:val="center"/>
      </w:pPr>
      <w:r>
        <w:rPr>
          <w:rFonts w:ascii="Georgia" w:cs="Georgia" w:eastAsia="Georgia" w:hAnsi="Georgia"/>
          <w:b/>
          <w:bCs/>
          <w:color w:val="1A1A1A"/>
          <w:sz w:val="48"/>
          <w:szCs w:val="48"/>
        </w:rPr>
        <w:t xml:space="preserve">PAHA  +  Modus Primus</w:t>
      </w:r>
    </w:p>
    <w:p>
      <w:pPr>
        <w:spacing w:after="200" w:before="0"/>
        <w:jc w:val="center"/>
      </w:pPr>
      <w:r>
        <w:rPr>
          <w:rFonts w:ascii="Georgia" w:cs="Georgia" w:eastAsia="Georgia" w:hAnsi="Georgia"/>
          <w:i/>
          <w:iCs/>
          <w:color w:val="1A1A1A"/>
          <w:sz w:val="28"/>
          <w:szCs w:val="28"/>
        </w:rPr>
        <w:t xml:space="preserve">Framework Overview</w:t>
      </w:r>
    </w:p>
    <w:p>
      <w:pPr>
        <w:spacing w:after="480" w:before="0"/>
        <w:jc w:val="center"/>
      </w:pPr>
      <w:r>
        <w:rPr>
          <w:rFonts w:ascii="Calibri" w:cs="Calibri" w:eastAsia="Calibri" w:hAnsi="Calibri"/>
          <w:i/>
          <w:iCs/>
          <w:color w:val="6B6B6B"/>
          <w:sz w:val="18"/>
          <w:szCs w:val="18"/>
        </w:rPr>
        <w:t xml:space="preserve">An architectural pattern and its engineering practice for governed, sovereignty-bounded enterprise AI</w:t>
      </w:r>
    </w:p>
    <w:p>
      <w:pPr>
        <w:spacing w:after="0" w:before="240"/>
        <w:jc w:val="center"/>
      </w:pPr>
      <w:r>
        <w:rPr>
          <w:rFonts w:ascii="Calibri" w:cs="Calibri" w:eastAsia="Calibri" w:hAnsi="Calibri"/>
          <w:i/>
          <w:iCs/>
          <w:color w:val="8B2E2E"/>
          <w:sz w:val="22"/>
          <w:szCs w:val="22"/>
        </w:rPr>
        <w:t xml:space="preserve">Executive Summary  ·  Version 1.0</w:t>
      </w:r>
    </w:p>
    <w:p>
      <w:pPr>
        <w:spacing w:after="60" w:before="600"/>
        <w:jc w:val="center"/>
      </w:pPr>
      <w:r>
        <w:rPr>
          <w:rFonts w:ascii="Calibri" w:cs="Calibri" w:eastAsia="Calibri" w:hAnsi="Calibri"/>
          <w:b/>
          <w:bCs/>
          <w:sz w:val="24"/>
          <w:szCs w:val="24"/>
        </w:rPr>
        <w:t xml:space="preserve">James (JD) Longmire</w:t>
      </w:r>
    </w:p>
    <w:p>
      <w:pPr>
        <w:spacing w:after="60" w:before="0"/>
        <w:jc w:val="center"/>
      </w:pPr>
      <w:r>
        <w:rPr>
          <w:rFonts w:ascii="Calibri" w:cs="Calibri" w:eastAsia="Calibri" w:hAnsi="Calibri"/>
          <w:sz w:val="22"/>
          <w:szCs w:val="22"/>
        </w:rPr>
        <w:t xml:space="preserve">Northrop Grumman Fellow (unaffiliated research)</w:t>
      </w:r>
    </w:p>
    <w:p>
      <w:pPr>
        <w:spacing w:after="60" w:before="0"/>
        <w:jc w:val="center"/>
      </w:pPr>
      <w:r>
        <w:rPr>
          <w:rFonts w:ascii="Calibri" w:cs="Calibri" w:eastAsia="Calibri" w:hAnsi="Calibri"/>
          <w:sz w:val="22"/>
          <w:szCs w:val="22"/>
        </w:rPr>
        <w:t xml:space="preserve">Chief Architect, Digital Ecosystems</w:t>
      </w:r>
    </w:p>
    <w:p>
      <w:pPr>
        <w:spacing w:after="60" w:before="0"/>
        <w:jc w:val="center"/>
      </w:pPr>
      <w:r>
        <w:rPr>
          <w:rFonts w:ascii="Calibri" w:cs="Calibri" w:eastAsia="Calibri" w:hAnsi="Calibri"/>
          <w:sz w:val="22"/>
          <w:szCs w:val="22"/>
        </w:rPr>
        <w:t xml:space="preserve">ORCID: 0009-0009-1383-7698</w:t>
      </w:r>
    </w:p>
    <w:p>
      <w:pPr>
        <w:spacing w:after="60" w:before="0"/>
        <w:jc w:val="center"/>
      </w:pPr>
      <w:r>
        <w:rPr>
          <w:rFonts w:ascii="Calibri" w:cs="Calibri" w:eastAsia="Calibri" w:hAnsi="Calibri"/>
          <w:sz w:val="22"/>
          <w:szCs w:val="22"/>
        </w:rPr>
        <w:t xml:space="preserve">Correspondence: jdlongmire@outlook.com</w:t>
      </w:r>
    </w:p>
    <w:p>
      <w:pPr>
        <w:spacing w:after="200" w:before="480"/>
        <w:jc w:val="center"/>
      </w:pPr>
      <w:r>
        <w:rPr>
          <w:rFonts w:ascii="Calibri" w:cs="Calibri" w:eastAsia="Calibri" w:hAnsi="Calibri"/>
          <w:i/>
          <w:iCs/>
          <w:sz w:val="22"/>
          <w:szCs w:val="22"/>
        </w:rPr>
        <w:t xml:space="preserve">February 2026</w:t>
      </w:r>
    </w:p>
    <w:p>
      <w:pPr>
        <w:spacing w:after="60" w:before="360"/>
        <w:jc w:val="center"/>
      </w:pPr>
      <w:r>
        <w:rPr>
          <w:rFonts w:ascii="Calibri" w:cs="Calibri" w:eastAsia="Calibri" w:hAnsi="Calibri"/>
          <w:i/>
          <w:iCs/>
          <w:color w:val="6B6B6B"/>
          <w:sz w:val="18"/>
          <w:szCs w:val="18"/>
        </w:rPr>
        <w:t xml:space="preserve">Published Artifacts</w:t>
      </w:r>
    </w:p>
    <w:p>
      <w:pPr>
        <w:spacing w:after="60" w:before="0"/>
        <w:jc w:val="center"/>
      </w:pPr>
      <w:r>
        <w:rPr>
          <w:rFonts w:ascii="Calibri" w:cs="Calibri" w:eastAsia="Calibri" w:hAnsi="Calibri"/>
          <w:i/>
          <w:iCs/>
          <w:color w:val="6B6B6B"/>
          <w:sz w:val="20"/>
          <w:szCs w:val="20"/>
        </w:rPr>
        <w:t xml:space="preserve">PAHA Rev 2.2: </w:t>
      </w:r>
      <w:r>
        <w:rPr>
          <w:rFonts w:ascii="Consolas" w:cs="Consolas" w:eastAsia="Consolas" w:hAnsi="Consolas"/>
          <w:color w:val="8B2E2E"/>
          <w:sz w:val="20"/>
          <w:szCs w:val="20"/>
        </w:rPr>
        <w:t xml:space="preserve">doi:10.5281/zenodo.20112631</w:t>
      </w:r>
    </w:p>
    <w:p>
      <w:pPr>
        <w:spacing w:after="0" w:before="0"/>
        <w:jc w:val="center"/>
      </w:pPr>
      <w:r>
        <w:rPr>
          <w:rFonts w:ascii="Calibri" w:cs="Calibri" w:eastAsia="Calibri" w:hAnsi="Calibri"/>
          <w:i/>
          <w:iCs/>
          <w:color w:val="6B6B6B"/>
          <w:sz w:val="20"/>
          <w:szCs w:val="20"/>
        </w:rPr>
        <w:t xml:space="preserve">Modus Primus v1.1: </w:t>
      </w:r>
      <w:r>
        <w:rPr>
          <w:rFonts w:ascii="Consolas" w:cs="Consolas" w:eastAsia="Consolas" w:hAnsi="Consolas"/>
          <w:color w:val="8B2E2E"/>
          <w:sz w:val="20"/>
          <w:szCs w:val="20"/>
        </w:rPr>
        <w:t xml:space="preserve">doi:10.5281/zenodo.20113785</w:t>
      </w:r>
    </w:p>
    <w:p>
      <w:pPr>
        <w:pageBreakBefore/>
      </w:pPr>
      <w:r>
        <w:t xml:space="preserve"/>
      </w:r>
    </w:p>
    <w:p>
      <w:pPr>
        <w:spacing w:after="180" w:before="400"/>
      </w:pPr>
      <w:r>
        <w:rPr>
          <w:rFonts w:ascii="Georgia" w:cs="Georgia" w:eastAsia="Georgia" w:hAnsi="Georgia"/>
          <w:b/>
          <w:bCs/>
          <w:color w:val="1A1A1A"/>
          <w:sz w:val="32"/>
          <w:szCs w:val="32"/>
        </w:rPr>
        <w:t xml:space="preserve">The Framework in One Page</w:t>
      </w:r>
    </w:p>
    <w:p>
      <w:pPr>
        <w:spacing w:after="180" w:before="0" w:line="320"/>
        <w:jc w:val="both"/>
      </w:pPr>
      <w:r>
        <w:rPr>
          <w:rFonts w:ascii="Calibri" w:cs="Calibri" w:eastAsia="Calibri" w:hAnsi="Calibri"/>
          <w:sz w:val="22"/>
          <w:szCs w:val="22"/>
        </w:rPr>
        <w:t xml:space="preserve">Enterprise AI deployments are fragmenting. Each vendor's assistant (Microsoft 365 Copilot, AWS Bedrock, Cisco AI Canvas, ServiceNow Now Assist, and program-specific copilots) ships its own identity, audit format, policy framework, and governance artifacts. The aggregate is not capability; it is fragmentation. Without a durable architectural layer, governance is retrofitted onto whichever assistant arrived first. Trust escalation, audit traceability, and policy enforcement become per-vendor configurations rather than architectural commitments.</w:t>
      </w:r>
    </w:p>
    <w:p>
      <w:pPr>
        <w:spacing w:after="180" w:before="0" w:line="320"/>
        <w:jc w:val="both"/>
      </w:pPr>
      <w:r>
        <w:rPr>
          <w:rFonts w:ascii="Calibri" w:cs="Calibri" w:eastAsia="Calibri" w:hAnsi="Calibri"/>
          <w:sz w:val="22"/>
          <w:szCs w:val="22"/>
        </w:rPr>
        <w:t xml:space="preserve">Two companion documents address this problem at different levels. </w:t>
      </w:r>
      <w:r>
        <w:rPr>
          <w:rFonts w:ascii="Calibri" w:cs="Calibri" w:eastAsia="Calibri" w:hAnsi="Calibri"/>
          <w:i/>
          <w:iCs/>
          <w:sz w:val="22"/>
          <w:szCs w:val="22"/>
        </w:rPr>
        <w:t xml:space="preserve">PAHA</w:t>
      </w:r>
      <w:r>
        <w:rPr>
          <w:rFonts w:ascii="Calibri" w:cs="Calibri" w:eastAsia="Calibri" w:hAnsi="Calibri"/>
          <w:sz w:val="22"/>
          <w:szCs w:val="22"/>
        </w:rPr>
        <w:t xml:space="preserve"> (Portable Agent Harness Architecture) specifies the architectural pattern that governed, sovereignty-bounded AI requires. </w:t>
      </w:r>
      <w:r>
        <w:rPr>
          <w:rFonts w:ascii="Calibri" w:cs="Calibri" w:eastAsia="Calibri" w:hAnsi="Calibri"/>
          <w:i/>
          <w:iCs/>
          <w:sz w:val="22"/>
          <w:szCs w:val="22"/>
        </w:rPr>
        <w:t xml:space="preserve">Modus Primus</w:t>
      </w:r>
      <w:r>
        <w:rPr>
          <w:rFonts w:ascii="Calibri" w:cs="Calibri" w:eastAsia="Calibri" w:hAnsi="Calibri"/>
          <w:sz w:val="22"/>
          <w:szCs w:val="22"/>
        </w:rPr>
        <w:t xml:space="preserve"> specifies the engineering practice that produces and maintains PAHA-conformant AI architectures. Both documents are published on Zenodo under CC BY 4.0 with stable DOIs.</w:t>
      </w:r>
    </w:p>
    <w:p>
      <w:pPr>
        <w:pBdr>
          <w:left w:val="single" w:color="8B2E2E" w:sz="12" w:space="12"/>
        </w:pBdr>
        <w:spacing w:after="240" w:before="240" w:line="340"/>
        <w:ind w:left="360" w:right="360"/>
      </w:pPr>
      <w:r>
        <w:rPr>
          <w:rFonts w:ascii="Georgia" w:cs="Georgia" w:eastAsia="Georgia" w:hAnsi="Georgia"/>
          <w:i/>
          <w:iCs/>
          <w:color w:val="1A1A1A"/>
          <w:sz w:val="24"/>
          <w:szCs w:val="24"/>
        </w:rPr>
        <w:t xml:space="preserve">PAHA establishes what the architecture must achieve.  Modus Primus establishes how the enterprise's engineering practice produces it.</w:t>
      </w:r>
    </w:p>
    <w:p>
      <w:pPr>
        <w:spacing w:after="180" w:before="0" w:line="320"/>
        <w:jc w:val="both"/>
      </w:pPr>
      <w:r>
        <w:rPr>
          <w:rFonts w:ascii="Calibri" w:cs="Calibri" w:eastAsia="Calibri" w:hAnsi="Calibri"/>
          <w:sz w:val="22"/>
          <w:szCs w:val="22"/>
        </w:rPr>
        <w:t xml:space="preserve">The framework is positioned for enterprises operating under sovereignty constraints (defense IT, regulated industries, multi-enclave environments) where vendor-integrated orchestration cannot meet the federation requirements that ITAR, FedRAMP, CMMC, and classified network segmentation impose. It is also positioned for any enterprise that treats AI as architectural rather than incidental: governance, V&amp;V, runtime assurance, and trust escalation as first-class commitments rather than afterthoughts.</w:t>
      </w:r>
    </w:p>
    <w:p>
      <w:pPr>
        <w:spacing w:after="180" w:before="400"/>
      </w:pPr>
      <w:r>
        <w:rPr>
          <w:rFonts w:ascii="Georgia" w:cs="Georgia" w:eastAsia="Georgia" w:hAnsi="Georgia"/>
          <w:b/>
          <w:bCs/>
          <w:color w:val="1A1A1A"/>
          <w:sz w:val="32"/>
          <w:szCs w:val="32"/>
        </w:rPr>
        <w:t xml:space="preserve">The Companion Relationship</w:t>
      </w:r>
    </w:p>
    <w:p>
      <w:pPr>
        <w:pBdr>
          <w:left w:val="single" w:color="8B2E2E" w:sz="12" w:space="12"/>
        </w:pBdr>
        <w:spacing w:after="200" w:before="200" w:line="320"/>
        <w:ind w:left="360" w:right="360"/>
      </w:pPr>
      <w:r>
        <w:rPr>
          <w:rFonts w:ascii="Calibri" w:cs="Calibri" w:eastAsia="Calibri" w:hAnsi="Calibri"/>
          <w:b/>
          <w:bCs/>
          <w:color w:val="8B2E2E"/>
          <w:sz w:val="22"/>
          <w:szCs w:val="22"/>
        </w:rPr>
        <w:t xml:space="preserve">PAHA</w:t>
      </w:r>
      <w:r>
        <w:rPr>
          <w:rFonts w:ascii="Calibri" w:cs="Calibri" w:eastAsia="Calibri" w:hAnsi="Calibri"/>
          <w:b/>
          <w:bCs/>
          <w:color w:val="8B2E2E"/>
          <w:sz w:val="22"/>
          <w:szCs w:val="22"/>
        </w:rPr>
        <w:t xml:space="preserve">  ·  </w:t>
      </w:r>
      <w:r>
        <w:rPr>
          <w:rFonts w:ascii="Calibri" w:cs="Calibri" w:eastAsia="Calibri" w:hAnsi="Calibri"/>
          <w:b/>
          <w:bCs/>
          <w:color w:val="8B2E2E"/>
          <w:sz w:val="22"/>
          <w:szCs w:val="22"/>
        </w:rPr>
        <w:t xml:space="preserve">Portable Agent Harness Architecture.</w:t>
      </w:r>
      <w:r>
        <w:rPr>
          <w:rFonts w:ascii="Calibri" w:cs="Calibri" w:eastAsia="Calibri" w:hAnsi="Calibri"/>
          <w:sz w:val="22"/>
          <w:szCs w:val="22"/>
        </w:rPr>
        <w:t xml:space="preserve">  </w:t>
      </w:r>
      <w:r>
        <w:rPr>
          <w:rFonts w:ascii="Calibri" w:cs="Calibri" w:eastAsia="Calibri" w:hAnsi="Calibri"/>
          <w:i/>
          <w:iCs/>
          <w:color w:val="1A1A1A"/>
          <w:sz w:val="22"/>
          <w:szCs w:val="22"/>
        </w:rPr>
        <w:t xml:space="preserve">An architectural pattern in which the durable layer is a meta-harness providing centralized governance, bounded execution, and substrate arbitration over fit-for-purpose consoles and composable agents.</w:t>
      </w:r>
    </w:p>
    <w:p>
      <w:pPr>
        <w:pBdr>
          <w:left w:val="single" w:color="8B2E2E" w:sz="12" w:space="12"/>
        </w:pBdr>
        <w:spacing w:after="200" w:before="200" w:line="320"/>
        <w:ind w:left="360" w:right="360"/>
      </w:pPr>
      <w:r>
        <w:rPr>
          <w:rFonts w:ascii="Calibri" w:cs="Calibri" w:eastAsia="Calibri" w:hAnsi="Calibri"/>
          <w:b/>
          <w:bCs/>
          <w:color w:val="8B2E2E"/>
          <w:sz w:val="22"/>
          <w:szCs w:val="22"/>
        </w:rPr>
        <w:t xml:space="preserve">MODUS PRIMUS</w:t>
      </w:r>
      <w:r>
        <w:rPr>
          <w:rFonts w:ascii="Calibri" w:cs="Calibri" w:eastAsia="Calibri" w:hAnsi="Calibri"/>
          <w:b/>
          <w:bCs/>
          <w:color w:val="8B2E2E"/>
          <w:sz w:val="22"/>
          <w:szCs w:val="22"/>
        </w:rPr>
        <w:t xml:space="preserve">  ·  </w:t>
      </w:r>
      <w:r>
        <w:rPr>
          <w:rFonts w:ascii="Calibri" w:cs="Calibri" w:eastAsia="Calibri" w:hAnsi="Calibri"/>
          <w:b/>
          <w:bCs/>
          <w:color w:val="8B2E2E"/>
          <w:sz w:val="22"/>
          <w:szCs w:val="22"/>
        </w:rPr>
        <w:t xml:space="preserve">Engineering Specification for AI Architecture.</w:t>
      </w:r>
      <w:r>
        <w:rPr>
          <w:rFonts w:ascii="Calibri" w:cs="Calibri" w:eastAsia="Calibri" w:hAnsi="Calibri"/>
          <w:sz w:val="22"/>
          <w:szCs w:val="22"/>
        </w:rPr>
        <w:t xml:space="preserve">  </w:t>
      </w:r>
      <w:r>
        <w:rPr>
          <w:rFonts w:ascii="Calibri" w:cs="Calibri" w:eastAsia="Calibri" w:hAnsi="Calibri"/>
          <w:i/>
          <w:iCs/>
          <w:color w:val="1A1A1A"/>
          <w:sz w:val="22"/>
          <w:szCs w:val="22"/>
        </w:rPr>
        <w:t xml:space="preserve">The engineering practice that produces and maintains PAHA-conformant AI architectures. Addresses the engineering concerns general systems engineering does not fully cover: substrate volatility, behavioral non-determinism, federation across enclaves, and runtime assurance.</w:t>
      </w:r>
    </w:p>
    <w:p>
      <w:pPr>
        <w:spacing w:after="180" w:before="0" w:line="320"/>
        <w:jc w:val="both"/>
      </w:pPr>
      <w:r>
        <w:rPr>
          <w:rFonts w:ascii="Calibri" w:cs="Calibri" w:eastAsia="Calibri" w:hAnsi="Calibri"/>
          <w:sz w:val="22"/>
          <w:szCs w:val="22"/>
        </w:rPr>
        <w:t xml:space="preserve">The two documents are companions, not competitors. PAHA is short and stable; it states the architectural commitments. Modus Primus is longer and evolves with engineering practice; it states how those commitments are produced and maintained. Changes to PAHA may require revisions to Modus Primus; changes to Modus Primus never require revisions to PAHA. Where the two documents appear in tension, PAHA's architectural commitments take precedence.</w:t>
      </w:r>
    </w:p>
    <w:p>
      <w:pPr>
        <w:spacing w:after="180" w:before="0" w:line="320"/>
        <w:jc w:val="both"/>
      </w:pPr>
      <w:r>
        <w:rPr>
          <w:rFonts w:ascii="Calibri" w:cs="Calibri" w:eastAsia="Calibri" w:hAnsi="Calibri"/>
          <w:sz w:val="22"/>
          <w:szCs w:val="22"/>
        </w:rPr>
        <w:t xml:space="preserve">The principal correspondences between the two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500"/>
        <w:gridCol w:w="2660"/>
      </w:tblGrid>
      <w:tr>
        <w:tc>
          <w:tcPr>
            <w:tcW w:type="dxa" w:w="3200"/>
            <w:tcBorders>
              <w:top w:val="single" w:color="CCCCCC" w:sz="4"/>
              <w:left w:val="single" w:color="CCCCCC" w:sz="4"/>
              <w:bottom w:val="single" w:color="CCCCCC" w:sz="4"/>
              <w:right w:val="single" w:color="CCCCCC" w:sz="4"/>
            </w:tcBorders>
            <w:shd w:fill="DEDBD1" w:val="clear"/>
            <w:tcMar>
              <w:top w:type="dxa" w:w="140"/>
              <w:left w:type="dxa" w:w="160"/>
              <w:bottom w:type="dxa" w:w="140"/>
              <w:right w:type="dxa" w:w="160"/>
            </w:tcMar>
          </w:tcPr>
          <w:p>
            <w:pPr>
              <w:spacing w:after="0" w:before="0"/>
            </w:pPr>
            <w:r>
              <w:rPr>
                <w:rFonts w:ascii="Calibri" w:cs="Calibri" w:eastAsia="Calibri" w:hAnsi="Calibri"/>
                <w:b/>
                <w:bCs/>
                <w:color w:val="1A1A1A"/>
                <w:sz w:val="20"/>
                <w:szCs w:val="20"/>
              </w:rPr>
              <w:t xml:space="preserve">PAHA primitive</w:t>
            </w:r>
          </w:p>
        </w:tc>
        <w:tc>
          <w:tcPr>
            <w:tcW w:type="dxa" w:w="3500"/>
            <w:tcBorders>
              <w:top w:val="single" w:color="CCCCCC" w:sz="4"/>
              <w:left w:val="single" w:color="CCCCCC" w:sz="4"/>
              <w:bottom w:val="single" w:color="CCCCCC" w:sz="4"/>
              <w:right w:val="single" w:color="CCCCCC" w:sz="4"/>
            </w:tcBorders>
            <w:shd w:fill="DEDBD1" w:val="clear"/>
            <w:tcMar>
              <w:top w:type="dxa" w:w="140"/>
              <w:left w:type="dxa" w:w="160"/>
              <w:bottom w:type="dxa" w:w="140"/>
              <w:right w:type="dxa" w:w="160"/>
            </w:tcMar>
          </w:tcPr>
          <w:p>
            <w:pPr>
              <w:spacing w:after="0" w:before="0"/>
            </w:pPr>
            <w:r>
              <w:rPr>
                <w:rFonts w:ascii="Calibri" w:cs="Calibri" w:eastAsia="Calibri" w:hAnsi="Calibri"/>
                <w:b/>
                <w:bCs/>
                <w:color w:val="1A1A1A"/>
                <w:sz w:val="20"/>
                <w:szCs w:val="20"/>
              </w:rPr>
              <w:t xml:space="preserve">Modus Primus artifact</w:t>
            </w:r>
          </w:p>
        </w:tc>
        <w:tc>
          <w:tcPr>
            <w:tcW w:type="dxa" w:w="2660"/>
            <w:tcBorders>
              <w:top w:val="single" w:color="CCCCCC" w:sz="4"/>
              <w:left w:val="single" w:color="CCCCCC" w:sz="4"/>
              <w:bottom w:val="single" w:color="CCCCCC" w:sz="4"/>
              <w:right w:val="single" w:color="CCCCCC" w:sz="4"/>
            </w:tcBorders>
            <w:shd w:fill="DEDBD1" w:val="clear"/>
            <w:tcMar>
              <w:top w:type="dxa" w:w="140"/>
              <w:left w:type="dxa" w:w="160"/>
              <w:bottom w:type="dxa" w:w="140"/>
              <w:right w:type="dxa" w:w="160"/>
            </w:tcMar>
          </w:tcPr>
          <w:p>
            <w:pPr>
              <w:spacing w:after="0" w:before="0"/>
            </w:pPr>
            <w:r>
              <w:rPr>
                <w:rFonts w:ascii="Calibri" w:cs="Calibri" w:eastAsia="Calibri" w:hAnsi="Calibri"/>
                <w:b/>
                <w:bCs/>
                <w:color w:val="1A1A1A"/>
                <w:sz w:val="20"/>
                <w:szCs w:val="20"/>
              </w:rPr>
              <w:t xml:space="preserve">Modus Primus section</w:t>
            </w:r>
          </w:p>
        </w:tc>
      </w:tr>
      <w:tr>
        <w:tc>
          <w:tcPr>
            <w:tcW w:type="dxa" w:w="32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sz w:val="20"/>
                <w:szCs w:val="20"/>
              </w:rPr>
              <w:t xml:space="preserve">Meta-harness (durable architectural layer)</w:t>
            </w:r>
          </w:p>
        </w:tc>
        <w:tc>
          <w:tcPr>
            <w:tcW w:type="dxa" w:w="35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sz w:val="20"/>
                <w:szCs w:val="20"/>
              </w:rPr>
              <w:t xml:space="preserve">Five-M decomposition: mind.md, morals.md, mission.md, memory.md, means.md</w:t>
            </w:r>
          </w:p>
        </w:tc>
        <w:tc>
          <w:tcPr>
            <w:tcW w:type="dxa" w:w="266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sz w:val="20"/>
                <w:szCs w:val="20"/>
              </w:rPr>
              <w:t xml:space="preserve">Section 2.3, Appendix B.3</w:t>
            </w:r>
          </w:p>
        </w:tc>
      </w:tr>
      <w:tr>
        <w:tc>
          <w:tcPr>
            <w:tcW w:type="dxa" w:w="32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sz w:val="20"/>
                <w:szCs w:val="20"/>
              </w:rPr>
              <w:t xml:space="preserve">Three-plane decomposition (governance, cognitive, operational)</w:t>
            </w:r>
          </w:p>
        </w:tc>
        <w:tc>
          <w:tcPr>
            <w:tcW w:type="dxa" w:w="35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sz w:val="20"/>
                <w:szCs w:val="20"/>
              </w:rPr>
              <w:t xml:space="preserve">WBS layer architecture</w:t>
            </w:r>
          </w:p>
        </w:tc>
        <w:tc>
          <w:tcPr>
            <w:tcW w:type="dxa" w:w="266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sz w:val="20"/>
                <w:szCs w:val="20"/>
              </w:rPr>
              <w:t xml:space="preserve">Section 3, Appendix B</w:t>
            </w:r>
          </w:p>
        </w:tc>
      </w:tr>
      <w:tr>
        <w:tc>
          <w:tcPr>
            <w:tcW w:type="dxa" w:w="32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sz w:val="20"/>
                <w:szCs w:val="20"/>
              </w:rPr>
              <w:t xml:space="preserve">Seven minimum viable harness services</w:t>
            </w:r>
          </w:p>
        </w:tc>
        <w:tc>
          <w:tcPr>
            <w:tcW w:type="dxa" w:w="35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sz w:val="20"/>
                <w:szCs w:val="20"/>
              </w:rPr>
              <w:t xml:space="preserve">Mechanism Layer plus execution-runtime</w:t>
            </w:r>
          </w:p>
        </w:tc>
        <w:tc>
          <w:tcPr>
            <w:tcW w:type="dxa" w:w="266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sz w:val="20"/>
                <w:szCs w:val="20"/>
              </w:rPr>
              <w:t xml:space="preserve">Sections 3.6, 3.7.2</w:t>
            </w:r>
          </w:p>
        </w:tc>
      </w:tr>
      <w:tr>
        <w:tc>
          <w:tcPr>
            <w:tcW w:type="dxa" w:w="32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sz w:val="20"/>
                <w:szCs w:val="20"/>
              </w:rPr>
              <w:t xml:space="preserve">Enclave constraint and federation pattern</w:t>
            </w:r>
          </w:p>
        </w:tc>
        <w:tc>
          <w:tcPr>
            <w:tcW w:type="dxa" w:w="35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sz w:val="20"/>
                <w:szCs w:val="20"/>
              </w:rPr>
              <w:t xml:space="preserve">Five Modus tiers (Primus, Secundus, Tertius, Quartus, Quintus)</w:t>
            </w:r>
          </w:p>
        </w:tc>
        <w:tc>
          <w:tcPr>
            <w:tcW w:type="dxa" w:w="266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sz w:val="20"/>
                <w:szCs w:val="20"/>
              </w:rPr>
              <w:t xml:space="preserve">Section 4, Appendix B.9</w:t>
            </w:r>
          </w:p>
        </w:tc>
      </w:tr>
      <w:tr>
        <w:tc>
          <w:tcPr>
            <w:tcW w:type="dxa" w:w="32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sz w:val="20"/>
                <w:szCs w:val="20"/>
              </w:rPr>
              <w:t xml:space="preserve">Capability registry (purposive election)</w:t>
            </w:r>
          </w:p>
        </w:tc>
        <w:tc>
          <w:tcPr>
            <w:tcW w:type="dxa" w:w="35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sz w:val="20"/>
                <w:szCs w:val="20"/>
              </w:rPr>
              <w:t xml:space="preserve">Means and mechanisms selection relation</w:t>
            </w:r>
          </w:p>
        </w:tc>
        <w:tc>
          <w:tcPr>
            <w:tcW w:type="dxa" w:w="266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sz w:val="20"/>
                <w:szCs w:val="20"/>
              </w:rPr>
              <w:t xml:space="preserve">Section 2, Appendix C</w:t>
            </w:r>
          </w:p>
        </w:tc>
      </w:tr>
      <w:tr>
        <w:tc>
          <w:tcPr>
            <w:tcW w:type="dxa" w:w="32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sz w:val="20"/>
                <w:szCs w:val="20"/>
              </w:rPr>
              <w:t xml:space="preserve">Trust escalation as governance primitive</w:t>
            </w:r>
          </w:p>
        </w:tc>
        <w:tc>
          <w:tcPr>
            <w:tcW w:type="dxa" w:w="35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sz w:val="20"/>
                <w:szCs w:val="20"/>
              </w:rPr>
              <w:t xml:space="preserve">Trust escalation model in execution-policy</w:t>
            </w:r>
          </w:p>
        </w:tc>
        <w:tc>
          <w:tcPr>
            <w:tcW w:type="dxa" w:w="266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sz w:val="20"/>
                <w:szCs w:val="20"/>
              </w:rPr>
              <w:t xml:space="preserve">Sections 2.5, 3.7.1</w:t>
            </w:r>
          </w:p>
        </w:tc>
      </w:tr>
      <w:tr>
        <w:tc>
          <w:tcPr>
            <w:tcW w:type="dxa" w:w="32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sz w:val="20"/>
                <w:szCs w:val="20"/>
              </w:rPr>
              <w:t xml:space="preserve">Substrate adapter abstraction</w:t>
            </w:r>
          </w:p>
        </w:tc>
        <w:tc>
          <w:tcPr>
            <w:tcW w:type="dxa" w:w="35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sz w:val="20"/>
                <w:szCs w:val="20"/>
              </w:rPr>
              <w:t xml:space="preserve">Substrate substitution V&amp;V</w:t>
            </w:r>
          </w:p>
        </w:tc>
        <w:tc>
          <w:tcPr>
            <w:tcW w:type="dxa" w:w="266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sz w:val="20"/>
                <w:szCs w:val="20"/>
              </w:rPr>
              <w:t xml:space="preserve">Section 7.5</w:t>
            </w:r>
          </w:p>
        </w:tc>
      </w:tr>
    </w:tbl>
    <w:p>
      <w:pPr>
        <w:spacing w:after="180" w:before="400"/>
      </w:pPr>
      <w:r>
        <w:rPr>
          <w:rFonts w:ascii="Georgia" w:cs="Georgia" w:eastAsia="Georgia" w:hAnsi="Georgia"/>
          <w:b/>
          <w:bCs/>
          <w:color w:val="1A1A1A"/>
          <w:sz w:val="32"/>
          <w:szCs w:val="32"/>
        </w:rPr>
        <w:t xml:space="preserve">The Architectural Claim (PAHA)</w:t>
      </w:r>
    </w:p>
    <w:p>
      <w:pPr>
        <w:spacing w:after="180" w:before="0" w:line="320"/>
        <w:jc w:val="both"/>
      </w:pPr>
      <w:r>
        <w:rPr>
          <w:rFonts w:ascii="Calibri" w:cs="Calibri" w:eastAsia="Calibri" w:hAnsi="Calibri"/>
          <w:sz w:val="22"/>
          <w:szCs w:val="22"/>
        </w:rPr>
        <w:t xml:space="preserve">PAHA's claim is that governed, sovereignty-bounded enterprise AI requires an architectural pattern in which the durable layer is a meta-harness, not a vendor assistant. The meta-harness provides three architectural primitives:</w:t>
      </w:r>
    </w:p>
    <w:p>
      <w:pPr>
        <w:pStyle w:val="ListParagraph"/>
        <w:numPr>
          <w:ilvl w:val="0"/>
          <w:numId w:val="2"/>
        </w:numPr>
        <w:spacing w:after="100" w:before="0" w:line="300"/>
      </w:pPr>
      <w:r>
        <w:rPr>
          <w:rFonts w:ascii="Calibri" w:cs="Calibri" w:eastAsia="Calibri" w:hAnsi="Calibri"/>
          <w:b/>
          <w:bCs/>
          <w:sz w:val="22"/>
          <w:szCs w:val="22"/>
        </w:rPr>
        <w:t xml:space="preserve">Centralized governance.</w:t>
      </w:r>
      <w:r>
        <w:rPr>
          <w:rFonts w:ascii="Calibri" w:cs="Calibri" w:eastAsia="Calibri" w:hAnsi="Calibri"/>
          <w:sz w:val="22"/>
          <w:szCs w:val="22"/>
        </w:rPr>
        <w:t xml:space="preserve"> Policy declaration, trust escalation, and audit obligations live in declarative artifacts owned by the enterprise, not in vendor-specific configurations. Governance commitments are inherited by every agent and capability operating under the harness.</w:t>
      </w:r>
    </w:p>
    <w:p>
      <w:pPr>
        <w:pStyle w:val="ListParagraph"/>
        <w:numPr>
          <w:ilvl w:val="0"/>
          <w:numId w:val="2"/>
        </w:numPr>
        <w:spacing w:after="100" w:before="0" w:line="300"/>
      </w:pPr>
      <w:r>
        <w:rPr>
          <w:rFonts w:ascii="Calibri" w:cs="Calibri" w:eastAsia="Calibri" w:hAnsi="Calibri"/>
          <w:b/>
          <w:bCs/>
          <w:sz w:val="22"/>
          <w:szCs w:val="22"/>
        </w:rPr>
        <w:t xml:space="preserve">Bounded execution.</w:t>
      </w:r>
      <w:r>
        <w:rPr>
          <w:rFonts w:ascii="Calibri" w:cs="Calibri" w:eastAsia="Calibri" w:hAnsi="Calibri"/>
          <w:sz w:val="22"/>
          <w:szCs w:val="22"/>
        </w:rPr>
        <w:t xml:space="preserve"> Every action passes through a runtime that enforces policy, captures audit evidence, and applies validation gates before real-world consequence. The runtime is the enforcement layer; the policy is the declarative authority.</w:t>
      </w:r>
    </w:p>
    <w:p>
      <w:pPr>
        <w:pStyle w:val="ListParagraph"/>
        <w:numPr>
          <w:ilvl w:val="0"/>
          <w:numId w:val="2"/>
        </w:numPr>
        <w:spacing w:after="100" w:before="0" w:line="300"/>
      </w:pPr>
      <w:r>
        <w:rPr>
          <w:rFonts w:ascii="Calibri" w:cs="Calibri" w:eastAsia="Calibri" w:hAnsi="Calibri"/>
          <w:b/>
          <w:bCs/>
          <w:sz w:val="22"/>
          <w:szCs w:val="22"/>
        </w:rPr>
        <w:t xml:space="preserve">Substrate arbitration.</w:t>
      </w:r>
      <w:r>
        <w:rPr>
          <w:rFonts w:ascii="Calibri" w:cs="Calibri" w:eastAsia="Calibri" w:hAnsi="Calibri"/>
          <w:sz w:val="22"/>
          <w:szCs w:val="22"/>
        </w:rPr>
        <w:t xml:space="preserve"> The harness mediates access to foundation models, inference infrastructure, and external tools. Substrate substitution (replacing one model with another) is an architectural event that the framework anticipates, not an emergency that breaks operational continuity.</w:t>
      </w:r>
    </w:p>
    <w:p>
      <w:pPr>
        <w:spacing w:after="180" w:before="0" w:line="320"/>
        <w:jc w:val="both"/>
      </w:pPr>
      <w:r>
        <w:rPr>
          <w:rFonts w:ascii="Calibri" w:cs="Calibri" w:eastAsia="Calibri" w:hAnsi="Calibri"/>
          <w:sz w:val="22"/>
          <w:szCs w:val="22"/>
        </w:rPr>
        <w:t xml:space="preserve">Above the meta-harness sit two operational categories. </w:t>
      </w:r>
      <w:r>
        <w:rPr>
          <w:rFonts w:ascii="Calibri" w:cs="Calibri" w:eastAsia="Calibri" w:hAnsi="Calibri"/>
          <w:i/>
          <w:iCs/>
          <w:sz w:val="22"/>
          <w:szCs w:val="22"/>
        </w:rPr>
        <w:t xml:space="preserve">Fit-for-purpose consoles</w:t>
      </w:r>
      <w:r>
        <w:rPr>
          <w:rFonts w:ascii="Calibri" w:cs="Calibri" w:eastAsia="Calibri" w:hAnsi="Calibri"/>
          <w:sz w:val="22"/>
          <w:szCs w:val="22"/>
        </w:rPr>
        <w:t xml:space="preserve"> are bounded interfaces tailored to specific user tasks, inheriting governance from the harness rather than asserting their own. </w:t>
      </w:r>
      <w:r>
        <w:rPr>
          <w:rFonts w:ascii="Calibri" w:cs="Calibri" w:eastAsia="Calibri" w:hAnsi="Calibri"/>
          <w:i/>
          <w:iCs/>
          <w:sz w:val="22"/>
          <w:szCs w:val="22"/>
        </w:rPr>
        <w:t xml:space="preserve">Composable agents</w:t>
      </w:r>
      <w:r>
        <w:rPr>
          <w:rFonts w:ascii="Calibri" w:cs="Calibri" w:eastAsia="Calibri" w:hAnsi="Calibri"/>
          <w:sz w:val="22"/>
          <w:szCs w:val="22"/>
        </w:rPr>
        <w:t xml:space="preserve"> are specialist execution units with declared role bindings, capability authorizations, and audit obligations. Both operate within the architectural envelope the meta-harness defines.</w:t>
      </w:r>
    </w:p>
    <w:p>
      <w:pPr>
        <w:spacing w:after="180" w:before="0" w:line="320"/>
        <w:jc w:val="both"/>
      </w:pPr>
      <w:r>
        <w:rPr>
          <w:rFonts w:ascii="Calibri" w:cs="Calibri" w:eastAsia="Calibri" w:hAnsi="Calibri"/>
          <w:sz w:val="22"/>
          <w:szCs w:val="22"/>
        </w:rPr>
        <w:t xml:space="preserve">The enclave constraint is foundational. Each security enclave (unclassified, GovCloud, classified, program-specific) hosts its own harness instance. Federation between enclaves occurs through schema and signal aggregation, not through cross-enclave invocation. This is the only architecture compatible with classified network segmentation, ITAR data flow restrictions, and the operational realities of multi-clearance defense IT.</w:t>
      </w:r>
    </w:p>
    <w:p>
      <w:pPr>
        <w:spacing w:after="180" w:before="400"/>
      </w:pPr>
      <w:r>
        <w:rPr>
          <w:rFonts w:ascii="Georgia" w:cs="Georgia" w:eastAsia="Georgia" w:hAnsi="Georgia"/>
          <w:b/>
          <w:bCs/>
          <w:color w:val="1A1A1A"/>
          <w:sz w:val="32"/>
          <w:szCs w:val="32"/>
        </w:rPr>
        <w:t xml:space="preserve">The Engineering Practice (Modus Primus)</w:t>
      </w:r>
    </w:p>
    <w:p>
      <w:pPr>
        <w:spacing w:after="180" w:before="0" w:line="320"/>
        <w:jc w:val="both"/>
      </w:pPr>
      <w:r>
        <w:rPr>
          <w:rFonts w:ascii="Calibri" w:cs="Calibri" w:eastAsia="Calibri" w:hAnsi="Calibri"/>
          <w:sz w:val="22"/>
          <w:szCs w:val="22"/>
        </w:rPr>
        <w:t xml:space="preserve">Modus Primus specifies how the enterprise's engineering function produces and maintains a PAHA-conformant architecture. It is consistent with established systems engineering and architecture-description conventions (INCOSE, ISO/IEC/IEEE 42010, TOGAF) but is not a strict implementation of any single framework. Where its terminology differs, its terminology is authoritative within AI architecture.</w:t>
      </w:r>
    </w:p>
    <w:p>
      <w:pPr>
        <w:spacing w:after="180" w:before="0" w:line="320"/>
        <w:jc w:val="both"/>
      </w:pPr>
      <w:r>
        <w:rPr>
          <w:rFonts w:ascii="Calibri" w:cs="Calibri" w:eastAsia="Calibri" w:hAnsi="Calibri"/>
          <w:sz w:val="22"/>
          <w:szCs w:val="22"/>
        </w:rPr>
        <w:t xml:space="preserve">The specification provides seven distinct types of content: architectural principles, a Work Breakdown Structure for a Modus Primus instance, a five-tier federation pattern with inheritance contracts, a per-enclave tech baseline pattern, engineering specializations for substrate volatility and runtime assurance, four V&amp;V instruments calibrated for AI architecture, and seven domain-specific technical review gates. Five concepts carry most of the framework's distinctive weight: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tcBorders>
              <w:top w:val="single" w:color="CCCCCC" w:sz="4"/>
              <w:left w:val="single" w:color="CCCCCC" w:sz="4"/>
              <w:bottom w:val="single" w:color="CCCCCC" w:sz="4"/>
              <w:right w:val="single" w:color="CCCCCC" w:sz="4"/>
            </w:tcBorders>
            <w:shd w:fill="DEDBD1" w:val="clear"/>
            <w:tcMar>
              <w:top w:type="dxa" w:w="140"/>
              <w:left w:type="dxa" w:w="160"/>
              <w:bottom w:type="dxa" w:w="140"/>
              <w:right w:type="dxa" w:w="160"/>
            </w:tcMar>
          </w:tcPr>
          <w:p>
            <w:pPr>
              <w:spacing w:after="0" w:before="0"/>
            </w:pPr>
            <w:r>
              <w:rPr>
                <w:rFonts w:ascii="Calibri" w:cs="Calibri" w:eastAsia="Calibri" w:hAnsi="Calibri"/>
                <w:b/>
                <w:bCs/>
                <w:color w:val="1A1A1A"/>
                <w:sz w:val="20"/>
                <w:szCs w:val="20"/>
              </w:rPr>
              <w:t xml:space="preserve">Concept</w:t>
            </w:r>
          </w:p>
        </w:tc>
        <w:tc>
          <w:tcPr>
            <w:tcW w:type="dxa" w:w="6460"/>
            <w:tcBorders>
              <w:top w:val="single" w:color="CCCCCC" w:sz="4"/>
              <w:left w:val="single" w:color="CCCCCC" w:sz="4"/>
              <w:bottom w:val="single" w:color="CCCCCC" w:sz="4"/>
              <w:right w:val="single" w:color="CCCCCC" w:sz="4"/>
            </w:tcBorders>
            <w:shd w:fill="DEDBD1" w:val="clear"/>
            <w:tcMar>
              <w:top w:type="dxa" w:w="140"/>
              <w:left w:type="dxa" w:w="160"/>
              <w:bottom w:type="dxa" w:w="140"/>
              <w:right w:type="dxa" w:w="160"/>
            </w:tcMar>
          </w:tcPr>
          <w:p>
            <w:pPr>
              <w:spacing w:after="0" w:before="0"/>
            </w:pPr>
            <w:r>
              <w:rPr>
                <w:rFonts w:ascii="Calibri" w:cs="Calibri" w:eastAsia="Calibri" w:hAnsi="Calibri"/>
                <w:b/>
                <w:bCs/>
                <w:color w:val="1A1A1A"/>
                <w:sz w:val="20"/>
                <w:szCs w:val="20"/>
              </w:rPr>
              <w:t xml:space="preserve">What it does</w:t>
            </w:r>
          </w:p>
        </w:tc>
      </w:tr>
      <w:tr>
        <w:tc>
          <w:tcPr>
            <w:tcW w:type="dxa" w:w="29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b/>
                <w:bCs/>
                <w:sz w:val="20"/>
                <w:szCs w:val="20"/>
              </w:rPr>
              <w:t xml:space="preserve">Means and mechanisms selection</w:t>
            </w:r>
          </w:p>
        </w:tc>
        <w:tc>
          <w:tcPr>
            <w:tcW w:type="dxa" w:w="646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sz w:val="20"/>
                <w:szCs w:val="20"/>
              </w:rPr>
              <w:t xml:space="preserve">A tool in the Mechanism Layer is not part of the system's disposition until purposively elected as a means. Prevents silent capability creep. Every newly procured tool requires governance election before it becomes part of the architecture.</w:t>
            </w:r>
          </w:p>
        </w:tc>
      </w:tr>
      <w:tr>
        <w:tc>
          <w:tcPr>
            <w:tcW w:type="dxa" w:w="29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b/>
                <w:bCs/>
                <w:sz w:val="20"/>
                <w:szCs w:val="20"/>
              </w:rPr>
              <w:t xml:space="preserve">Five-M decomposition</w:t>
            </w:r>
          </w:p>
        </w:tc>
        <w:tc>
          <w:tcPr>
            <w:tcW w:type="dxa" w:w="646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sz w:val="20"/>
                <w:szCs w:val="20"/>
              </w:rPr>
              <w:t xml:space="preserve">The meta-harness comprises five purposive declarations in canonical hierarchy: mind grounds morals, morals grounds mission, mission grounds memory, memory grounds means. Each file declares one durable concern; together they declare the system's disposition.</w:t>
            </w:r>
          </w:p>
        </w:tc>
      </w:tr>
      <w:tr>
        <w:tc>
          <w:tcPr>
            <w:tcW w:type="dxa" w:w="29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b/>
                <w:bCs/>
                <w:sz w:val="20"/>
                <w:szCs w:val="20"/>
              </w:rPr>
              <w:t xml:space="preserve">Federation tier model</w:t>
            </w:r>
          </w:p>
        </w:tc>
        <w:tc>
          <w:tcPr>
            <w:tcW w:type="dxa" w:w="646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sz w:val="20"/>
                <w:szCs w:val="20"/>
              </w:rPr>
              <w:t xml:space="preserve">Five tiers (Primus, Secundus, Tertius, Quartus, Quintus) with strict hierarchical delegation downward, hierarchical escalation upward, and a defined safety bypass for exceptional conditions. Provides a concrete model for who owns what across enclaves.</w:t>
            </w:r>
          </w:p>
        </w:tc>
      </w:tr>
      <w:tr>
        <w:tc>
          <w:tcPr>
            <w:tcW w:type="dxa" w:w="29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b/>
                <w:bCs/>
                <w:sz w:val="20"/>
                <w:szCs w:val="20"/>
              </w:rPr>
              <w:t xml:space="preserve">Runtime assurance as continuous V&amp;V</w:t>
            </w:r>
          </w:p>
        </w:tc>
        <w:tc>
          <w:tcPr>
            <w:tcW w:type="dxa" w:w="646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sz w:val="20"/>
                <w:szCs w:val="20"/>
              </w:rPr>
              <w:t xml:space="preserve">Drift detection, mission coherence monitoring, policy deviation detection, and explainability surfacing are architectural commitments that produce continuous validation evidence between formal review milestones. Not observability; validation.</w:t>
            </w:r>
          </w:p>
        </w:tc>
      </w:tr>
      <w:tr>
        <w:tc>
          <w:tcPr>
            <w:tcW w:type="dxa" w:w="29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b/>
                <w:bCs/>
                <w:sz w:val="20"/>
                <w:szCs w:val="20"/>
              </w:rPr>
              <w:t xml:space="preserve">Trust escalation model</w:t>
            </w:r>
          </w:p>
        </w:tc>
        <w:tc>
          <w:tcPr>
            <w:tcW w:type="dxa" w:w="646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sz w:val="20"/>
                <w:szCs w:val="20"/>
              </w:rPr>
              <w:t xml:space="preserve">Four levels (advisory only, recommend and approve, automated with audit, fully autonomous). Each advancement requires explicit governance approval grounded in runtime assurance evidence. Trust is earned through evidence, not asserted by capability.</w:t>
            </w:r>
          </w:p>
        </w:tc>
      </w:tr>
    </w:tbl>
    <w:p>
      <w:pPr>
        <w:spacing w:after="180" w:before="400"/>
      </w:pPr>
      <w:r>
        <w:rPr>
          <w:rFonts w:ascii="Georgia" w:cs="Georgia" w:eastAsia="Georgia" w:hAnsi="Georgia"/>
          <w:b/>
          <w:bCs/>
          <w:color w:val="1A1A1A"/>
          <w:sz w:val="32"/>
          <w:szCs w:val="32"/>
        </w:rPr>
        <w:t xml:space="preserve">What This Means for Your Enterprise</w:t>
      </w:r>
    </w:p>
    <w:p>
      <w:pPr>
        <w:spacing w:after="180" w:before="0" w:line="320"/>
        <w:jc w:val="both"/>
      </w:pPr>
      <w:r>
        <w:rPr>
          <w:rFonts w:ascii="Calibri" w:cs="Calibri" w:eastAsia="Calibri" w:hAnsi="Calibri"/>
          <w:sz w:val="22"/>
          <w:szCs w:val="22"/>
        </w:rPr>
        <w:t xml:space="preserve">The framework is integration-ready for two enterprise contexts. Enterprises with an existing systems engineering management plan layer the AI-specific specializations on top of their existing practice. Enterprises without one treat Modus Primus as the engineering specification directly. The specification flags enterprise-specific decisions with </w:t>
      </w:r>
      <w:r>
        <w:rPr>
          <w:rFonts w:ascii="Consolas" w:cs="Consolas" w:eastAsia="Consolas" w:hAnsi="Consolas"/>
          <w:sz w:val="20"/>
          <w:szCs w:val="20"/>
        </w:rPr>
        <w:t xml:space="preserve">[ENTERPRISE:]</w:t>
      </w:r>
      <w:r>
        <w:rPr>
          <w:rFonts w:ascii="Calibri" w:cs="Calibri" w:eastAsia="Calibri" w:hAnsi="Calibri"/>
          <w:sz w:val="22"/>
          <w:szCs w:val="22"/>
        </w:rPr>
        <w:t xml:space="preserve"> placeholders for editorial completion during adoption.</w:t>
      </w:r>
    </w:p>
    <w:p>
      <w:pPr>
        <w:spacing w:after="120" w:before="280"/>
      </w:pPr>
      <w:r>
        <w:rPr>
          <w:rFonts w:ascii="Georgia" w:cs="Georgia" w:eastAsia="Georgia" w:hAnsi="Georgia"/>
          <w:b/>
          <w:bCs/>
          <w:color w:val="1A1A1A"/>
          <w:sz w:val="24"/>
          <w:szCs w:val="24"/>
        </w:rPr>
        <w:t xml:space="preserve">First Actions by 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4"/>
              <w:left w:val="single" w:color="CCCCCC" w:sz="4"/>
              <w:bottom w:val="single" w:color="CCCCCC" w:sz="4"/>
              <w:right w:val="single" w:color="CCCCCC" w:sz="4"/>
            </w:tcBorders>
            <w:shd w:fill="DEDBD1" w:val="clear"/>
            <w:tcMar>
              <w:top w:type="dxa" w:w="140"/>
              <w:left w:type="dxa" w:w="160"/>
              <w:bottom w:type="dxa" w:w="140"/>
              <w:right w:type="dxa" w:w="160"/>
            </w:tcMar>
          </w:tcPr>
          <w:p>
            <w:pPr>
              <w:spacing w:after="0" w:before="0"/>
            </w:pPr>
            <w:r>
              <w:rPr>
                <w:rFonts w:ascii="Calibri" w:cs="Calibri" w:eastAsia="Calibri" w:hAnsi="Calibri"/>
                <w:b/>
                <w:bCs/>
                <w:color w:val="1A1A1A"/>
                <w:sz w:val="20"/>
                <w:szCs w:val="20"/>
              </w:rPr>
              <w:t xml:space="preserve">Audience</w:t>
            </w:r>
          </w:p>
        </w:tc>
        <w:tc>
          <w:tcPr>
            <w:tcW w:type="dxa" w:w="6660"/>
            <w:tcBorders>
              <w:top w:val="single" w:color="CCCCCC" w:sz="4"/>
              <w:left w:val="single" w:color="CCCCCC" w:sz="4"/>
              <w:bottom w:val="single" w:color="CCCCCC" w:sz="4"/>
              <w:right w:val="single" w:color="CCCCCC" w:sz="4"/>
            </w:tcBorders>
            <w:shd w:fill="DEDBD1" w:val="clear"/>
            <w:tcMar>
              <w:top w:type="dxa" w:w="140"/>
              <w:left w:type="dxa" w:w="160"/>
              <w:bottom w:type="dxa" w:w="140"/>
              <w:right w:type="dxa" w:w="160"/>
            </w:tcMar>
          </w:tcPr>
          <w:p>
            <w:pPr>
              <w:spacing w:after="0" w:before="0"/>
            </w:pPr>
            <w:r>
              <w:rPr>
                <w:rFonts w:ascii="Calibri" w:cs="Calibri" w:eastAsia="Calibri" w:hAnsi="Calibri"/>
                <w:b/>
                <w:bCs/>
                <w:color w:val="1A1A1A"/>
                <w:sz w:val="20"/>
                <w:szCs w:val="20"/>
              </w:rPr>
              <w:t xml:space="preserve">Typical first actions</w:t>
            </w:r>
          </w:p>
        </w:tc>
      </w:tr>
      <w:tr>
        <w:tc>
          <w:tcPr>
            <w:tcW w:type="dxa" w:w="27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b/>
                <w:bCs/>
                <w:sz w:val="20"/>
                <w:szCs w:val="20"/>
              </w:rPr>
              <w:t xml:space="preserve">Engineering</w:t>
            </w:r>
            <w:r>
              <w:rPr>
                <w:rFonts w:ascii="Calibri" w:cs="Calibri" w:eastAsia="Calibri" w:hAnsi="Calibri"/>
                <w:sz w:val="20"/>
                <w:szCs w:val="20"/>
              </w:rPr>
              <w:t xml:space="preserve">
(Systems engineering, chief engineer's office)</w:t>
            </w:r>
          </w:p>
        </w:tc>
        <w:tc>
          <w:tcPr>
            <w:tcW w:type="dxa" w:w="666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sz w:val="20"/>
                <w:szCs w:val="20"/>
              </w:rPr>
              <w:t xml:space="preserve">Instantiate the WBS as a Modus Primus instance for the target architectural domain. Populate the per-enclave tech baseline template for the first enclave. Stand up the four V&amp;V instruments at minimum viable fidelity. Initiate runtime assurance signals early: the longest-lead engineering effort.</w:t>
            </w:r>
          </w:p>
        </w:tc>
      </w:tr>
      <w:tr>
        <w:tc>
          <w:tcPr>
            <w:tcW w:type="dxa" w:w="27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b/>
                <w:bCs/>
                <w:sz w:val="20"/>
                <w:szCs w:val="20"/>
              </w:rPr>
              <w:t xml:space="preserve">Governance</w:t>
            </w:r>
            <w:r>
              <w:rPr>
                <w:rFonts w:ascii="Calibri" w:cs="Calibri" w:eastAsia="Calibri" w:hAnsi="Calibri"/>
                <w:sz w:val="20"/>
                <w:szCs w:val="20"/>
              </w:rPr>
              <w:t xml:space="preserve">
(Architecture governance, compliance, security)</w:t>
            </w:r>
          </w:p>
        </w:tc>
        <w:tc>
          <w:tcPr>
            <w:tcW w:type="dxa" w:w="666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sz w:val="20"/>
                <w:szCs w:val="20"/>
              </w:rPr>
              <w:t xml:space="preserve">Approve ownership assignments for the five-M files. Define trust escalation thresholds and triggers in execution-policy.md. Set review cadences for the WBS and per-enclave tech baselines. Establish the means election review as a working governance forum.</w:t>
            </w:r>
          </w:p>
        </w:tc>
      </w:tr>
      <w:tr>
        <w:tc>
          <w:tcPr>
            <w:tcW w:type="dxa" w:w="27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b/>
                <w:bCs/>
                <w:sz w:val="20"/>
                <w:szCs w:val="20"/>
              </w:rPr>
              <w:t xml:space="preserve">Programs</w:t>
            </w:r>
            <w:r>
              <w:rPr>
                <w:rFonts w:ascii="Calibri" w:cs="Calibri" w:eastAsia="Calibri" w:hAnsi="Calibri"/>
                <w:sz w:val="20"/>
                <w:szCs w:val="20"/>
              </w:rPr>
              <w:t xml:space="preserve">
(Program managers, capability architects)</w:t>
            </w:r>
          </w:p>
        </w:tc>
        <w:tc>
          <w:tcPr>
            <w:tcW w:type="dxa" w:w="666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sz w:val="20"/>
                <w:szCs w:val="20"/>
              </w:rPr>
              <w:t xml:space="preserve">Author initial agent contracts for the program's key persistent specialist agents. Identify candidate mechanisms that would benefit from purposive election as means. Integrate runtime assurance signals into program-level operational dashboards. Establish federation contract obligations with the parent enclave's harness instance.</w:t>
            </w:r>
          </w:p>
        </w:tc>
      </w:tr>
    </w:tbl>
    <w:p>
      <w:pPr>
        <w:spacing w:after="120" w:before="280"/>
      </w:pPr>
      <w:r>
        <w:rPr>
          <w:rFonts w:ascii="Georgia" w:cs="Georgia" w:eastAsia="Georgia" w:hAnsi="Georgia"/>
          <w:b/>
          <w:bCs/>
          <w:color w:val="1A1A1A"/>
          <w:sz w:val="24"/>
          <w:szCs w:val="24"/>
        </w:rPr>
        <w:t xml:space="preserve">Out of Scope</w:t>
      </w:r>
    </w:p>
    <w:p>
      <w:pPr>
        <w:spacing w:after="180" w:before="0" w:line="320"/>
        <w:jc w:val="both"/>
      </w:pPr>
      <w:r>
        <w:rPr>
          <w:rFonts w:ascii="Calibri" w:cs="Calibri" w:eastAsia="Calibri" w:hAnsi="Calibri"/>
          <w:sz w:val="22"/>
          <w:szCs w:val="22"/>
        </w:rPr>
        <w:t xml:space="preserve">The framework is deliberately bounded. The following remain the responsibility of enterprise practice or other documents:</w:t>
      </w:r>
    </w:p>
    <w:p>
      <w:pPr>
        <w:pStyle w:val="ListParagraph"/>
        <w:numPr>
          <w:ilvl w:val="0"/>
          <w:numId w:val="2"/>
        </w:numPr>
        <w:spacing w:after="100" w:before="0" w:line="300"/>
      </w:pPr>
      <w:r>
        <w:rPr>
          <w:rFonts w:ascii="Calibri" w:cs="Calibri" w:eastAsia="Calibri" w:hAnsi="Calibri"/>
          <w:b/>
          <w:bCs/>
          <w:sz w:val="22"/>
          <w:szCs w:val="22"/>
        </w:rPr>
        <w:t xml:space="preserve">Detailed Identity and Access Management implementation.</w:t>
      </w:r>
      <w:r>
        <w:rPr>
          <w:rFonts w:ascii="Calibri" w:cs="Calibri" w:eastAsia="Calibri" w:hAnsi="Calibri"/>
          <w:sz w:val="22"/>
          <w:szCs w:val="22"/>
        </w:rPr>
        <w:t xml:space="preserve"> The framework cites IAM constraints and trust escalation primitives. Identity provider choice, credential issuance procedures, and session management mechanics are properties of the enterprise's IAM infrastructure.</w:t>
      </w:r>
    </w:p>
    <w:p>
      <w:pPr>
        <w:pStyle w:val="ListParagraph"/>
        <w:numPr>
          <w:ilvl w:val="0"/>
          <w:numId w:val="2"/>
        </w:numPr>
        <w:spacing w:after="100" w:before="0" w:line="300"/>
      </w:pPr>
      <w:r>
        <w:rPr>
          <w:rFonts w:ascii="Calibri" w:cs="Calibri" w:eastAsia="Calibri" w:hAnsi="Calibri"/>
          <w:b/>
          <w:bCs/>
          <w:sz w:val="22"/>
          <w:szCs w:val="22"/>
        </w:rPr>
        <w:t xml:space="preserve">Specific model selection and tuning recipes.</w:t>
      </w:r>
      <w:r>
        <w:rPr>
          <w:rFonts w:ascii="Calibri" w:cs="Calibri" w:eastAsia="Calibri" w:hAnsi="Calibri"/>
          <w:sz w:val="22"/>
          <w:szCs w:val="22"/>
        </w:rPr>
        <w:t xml:space="preserve"> Model choice, fine-tuning procedures, and prompt engineering practice are captured in per-enclave tech baselines, not in the canonical specification.</w:t>
      </w:r>
    </w:p>
    <w:p>
      <w:pPr>
        <w:pStyle w:val="ListParagraph"/>
        <w:numPr>
          <w:ilvl w:val="0"/>
          <w:numId w:val="2"/>
        </w:numPr>
        <w:spacing w:after="100" w:before="0" w:line="300"/>
      </w:pPr>
      <w:r>
        <w:rPr>
          <w:rFonts w:ascii="Calibri" w:cs="Calibri" w:eastAsia="Calibri" w:hAnsi="Calibri"/>
          <w:b/>
          <w:bCs/>
          <w:sz w:val="22"/>
          <w:szCs w:val="22"/>
        </w:rPr>
        <w:t xml:space="preserve">Detailed program management processes.</w:t>
      </w:r>
      <w:r>
        <w:rPr>
          <w:rFonts w:ascii="Calibri" w:cs="Calibri" w:eastAsia="Calibri" w:hAnsi="Calibri"/>
          <w:sz w:val="22"/>
          <w:szCs w:val="22"/>
        </w:rPr>
        <w:t xml:space="preserve"> Schedule, cost, and staffing methodology are the enterprise's program management domain.</w:t>
      </w:r>
    </w:p>
    <w:p>
      <w:pPr>
        <w:pStyle w:val="ListParagraph"/>
        <w:numPr>
          <w:ilvl w:val="0"/>
          <w:numId w:val="2"/>
        </w:numPr>
        <w:spacing w:after="100" w:before="0" w:line="300"/>
      </w:pPr>
      <w:r>
        <w:rPr>
          <w:rFonts w:ascii="Calibri" w:cs="Calibri" w:eastAsia="Calibri" w:hAnsi="Calibri"/>
          <w:b/>
          <w:bCs/>
          <w:sz w:val="22"/>
          <w:szCs w:val="22"/>
        </w:rPr>
        <w:t xml:space="preserve">Vendor-specific tooling guides.</w:t>
      </w:r>
      <w:r>
        <w:rPr>
          <w:rFonts w:ascii="Calibri" w:cs="Calibri" w:eastAsia="Calibri" w:hAnsi="Calibri"/>
          <w:sz w:val="22"/>
          <w:szCs w:val="22"/>
        </w:rPr>
        <w:t xml:space="preserve"> The framework is vendor-neutral. Implementations using specific clouds, models, orchestration platforms, or governance toolchains are documented in per-enclave tech baselines or vendor-specific addenda.</w:t>
      </w:r>
    </w:p>
    <w:p>
      <w:pPr>
        <w:pStyle w:val="ListParagraph"/>
        <w:numPr>
          <w:ilvl w:val="0"/>
          <w:numId w:val="2"/>
        </w:numPr>
        <w:spacing w:after="100" w:before="0" w:line="300"/>
      </w:pPr>
      <w:r>
        <w:rPr>
          <w:rFonts w:ascii="Calibri" w:cs="Calibri" w:eastAsia="Calibri" w:hAnsi="Calibri"/>
          <w:b/>
          <w:bCs/>
          <w:sz w:val="22"/>
          <w:szCs w:val="22"/>
        </w:rPr>
        <w:t xml:space="preserve">Training curriculum and operational runbooks.</w:t>
      </w:r>
      <w:r>
        <w:rPr>
          <w:rFonts w:ascii="Calibri" w:cs="Calibri" w:eastAsia="Calibri" w:hAnsi="Calibri"/>
          <w:sz w:val="22"/>
          <w:szCs w:val="22"/>
        </w:rPr>
        <w:t xml:space="preserve"> Workforce development and runbook content are properties of specific deployments, not of the architectural pattern.</w:t>
      </w:r>
    </w:p>
    <w:p>
      <w:pPr>
        <w:spacing w:after="180" w:before="400"/>
      </w:pPr>
      <w:r>
        <w:rPr>
          <w:rFonts w:ascii="Georgia" w:cs="Georgia" w:eastAsia="Georgia" w:hAnsi="Georgia"/>
          <w:b/>
          <w:bCs/>
          <w:color w:val="1A1A1A"/>
          <w:sz w:val="32"/>
          <w:szCs w:val="32"/>
        </w:rPr>
        <w:t xml:space="preserve">Standards Alignment</w:t>
      </w:r>
    </w:p>
    <w:p>
      <w:pPr>
        <w:spacing w:after="180" w:before="0" w:line="320"/>
        <w:jc w:val="both"/>
      </w:pPr>
      <w:r>
        <w:rPr>
          <w:rFonts w:ascii="Calibri" w:cs="Calibri" w:eastAsia="Calibri" w:hAnsi="Calibri"/>
          <w:sz w:val="22"/>
          <w:szCs w:val="22"/>
        </w:rPr>
        <w:t xml:space="preserve">The framework is consistent with established systems engineering and architecture-description conventions. The mapping below identifies the principal correspondences. The framework does not claim to be a strict implementation of any single standard; where its terminology differs, the framework's terminology is authoritative within its own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800"/>
        <w:gridCol w:w="2860"/>
      </w:tblGrid>
      <w:tr>
        <w:tc>
          <w:tcPr>
            <w:tcW w:type="dxa" w:w="2700"/>
            <w:tcBorders>
              <w:top w:val="single" w:color="CCCCCC" w:sz="4"/>
              <w:left w:val="single" w:color="CCCCCC" w:sz="4"/>
              <w:bottom w:val="single" w:color="CCCCCC" w:sz="4"/>
              <w:right w:val="single" w:color="CCCCCC" w:sz="4"/>
            </w:tcBorders>
            <w:shd w:fill="DEDBD1" w:val="clear"/>
            <w:tcMar>
              <w:top w:type="dxa" w:w="140"/>
              <w:left w:type="dxa" w:w="160"/>
              <w:bottom w:type="dxa" w:w="140"/>
              <w:right w:type="dxa" w:w="160"/>
            </w:tcMar>
          </w:tcPr>
          <w:p>
            <w:pPr>
              <w:spacing w:after="0" w:before="0"/>
            </w:pPr>
            <w:r>
              <w:rPr>
                <w:rFonts w:ascii="Calibri" w:cs="Calibri" w:eastAsia="Calibri" w:hAnsi="Calibri"/>
                <w:b/>
                <w:bCs/>
                <w:color w:val="1A1A1A"/>
                <w:sz w:val="20"/>
                <w:szCs w:val="20"/>
              </w:rPr>
              <w:t xml:space="preserve">Framework concept</w:t>
            </w:r>
          </w:p>
        </w:tc>
        <w:tc>
          <w:tcPr>
            <w:tcW w:type="dxa" w:w="3800"/>
            <w:tcBorders>
              <w:top w:val="single" w:color="CCCCCC" w:sz="4"/>
              <w:left w:val="single" w:color="CCCCCC" w:sz="4"/>
              <w:bottom w:val="single" w:color="CCCCCC" w:sz="4"/>
              <w:right w:val="single" w:color="CCCCCC" w:sz="4"/>
            </w:tcBorders>
            <w:shd w:fill="DEDBD1" w:val="clear"/>
            <w:tcMar>
              <w:top w:type="dxa" w:w="140"/>
              <w:left w:type="dxa" w:w="160"/>
              <w:bottom w:type="dxa" w:w="140"/>
              <w:right w:type="dxa" w:w="160"/>
            </w:tcMar>
          </w:tcPr>
          <w:p>
            <w:pPr>
              <w:spacing w:after="0" w:before="0"/>
            </w:pPr>
            <w:r>
              <w:rPr>
                <w:rFonts w:ascii="Calibri" w:cs="Calibri" w:eastAsia="Calibri" w:hAnsi="Calibri"/>
                <w:b/>
                <w:bCs/>
                <w:color w:val="1A1A1A"/>
                <w:sz w:val="20"/>
                <w:szCs w:val="20"/>
              </w:rPr>
              <w:t xml:space="preserve">External standard analogue</w:t>
            </w:r>
          </w:p>
        </w:tc>
        <w:tc>
          <w:tcPr>
            <w:tcW w:type="dxa" w:w="2860"/>
            <w:tcBorders>
              <w:top w:val="single" w:color="CCCCCC" w:sz="4"/>
              <w:left w:val="single" w:color="CCCCCC" w:sz="4"/>
              <w:bottom w:val="single" w:color="CCCCCC" w:sz="4"/>
              <w:right w:val="single" w:color="CCCCCC" w:sz="4"/>
            </w:tcBorders>
            <w:shd w:fill="DEDBD1" w:val="clear"/>
            <w:tcMar>
              <w:top w:type="dxa" w:w="140"/>
              <w:left w:type="dxa" w:w="160"/>
              <w:bottom w:type="dxa" w:w="140"/>
              <w:right w:type="dxa" w:w="160"/>
            </w:tcMar>
          </w:tcPr>
          <w:p>
            <w:pPr>
              <w:spacing w:after="0" w:before="0"/>
            </w:pPr>
            <w:r>
              <w:rPr>
                <w:rFonts w:ascii="Calibri" w:cs="Calibri" w:eastAsia="Calibri" w:hAnsi="Calibri"/>
                <w:b/>
                <w:bCs/>
                <w:color w:val="1A1A1A"/>
                <w:sz w:val="20"/>
                <w:szCs w:val="20"/>
              </w:rPr>
              <w:t xml:space="preserve">Notes</w:t>
            </w:r>
          </w:p>
        </w:tc>
      </w:tr>
      <w:tr>
        <w:tc>
          <w:tcPr>
            <w:tcW w:type="dxa" w:w="27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sz w:val="20"/>
                <w:szCs w:val="20"/>
              </w:rPr>
              <w:t xml:space="preserve">WBS and tech baseline pattern</w:t>
            </w:r>
          </w:p>
        </w:tc>
        <w:tc>
          <w:tcPr>
            <w:tcW w:type="dxa" w:w="38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sz w:val="20"/>
                <w:szCs w:val="20"/>
              </w:rPr>
              <w:t xml:space="preserve">INCOSE system breakdown; ISO/IEC/IEEE 42010 architecture description</w:t>
            </w:r>
          </w:p>
        </w:tc>
        <w:tc>
          <w:tcPr>
            <w:tcW w:type="dxa" w:w="286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sz w:val="20"/>
                <w:szCs w:val="20"/>
              </w:rPr>
              <w:t xml:space="preserve">WBS as architectural spec; tech baselines as realization</w:t>
            </w:r>
          </w:p>
        </w:tc>
      </w:tr>
      <w:tr>
        <w:tc>
          <w:tcPr>
            <w:tcW w:type="dxa" w:w="27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sz w:val="20"/>
                <w:szCs w:val="20"/>
              </w:rPr>
              <w:t xml:space="preserve">Five-M decomposition</w:t>
            </w:r>
          </w:p>
        </w:tc>
        <w:tc>
          <w:tcPr>
            <w:tcW w:type="dxa" w:w="38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sz w:val="20"/>
                <w:szCs w:val="20"/>
              </w:rPr>
              <w:t xml:space="preserve">ISO/IEC/IEEE 42010 architecture viewpoints</w:t>
            </w:r>
          </w:p>
        </w:tc>
        <w:tc>
          <w:tcPr>
            <w:tcW w:type="dxa" w:w="286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sz w:val="20"/>
                <w:szCs w:val="20"/>
              </w:rPr>
              <w:t xml:space="preserve">Each M is a viewpoint on the system's purposive disposition</w:t>
            </w:r>
          </w:p>
        </w:tc>
      </w:tr>
      <w:tr>
        <w:tc>
          <w:tcPr>
            <w:tcW w:type="dxa" w:w="27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sz w:val="20"/>
                <w:szCs w:val="20"/>
              </w:rPr>
              <w:t xml:space="preserve">Federation pattern</w:t>
            </w:r>
          </w:p>
        </w:tc>
        <w:tc>
          <w:tcPr>
            <w:tcW w:type="dxa" w:w="38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sz w:val="20"/>
                <w:szCs w:val="20"/>
              </w:rPr>
              <w:t xml:space="preserve">TOGAF federation; ISO/IEC/IEEE 42010 frameworks</w:t>
            </w:r>
          </w:p>
        </w:tc>
        <w:tc>
          <w:tcPr>
            <w:tcW w:type="dxa" w:w="286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sz w:val="20"/>
                <w:szCs w:val="20"/>
              </w:rPr>
              <w:t xml:space="preserve">Tier-bounded inheritance contracts</w:t>
            </w:r>
          </w:p>
        </w:tc>
      </w:tr>
      <w:tr>
        <w:tc>
          <w:tcPr>
            <w:tcW w:type="dxa" w:w="27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sz w:val="20"/>
                <w:szCs w:val="20"/>
              </w:rPr>
              <w:t xml:space="preserve">V&amp;V instruments</w:t>
            </w:r>
          </w:p>
        </w:tc>
        <w:tc>
          <w:tcPr>
            <w:tcW w:type="dxa" w:w="38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sz w:val="20"/>
                <w:szCs w:val="20"/>
              </w:rPr>
              <w:t xml:space="preserve">INCOSE V&amp;V; ISO/IEC/IEEE 15288</w:t>
            </w:r>
          </w:p>
        </w:tc>
        <w:tc>
          <w:tcPr>
            <w:tcW w:type="dxa" w:w="286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sz w:val="20"/>
                <w:szCs w:val="20"/>
              </w:rPr>
              <w:t xml:space="preserve">Specialized for substrate volatility and non-determinism</w:t>
            </w:r>
          </w:p>
        </w:tc>
      </w:tr>
      <w:tr>
        <w:tc>
          <w:tcPr>
            <w:tcW w:type="dxa" w:w="27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sz w:val="20"/>
                <w:szCs w:val="20"/>
              </w:rPr>
              <w:t xml:space="preserve">Runtime assurance</w:t>
            </w:r>
          </w:p>
        </w:tc>
        <w:tc>
          <w:tcPr>
            <w:tcW w:type="dxa" w:w="38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sz w:val="20"/>
                <w:szCs w:val="20"/>
              </w:rPr>
              <w:t xml:space="preserve">Runtime verification; continuous IV&amp;V</w:t>
            </w:r>
          </w:p>
        </w:tc>
        <w:tc>
          <w:tcPr>
            <w:tcW w:type="dxa" w:w="286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sz w:val="20"/>
                <w:szCs w:val="20"/>
              </w:rPr>
              <w:t xml:space="preserve">AI-architecture-specific drift, coherence, deviation</w:t>
            </w:r>
          </w:p>
        </w:tc>
      </w:tr>
      <w:tr>
        <w:tc>
          <w:tcPr>
            <w:tcW w:type="dxa" w:w="27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sz w:val="20"/>
                <w:szCs w:val="20"/>
              </w:rPr>
              <w:t xml:space="preserve">Trust escalation</w:t>
            </w:r>
          </w:p>
        </w:tc>
        <w:tc>
          <w:tcPr>
            <w:tcW w:type="dxa" w:w="38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sz w:val="20"/>
                <w:szCs w:val="20"/>
              </w:rPr>
              <w:t xml:space="preserve">Authority-to-Operate progression; risk-based access</w:t>
            </w:r>
          </w:p>
        </w:tc>
        <w:tc>
          <w:tcPr>
            <w:tcW w:type="dxa" w:w="286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sz w:val="20"/>
                <w:szCs w:val="20"/>
              </w:rPr>
              <w:t xml:space="preserve">Governance primitive tying policy to runtime</w:t>
            </w:r>
          </w:p>
        </w:tc>
      </w:tr>
    </w:tbl>
    <w:p>
      <w:pPr>
        <w:spacing w:after="180" w:before="400"/>
      </w:pPr>
      <w:r>
        <w:rPr>
          <w:rFonts w:ascii="Georgia" w:cs="Georgia" w:eastAsia="Georgia" w:hAnsi="Georgia"/>
          <w:b/>
          <w:bCs/>
          <w:color w:val="1A1A1A"/>
          <w:sz w:val="32"/>
          <w:szCs w:val="32"/>
        </w:rPr>
        <w:t xml:space="preserve">Citation and Access</w:t>
      </w:r>
    </w:p>
    <w:p>
      <w:pPr>
        <w:spacing w:after="180" w:before="0" w:line="320"/>
        <w:jc w:val="both"/>
      </w:pPr>
      <w:r>
        <w:rPr>
          <w:rFonts w:ascii="Calibri" w:cs="Calibri" w:eastAsia="Calibri" w:hAnsi="Calibri"/>
          <w:sz w:val="22"/>
          <w:szCs w:val="22"/>
        </w:rPr>
        <w:t xml:space="preserve">Both documents are published on Zenodo under Creative Commons Attribution 4.0 International (CC BY 4.0). Both are independently citable, discoverable through ORCID and OpenAIRE, and stable under their DOI identifiers.</w:t>
      </w:r>
    </w:p>
    <w:p>
      <w:pPr>
        <w:spacing w:after="80" w:before="240"/>
      </w:pPr>
      <w:r>
        <w:rPr>
          <w:rFonts w:ascii="Calibri" w:cs="Calibri" w:eastAsia="Calibri" w:hAnsi="Calibri"/>
          <w:b/>
          <w:bCs/>
          <w:color w:val="8B2E2E"/>
          <w:sz w:val="20"/>
          <w:szCs w:val="20"/>
        </w:rPr>
        <w:t xml:space="preserve">PAHA  ·  ARCHITECTURAL PATTERN</w:t>
      </w:r>
    </w:p>
    <w:p>
      <w:pPr>
        <w:spacing w:after="60" w:before="0" w:line="280"/>
        <w:ind w:left="360" w:hanging="360"/>
      </w:pPr>
      <w:r>
        <w:rPr>
          <w:rFonts w:ascii="Calibri" w:cs="Calibri" w:eastAsia="Calibri" w:hAnsi="Calibri"/>
          <w:sz w:val="22"/>
          <w:szCs w:val="22"/>
        </w:rPr>
        <w:t xml:space="preserve">Longmire, J. (2026). </w:t>
      </w:r>
      <w:r>
        <w:rPr>
          <w:rFonts w:ascii="Calibri" w:cs="Calibri" w:eastAsia="Calibri" w:hAnsi="Calibri"/>
          <w:i/>
          <w:iCs/>
          <w:sz w:val="22"/>
          <w:szCs w:val="22"/>
        </w:rPr>
        <w:t xml:space="preserve">Portable Agent Harness Architecture: A Capability-Centric Framework for Governed AI Ecosystems in Sovereignty-Bounded Enterprises</w:t>
      </w:r>
      <w:r>
        <w:rPr>
          <w:rFonts w:ascii="Calibri" w:cs="Calibri" w:eastAsia="Calibri" w:hAnsi="Calibri"/>
          <w:sz w:val="22"/>
          <w:szCs w:val="22"/>
        </w:rPr>
        <w:t xml:space="preserve">, Revision 2.2. Zenodo.</w:t>
      </w:r>
    </w:p>
    <w:p>
      <w:pPr>
        <w:spacing w:after="0" w:before="0"/>
        <w:ind w:left="720"/>
      </w:pPr>
      <w:r>
        <w:rPr>
          <w:rFonts w:ascii="Consolas" w:cs="Consolas" w:eastAsia="Consolas" w:hAnsi="Consolas"/>
          <w:color w:val="8B2E2E"/>
          <w:sz w:val="22"/>
          <w:szCs w:val="22"/>
        </w:rPr>
        <w:t xml:space="preserve">https://doi.org/10.5281/zenodo.20112631</w:t>
      </w:r>
    </w:p>
    <w:p>
      <w:pPr>
        <w:spacing w:after="80" w:before="240"/>
      </w:pPr>
      <w:r>
        <w:rPr>
          <w:rFonts w:ascii="Calibri" w:cs="Calibri" w:eastAsia="Calibri" w:hAnsi="Calibri"/>
          <w:b/>
          <w:bCs/>
          <w:color w:val="8B2E2E"/>
          <w:sz w:val="20"/>
          <w:szCs w:val="20"/>
        </w:rPr>
        <w:t xml:space="preserve">MODUS PRIMUS  ·  ENGINEERING PRACTICE</w:t>
      </w:r>
    </w:p>
    <w:p>
      <w:pPr>
        <w:spacing w:after="60" w:before="0" w:line="280"/>
        <w:ind w:left="360" w:hanging="360"/>
      </w:pPr>
      <w:r>
        <w:rPr>
          <w:rFonts w:ascii="Calibri" w:cs="Calibri" w:eastAsia="Calibri" w:hAnsi="Calibri"/>
          <w:sz w:val="22"/>
          <w:szCs w:val="22"/>
        </w:rPr>
        <w:t xml:space="preserve">Longmire, J. (2026). </w:t>
      </w:r>
      <w:r>
        <w:rPr>
          <w:rFonts w:ascii="Calibri" w:cs="Calibri" w:eastAsia="Calibri" w:hAnsi="Calibri"/>
          <w:i/>
          <w:iCs/>
          <w:sz w:val="22"/>
          <w:szCs w:val="22"/>
        </w:rPr>
        <w:t xml:space="preserve">Modus Primus: Engineering Specification for AI Architecture (PAHA Companion)</w:t>
      </w:r>
      <w:r>
        <w:rPr>
          <w:rFonts w:ascii="Calibri" w:cs="Calibri" w:eastAsia="Calibri" w:hAnsi="Calibri"/>
          <w:sz w:val="22"/>
          <w:szCs w:val="22"/>
        </w:rPr>
        <w:t xml:space="preserve">, Version 1.1. Zenodo.</w:t>
      </w:r>
    </w:p>
    <w:p>
      <w:pPr>
        <w:spacing w:after="0" w:before="0"/>
        <w:ind w:left="720"/>
      </w:pPr>
      <w:r>
        <w:rPr>
          <w:rFonts w:ascii="Consolas" w:cs="Consolas" w:eastAsia="Consolas" w:hAnsi="Consolas"/>
          <w:color w:val="8B2E2E"/>
          <w:sz w:val="22"/>
          <w:szCs w:val="22"/>
        </w:rPr>
        <w:t xml:space="preserve">https://doi.org/10.5281/zenodo.20113785</w:t>
      </w:r>
    </w:p>
    <w:p>
      <w:pPr>
        <w:pBdr>
          <w:bottom w:val="single" w:color="CCCCCC" w:sz="6" w:space="1"/>
        </w:pBdr>
        <w:spacing w:after="240" w:before="240"/>
      </w:pPr>
      <w:r>
        <w:t xml:space="preserve"/>
      </w:r>
    </w:p>
    <w:p>
      <w:pPr>
        <w:spacing w:after="120" w:before="240"/>
        <w:jc w:val="center"/>
      </w:pPr>
      <w:r>
        <w:rPr>
          <w:rFonts w:ascii="Calibri" w:cs="Calibri" w:eastAsia="Calibri" w:hAnsi="Calibri"/>
          <w:i/>
          <w:iCs/>
          <w:color w:val="6B6B6B"/>
          <w:sz w:val="18"/>
          <w:szCs w:val="18"/>
        </w:rPr>
        <w:t xml:space="preserve">Companion Materials</w:t>
      </w:r>
    </w:p>
    <w:p>
      <w:pPr>
        <w:spacing w:after="80" w:before="0" w:line="300"/>
        <w:jc w:val="center"/>
      </w:pPr>
      <w:r>
        <w:rPr>
          <w:rFonts w:ascii="Calibri" w:cs="Calibri" w:eastAsia="Calibri" w:hAnsi="Calibri"/>
          <w:color w:val="1A1A1A"/>
          <w:sz w:val="20"/>
          <w:szCs w:val="20"/>
        </w:rPr>
        <w:t xml:space="preserve">An executive briefing deck is available alongside this framework overview. </w:t>
      </w:r>
      <w:r>
        <w:rPr>
          <w:rFonts w:ascii="Calibri" w:cs="Calibri" w:eastAsia="Calibri" w:hAnsi="Calibri"/>
          <w:i/>
          <w:iCs/>
          <w:color w:val="6B6B6B"/>
          <w:sz w:val="20"/>
          <w:szCs w:val="20"/>
        </w:rPr>
        <w:t xml:space="preserve">The deck adapts this content for presentation contexts; the framework overview is the written primer that travels with the deck or stands on its own.</w:t>
      </w:r>
    </w:p>
    <w:p>
      <w:pPr>
        <w:spacing w:after="120" w:before="480" w:line="300"/>
        <w:jc w:val="left"/>
      </w:pPr>
      <w:r>
        <w:rPr>
          <w:rFonts w:ascii="Calibri" w:cs="Calibri" w:eastAsia="Calibri" w:hAnsi="Calibri"/>
          <w:i/>
          <w:iCs/>
          <w:color w:val="6B6B6B"/>
          <w:sz w:val="18"/>
          <w:szCs w:val="18"/>
        </w:rPr>
        <w:t xml:space="preserve">This framework overview is a derivative work summarizing the published specifications. For implementation-level detail, consult Modus Primus directly. For architectural-pattern detail, consult PAHA directly. This summary is not itself a deposited artifact and does not carry its own DOI; cite the underlying specifications.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right"/>
    </w:pPr>
    <w:r>
      <w:rPr>
        <w:i/>
        <w:iCs/>
        <w:color w:val="6B6B6B"/>
        <w:sz w:val="18"/>
        <w:szCs w:val="18"/>
      </w:rPr>
      <w:t xml:space="preserve">PAHA + Modus Primus  ·  Framework Overview  ·  Longmire  ·  February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PAHA and Modus Primus: Framework Overview (Executive Summary)</dc:title>
  <dc:creator>James (JD) Longmire</dc:creator>
  <dc:description>Executive summary of the PAHA architectural pattern and the Modus Primus engineering specification</dc:description>
  <cp:lastModifiedBy>Un-named</cp:lastModifiedBy>
  <cp:revision>1</cp:revision>
  <dcterms:created xsi:type="dcterms:W3CDTF">2026-05-11T09:43:51.891Z</dcterms:created>
  <dcterms:modified xsi:type="dcterms:W3CDTF">2026-05-11T09:43:51.892Z</dcterms:modified>
</cp:coreProperties>
</file>

<file path=docProps/custom.xml><?xml version="1.0" encoding="utf-8"?>
<Properties xmlns="http://schemas.openxmlformats.org/officeDocument/2006/custom-properties" xmlns:vt="http://schemas.openxmlformats.org/officeDocument/2006/docPropsVTypes"/>
</file>