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Rain or Pumps?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44444"/>
          <w:sz w:val="30"/>
          <w:szCs w:val="30"/>
        </w:rPr>
        <w:t xml:space="preserve">Attributing India's Groundwater Decline District by District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Capstone Project — Execution Plan &amp; Solution Architecture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BITS Pilani PGCP in AI &amp; Machine Learning</w:t>
      </w:r>
    </w:p>
    <w:p>
      <w:pPr>
        <w:spacing w:after="4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Sivakumar Kakara  ·  Version 1.0  ·  Week 1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Problem framing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Groundwater levels across India are falling, but rainfall varies naturally from year to year. A district’s decline could come from a run of dry years, from unsustainable pumping, or both. We build a “rainfall-expected” baseline model of each district’s groundwater level from rainfall history alone, and treat the systematic gap between that baseline and the observed level as a proxy for human extraction pressure. The end product is a what-if simulator: if a district received 20% more monsoon rain, would it recover — or has the decline become structural?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1.1 What kind of ML problem is this?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core is regression</w:t>
      </w:r>
      <w:r>
        <w:rPr>
          <w:rFonts w:ascii="Calibri" w:cs="Calibri" w:eastAsia="Calibri" w:hAnsi="Calibri"/>
          <w:sz w:val="22"/>
          <w:szCs w:val="22"/>
        </w:rPr>
        <w:t xml:space="preserve"> — the target (groundwater level, metres below ground) is continuous, and both required models (baseline regression; gradient boosting) predict it from rainfall features.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Classification enters as the validation layer</w:t>
      </w:r>
      <w:r>
        <w:rPr>
          <w:rFonts w:ascii="Calibri" w:cs="Calibri" w:eastAsia="Calibri" w:hAnsi="Calibri"/>
          <w:sz w:val="22"/>
          <w:szCs w:val="22"/>
        </w:rPr>
        <w:t xml:space="preserve">: our extraction-pressure ranking is checked against CGWB’s official Safe / Semi-critical / Critical / Over-exploited categories, and a classifier trained on our features to predict those categories quantifies agreement. It is not a text-mining problem at its core; text mining enters through the LLM component (RAG over CGWB reports, §4).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1.2 Syllabus coverage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auto" w:w="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Semester topic</w:t>
            </w:r>
          </w:p>
        </w:tc>
        <w:tc>
          <w:tcPr>
            <w:tcW w:type="auto" w:w="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Where it is used in this project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 1: regularised linear baseline (rainfall → expected level). Model 2: XGBoost/LightGBM non-linear regressor. Residuals = attribution signal.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Week 6: predict CGWB stress category from engineered features; validate residual ranking. Class imbalance handled with class weights vs SMOTE comparison.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Feature engineering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Week 1–2: trailing rainfall windows (3–36 months), monsoon (JJAS) totals and anomaly z-scores, wet-day counts, lagged levels, specific yield; strict no-leakage rule.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Unsupervised learning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Week 5–6: cluster districts by rainfall-response signature (K-Means / hierarchical on response features + PCA) to discover “structurally declining” archetypes.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mining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RAG over CGWB Dynamic Ground Water Resources reports: chunking, embeddings, retrieval feeding the LLM agent with citable district narratives.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 &amp; deep learning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Week 4: MLP regressor benchmarked against gradient boosting on the same splits; optional sequence model on level history if time permits.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200"/>
        <w:gridCol w:w="2260"/>
      </w:tblGrid>
      <w:tr>
        <w:trPr>
          <w:tblHeader/>
        </w:trPr>
        <w:tc>
          <w:tcPr>
            <w:tcW w:type="auto" w:w="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auto" w:w="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auto" w:w="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CGWB QC groundwater levels 2000–2022 (figshare, CC BY 4.0)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2,759 quality-controlled wells; 4 seasonal campaigns/year (Jan/May/Aug/Nov); specific yield per well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Downloaded, explored, reshaped (Week 1 notebook)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IMD 0.25° gridded daily rainfall (imdpune.gov.in)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 yearly NetCDF grids, 1998–2022 (1998–99 pulled for lag windows)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Downloaded; aggregated to cell-month table at the 1,547 grid cells containing wells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Merge design. </w:t>
      </w:r>
      <w:r>
        <w:rPr>
          <w:rFonts w:ascii="Calibri" w:cs="Calibri" w:eastAsia="Calibri" w:hAnsi="Calibri"/>
          <w:sz w:val="22"/>
          <w:szCs w:val="22"/>
        </w:rPr>
        <w:t xml:space="preserve">Each well is snapped to its nearest 0.25° grid node, so rainfall is measured at the well and no error-prone district-name matching between datasets is needed. Wells aggregate to districts by name within the CGWB file itself.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Week-1 modeling dataset: </w:t>
      </w:r>
      <w:r>
        <w:rPr>
          <w:rFonts w:ascii="Calibri" w:cs="Calibri" w:eastAsia="Calibri" w:hAnsi="Calibri"/>
          <w:sz w:val="22"/>
          <w:szCs w:val="22"/>
        </w:rPr>
        <w:t xml:space="preserve">22,715 rows × 23 columns — district × season for 272 districts with ≥3 wells, 2000–2022, with rainfall features and lagged levels attached. Two defensible reductions (Nov+May only ≈ 11.4k rows; district-year ≈ 6k rows) are available if the mentor prefers a smaller table.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Solution architecture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Data layer → Feature store → Models → Attribution → Serving → Interface, kept deliberately simple and reproducible: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60"/>
        <w:gridCol w:w="2800"/>
      </w:tblGrid>
      <w:tr>
        <w:trPr>
          <w:tblHeader/>
        </w:trPr>
        <w:tc>
          <w:tcPr>
            <w:tcW w:type="auto" w:w="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auto" w:w="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auto" w:w="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Raw CGWB CSV + IMD NetCDF → tidy parquet tables; deterministic pipeline scripts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pandas, xarray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Features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Trailing rain windows, anomalies, monsoon totals, lags; leakage-safe joins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pandas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 1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Rainfall-only baseline: Ridge/ElasticNet per-district or pooled with district effects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scikit-learn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 2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Gradient boosting (XGBoost/LightGBM) + MLP benchmark (ANN topic)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xgboost / lightgbm, keras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Attribution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Residual = observed − rainfall-expected; persistence-filtered ranking; CGWB category cross-check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pandas, scipy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Serving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 endpoints: /predict, /whatif, /district_rank, /retrieve_docs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LLM agent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Tool-calling agent that turns questions into endpoint calls and grounded briefs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LangChain + LangGraph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District watchlist map, trend explorer, what-if sliders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Streamlit (or Plotly Dash)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3.1 Evaluation methodology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Metrics: RMSE, MAE, R² on raw and log scales, reported per season.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Cross-validation: GroupKFold by district (spatial generalisation) AND blocked-by-year splits (temporal generalisation, e.g. train 2000–2017, test 2018–2022). Both are reported; leakage-safe by construction.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Attribution validation: rank agreement (Spearman) and classification metrics (PR-AUC, macro-F1) against CGWB stress categories the models never saw.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Ablations: with vs without lagged level; rainfall-only vs full features — makes the “what does rain alone explain?” question quantitative.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LLM component (LangChain / LangGraph)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LLM is the interface, not the model. A LangGraph agent exposes the trained system to non-technical users while every number comes from our endpoints: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Natural-language what-if: “If Kurukshetra gets 20% more monsoon rain next year, will it recover?” → agent parses district + scenario → calls /whatif → answers from returned numbers only.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District briefs: for each watch-listed district the agent assembles trend, residual rank, peer comparison and RAG-retrieved CGWB narrative into a one-page policy brief.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Text mining: CGWB assessment reports are chunked and embedded; retrieval provides citable context (this is the syllabus text-mining component, done honestly inside a numeric project).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Guardrails: the agent may only answer from tool outputs; refusal path when asked beyond model scope; every brief carries model-limitation boilerplate.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Eight-week execution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6160"/>
      </w:tblGrid>
      <w:tr>
        <w:trPr>
          <w:tblHeader/>
        </w:trPr>
        <w:tc>
          <w:tcPr>
            <w:tcW w:type="auto" w:w="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Wk</w:t>
            </w:r>
          </w:p>
        </w:tc>
        <w:tc>
          <w:tcPr>
            <w:tcW w:type="auto" w:w="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Focus</w:t>
            </w:r>
          </w:p>
        </w:tc>
        <w:tc>
          <w:tcPr>
            <w:tcW w:type="auto" w:w="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Deliverables (evidence for weekly sync)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acquisition, EDA, feature engineering, final dataset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DONE — EDA notebook (executed), 22.7k-row modeling dataset, this plan document, report skeleton opened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Freeze cleaned merge; remaining features; CV splitters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Data-prep module with tests; GroupKFold + blocked-year splitters; report §§1–3 drafted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 1 — rainfall-only baseline regression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Ridge/ElasticNet trained + evaluated; per-district vs pooled comparison; error analysis notebook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 2 — gradient boosting + MLP benchmark; MID-SEM EVAL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XGBoost/LightGBM + small MLP; PPT (design &amp; architecture), code walk-through, working prototype demo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 comparison &amp; tuning; unsupervised module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CV results table (RMSE/R²/MAE per season); district clustering by rainfall-response; tuned final model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Residual attribution + classification validation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Extraction-pressure ranking; CGWB category cross-check (Spearman, PR-AUC); imbalance handling comparison (weights vs SMOTE)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FastAPI service + LangGraph agent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/predict, /whatif, /district_rank, /retrieve_docs live; agent answering grounded what-if questions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Dashboard, hardening, END-SEM EVAL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Watchlist dashboard; full code cleanup; final PPT; signed report + code + presentation zipped to Taxila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5.1 Continuous-evaluation alignment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Weekly sync first half — status: show executed notebook cells and diffs; every artefact above is demonstrable, not slideware. Second half — direction: each week ends with a decision to ratify (dataset grain, CV design, model choice, residual persistence rule), giving the mentor a concrete steering point. Report is written in parallel from Week 1 (skeleton already opened), so the Week-8 submission is an edit, not a scramble. Individual contributions are logged per week in the repo README to support the 40% individual-performance component.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4260"/>
      </w:tblGrid>
      <w:tr>
        <w:trPr>
          <w:tblHeader/>
        </w:trPr>
        <w:tc>
          <w:tcPr>
            <w:tcW w:type="auto" w:w="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auto" w:w="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auto" w:w="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May-campaign missingness (~30%) biases seasonal models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Per-season evaluation; sensitivity run excluding May; report missingness explicitly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Lagged-level feature leaks extraction memory into the “rain-only” baseline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 (conceptual)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 model variants: strict rainfall-only for attribution; +lag for forecasting. Never mix the two questions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Residual ≠ pumping (canals, cropping, feedback loops confound)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 (interpretive)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Persistence filter (multi-year systematic residuals only); independent CGWB category validation; explicit causal caveats in report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Well network coverage bias (sparse NE India, J&amp;K)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 scope = monitored districts; show coverage map in report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Official project-package extract differs from our public-source build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Pipeline is source-agnostic; swapping input files re-runs end-to-end deterministically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LLM scope creep in Weeks 7–8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Agent limited to 4 tools; RAG corpus fixed early (CGWB 2022 assessment); demo script frozen in Week 7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Week-1 status (already done)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Both datasets acquired: CGWB figshare extract and all 25 IMD yearly rainfall grids (1998–2022).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Rainfall pipeline built: 25 daily NetCDF grids → monthly rainfall + wet-day counts at the 1,547 well-bearing grid cells.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Data-quality findings: non-unique Station Code key (fixed with minted well_id); 13.6% missing readings concentrated in May campaigns and 2012/2016/2020–21; no target imputation.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EDA complete: monsoon share ≈79% of annual rain; May-deepest/Aug-shallowest seasonal cycle; ~46% of districts deepening post-monsoon; top decliners (Kurukshetra, Ludhiana, Hisar, Bangalore Urban) match known hotspots.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Feature set engineered and screened (mutual information + random forest): 6–12-month rainfall windows and anomaly z-scores lead among rainfall features.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Final modeling dataset saved (22,715 district-season rows, 272 districts) with data dictionary; executed Week-1 notebook ready for the sync walk-through.</w:t>
      </w:r>
    </w:p>
    <w:sectPr>
      <w:pgSz w:w="11906" w:h="16838" w:orient="portrait"/>
      <w:pgMar w:top="1080" w:right="1150" w:bottom="108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2026-08-30T18:47:21.675Z</dcterms:created>
  <dcterms:modified xsi:type="dcterms:W3CDTF">2026-08-30T18:47:21.686Z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