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Spatial</w:t>
      </w:r>
      <w:r>
        <w:t xml:space="preserve"> </w:t>
      </w:r>
      <w:r>
        <w:t xml:space="preserve">Merge</w:t>
      </w:r>
      <w:r>
        <w:t xml:space="preserve"> </w:t>
      </w:r>
      <w:r>
        <w:t xml:space="preserve">Methodology</w:t>
      </w:r>
    </w:p>
    <w:p>
      <w:pPr>
        <w:pStyle w:val="Subtitle"/>
      </w:pPr>
      <w:r>
        <w:t xml:space="preserve">Transferring</w:t>
      </w:r>
      <w:r>
        <w:t xml:space="preserve"> </w:t>
      </w:r>
      <w:r>
        <w:t xml:space="preserve">IMD</w:t>
      </w:r>
      <w:r>
        <w:t xml:space="preserve"> </w:t>
      </w:r>
      <w:r>
        <w:t xml:space="preserve">gridded</w:t>
      </w:r>
      <w:r>
        <w:t xml:space="preserve"> </w:t>
      </w:r>
      <w:r>
        <w:t xml:space="preserve">rainfall</w:t>
      </w:r>
      <w:r>
        <w:t xml:space="preserve"> </w:t>
      </w:r>
      <w:r>
        <w:t xml:space="preserve">to</w:t>
      </w:r>
      <w:r>
        <w:t xml:space="preserve"> </w:t>
      </w:r>
      <w:r>
        <w:t xml:space="preserve">CGWB</w:t>
      </w:r>
      <w:r>
        <w:t xml:space="preserve"> </w:t>
      </w:r>
      <w:r>
        <w:t xml:space="preserve">well</w:t>
      </w:r>
      <w:r>
        <w:t xml:space="preserve"> </w:t>
      </w:r>
      <w:r>
        <w:t xml:space="preserve">locations</w:t>
      </w:r>
    </w:p>
    <w:p>
      <w:pPr>
        <w:pStyle w:val="Author"/>
      </w:pPr>
      <w:r>
        <w:t xml:space="preserve">Rain</w:t>
      </w:r>
      <w:r>
        <w:t xml:space="preserve"> </w:t>
      </w:r>
      <w:r>
        <w:t xml:space="preserve">or</w:t>
      </w:r>
      <w:r>
        <w:t xml:space="preserve"> </w:t>
      </w:r>
      <w:r>
        <w:t xml:space="preserve">Pumps?</w:t>
      </w:r>
      <w:r>
        <w:t xml:space="preserve"> </w:t>
      </w:r>
      <w:r>
        <w:t xml:space="preserve">Attributing</w:t>
      </w:r>
      <w:r>
        <w:t xml:space="preserve"> </w:t>
      </w:r>
      <w:r>
        <w:t xml:space="preserve">India’s</w:t>
      </w:r>
      <w:r>
        <w:t xml:space="preserve"> </w:t>
      </w:r>
      <w:r>
        <w:t xml:space="preserve">Groundwater</w:t>
      </w:r>
      <w:r>
        <w:t xml:space="preserve"> </w:t>
      </w:r>
      <w:r>
        <w:t xml:space="preserve">Decline</w:t>
      </w:r>
      <w:r>
        <w:t xml:space="preserve"> </w:t>
      </w:r>
      <w:r>
        <w:t xml:space="preserve">District</w:t>
      </w:r>
      <w:r>
        <w:t xml:space="preserve"> </w:t>
      </w:r>
      <w:r>
        <w:t xml:space="preserve">by</w:t>
      </w:r>
      <w:r>
        <w:t xml:space="preserve"> </w:t>
      </w:r>
      <w:r>
        <w:t xml:space="preserve">District</w:t>
      </w:r>
      <w:r>
        <w:t xml:space="preserve"> </w:t>
      </w:r>
      <w:r>
        <w:t xml:space="preserve">|</w:t>
      </w:r>
      <w:r>
        <w:t xml:space="preserve"> </w:t>
      </w:r>
      <w:r>
        <w:t xml:space="preserve">BITS</w:t>
      </w:r>
      <w:r>
        <w:t xml:space="preserve"> </w:t>
      </w:r>
      <w:r>
        <w:t xml:space="preserve">Pilani</w:t>
      </w:r>
      <w:r>
        <w:t xml:space="preserve"> </w:t>
      </w:r>
      <w:r>
        <w:t xml:space="preserve">PGCP</w:t>
      </w:r>
      <w:r>
        <w:t xml:space="preserve"> </w:t>
      </w:r>
      <w:r>
        <w:t xml:space="preserve">AI/ML</w:t>
      </w:r>
      <w:r>
        <w:t xml:space="preserve"> </w:t>
      </w:r>
      <w:r>
        <w:t xml:space="preserve">Capstone</w:t>
      </w:r>
    </w:p>
    <w:bookmarkStart w:id="20" w:name="summary"/>
    <w:p>
      <w:pPr>
        <w:pStyle w:val="Heading1"/>
      </w:pPr>
      <w:r>
        <w:t xml:space="preserve">Summary</w:t>
      </w:r>
    </w:p>
    <w:p>
      <w:pPr>
        <w:pStyle w:val="FirstParagraph"/>
      </w:pPr>
      <w:r>
        <w:t xml:space="preserve">Wells are no longer snapped to the nearest grid node. Rainfall is now sampled at each well’s true coordinates by bilinear interpolation, which removes a discretisation error worth 10.1 percent of mean monthly rainfall. Nearest-node snapping displaced a well by 10.2 km on average and 19.4 km at worst, not 55 km, but the error it introduced was material regardless. The whole analysis was then re-run under four different spatial transfer methods, from nearest node to a 50 km area average. The rainfall inputs differ by 5 to 14 percent between them, but the resulting district rankings agree at Spearman correlations above 0.98 in every pairing, so the project’s output does not depend on the choice. Achievable precision is bounded by the IMD product itself, which interpolates each grid value from one to four stations within a 165 km radius.</w:t>
      </w:r>
    </w:p>
    <w:bookmarkEnd w:id="20"/>
    <w:bookmarkStart w:id="21" w:name="purpose"/>
    <w:p>
      <w:pPr>
        <w:pStyle w:val="Heading1"/>
      </w:pPr>
      <w:r>
        <w:t xml:space="preserve">1. Purpose</w:t>
      </w:r>
    </w:p>
    <w:p>
      <w:pPr>
        <w:pStyle w:val="FirstParagraph"/>
      </w:pPr>
      <w:r>
        <w:t xml:space="preserve">This note documents how rainfall is transferred from the IMD gridded product to CGWB well locations, why the method was changed, and what was measured to confirm the choice does not drive the project’s results. It responds directly to review feedback that the original nearest-node approach was not adequately justified.</w:t>
      </w:r>
    </w:p>
    <w:bookmarkEnd w:id="21"/>
    <w:bookmarkStart w:id="22" w:name="the-problem"/>
    <w:p>
      <w:pPr>
        <w:pStyle w:val="Heading1"/>
      </w:pPr>
      <w:r>
        <w:t xml:space="preserve">2. The problem</w:t>
      </w:r>
    </w:p>
    <w:p>
      <w:pPr>
        <w:pStyle w:val="FirstParagraph"/>
      </w:pPr>
      <w:r>
        <w:t xml:space="preserve">The two datasets share no join key. CGWB wells sit at arbitrary surveyed coordinates, for example 14.1917 N, 78.1639 E. IMD rainfall is defined on a fixed 0.25 degree lattice with nodes at 6.5, 6.75, 7.0 and so on. Only</w:t>
      </w:r>
      <w:r>
        <w:t xml:space="preserve"> </w:t>
      </w:r>
      <w:r>
        <w:rPr>
          <w:bCs/>
          <w:b/>
        </w:rPr>
        <w:t xml:space="preserve">3 of 2,759 wells</w:t>
      </w:r>
      <w:r>
        <w:t xml:space="preserve"> </w:t>
      </w:r>
      <w:r>
        <w:t xml:space="preserve">coincide exactly with a lattice node, so a direct coordinate join is impossible and rainfall must be transferred from the grid to each well.</w:t>
      </w:r>
    </w:p>
    <w:bookmarkEnd w:id="22"/>
    <w:bookmarkStart w:id="23" w:name="degree-distance"/>
    <w:p>
      <w:pPr>
        <w:pStyle w:val="Heading1"/>
      </w:pPr>
      <w:r>
        <w:t xml:space="preserve">3. Degree distance</w:t>
      </w:r>
    </w:p>
    <w:p>
      <w:pPr>
        <w:pStyle w:val="FirstParagraph"/>
      </w:pPr>
      <w:r>
        <w:t xml:space="preserve">One degree of latitude is approximately 110.6 km, so a 0.25 degree cell spans about 27.7 km. Longitude degrees shorten with the cosine of latitude, giving roughly 104 km per degree at 20 N.</w:t>
      </w:r>
    </w:p>
    <w:p>
      <w:pPr>
        <w:pStyle w:val="BodyText"/>
      </w:pPr>
      <w:r>
        <w:t xml:space="preserve">Snapping a well to the</w:t>
      </w:r>
      <w:r>
        <w:t xml:space="preserve"> </w:t>
      </w:r>
      <w:r>
        <w:rPr>
          <w:bCs/>
          <w:b/>
        </w:rPr>
        <w:t xml:space="preserve">nearest</w:t>
      </w:r>
      <w:r>
        <w:t xml:space="preserve"> </w:t>
      </w:r>
      <w:r>
        <w:t xml:space="preserve">node displaces it by at most half a cell on each axis, that is 0.125 degrees, not a full cell and not 0.5 degrees. Measured across the actual 2,759 well network: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Displacement from well to assigned node</w:t>
            </w:r>
          </w:p>
        </w:tc>
        <w:tc>
          <w:tcPr/>
          <w:p>
            <w:pPr>
              <w:pStyle w:val="Compact"/>
              <w:jc w:val="left"/>
            </w:pPr>
            <w:r>
              <w:t xml:space="preserve">Value</w:t>
            </w:r>
          </w:p>
        </w:tc>
      </w:tr>
      <w:tr>
        <w:tc>
          <w:tcPr/>
          <w:p>
            <w:pPr>
              <w:pStyle w:val="Compact"/>
              <w:jc w:val="left"/>
            </w:pPr>
            <w:r>
              <w:t xml:space="preserve">Mean</w:t>
            </w:r>
          </w:p>
        </w:tc>
        <w:tc>
          <w:tcPr/>
          <w:p>
            <w:pPr>
              <w:pStyle w:val="Compact"/>
              <w:jc w:val="left"/>
            </w:pPr>
            <w:r>
              <w:t xml:space="preserve">10.2 km</w:t>
            </w:r>
          </w:p>
        </w:tc>
      </w:tr>
      <w:tr>
        <w:tc>
          <w:tcPr/>
          <w:p>
            <w:pPr>
              <w:pStyle w:val="Compact"/>
              <w:jc w:val="left"/>
            </w:pPr>
            <w:r>
              <w:t xml:space="preserve">Median</w:t>
            </w:r>
          </w:p>
        </w:tc>
        <w:tc>
          <w:tcPr/>
          <w:p>
            <w:pPr>
              <w:pStyle w:val="Compact"/>
              <w:jc w:val="left"/>
            </w:pPr>
            <w:r>
              <w:t xml:space="preserve">10.6 km</w:t>
            </w:r>
          </w:p>
        </w:tc>
      </w:tr>
      <w:tr>
        <w:tc>
          <w:tcPr/>
          <w:p>
            <w:pPr>
              <w:pStyle w:val="Compact"/>
              <w:jc w:val="left"/>
            </w:pPr>
            <w:r>
              <w:t xml:space="preserve">Maximum</w:t>
            </w:r>
          </w:p>
        </w:tc>
        <w:tc>
          <w:tcPr/>
          <w:p>
            <w:pPr>
              <w:pStyle w:val="Compact"/>
              <w:jc w:val="left"/>
            </w:pPr>
            <w:r>
              <w:t xml:space="preserve">19.4 km</w:t>
            </w:r>
          </w:p>
        </w:tc>
      </w:tr>
    </w:tbl>
    <w:p>
      <w:pPr>
        <w:pStyle w:val="BodyText"/>
      </w:pPr>
      <w:r>
        <w:t xml:space="preserve">A displacement of 55 km would require a 0.5 degree offset, which is not attainable on a 0.25 degree lattice under nearest-node assignment.</w:t>
      </w:r>
    </w:p>
    <w:bookmarkEnd w:id="23"/>
    <w:bookmarkStart w:id="24" w:name="Xa11ba8565c70d13c836d69a89827a051d0fc943"/>
    <w:p>
      <w:pPr>
        <w:pStyle w:val="Heading1"/>
      </w:pPr>
      <w:r>
        <w:t xml:space="preserve">4. Why the original method was nonetheless replaced</w:t>
      </w:r>
    </w:p>
    <w:p>
      <w:pPr>
        <w:pStyle w:val="FirstParagraph"/>
      </w:pPr>
      <w:r>
        <w:t xml:space="preserve">Although the displacement is smaller than 55 km, nearest-node assignment is a step function: a well 1 km inside a cell boundary receives 100 percent of one cell’s rainfall and nothing from the neighbouring cell 1 km away. Measured over the full 1998 to 2022 record at all wells, nearest-node assignment differs from bilinear interpolation by</w:t>
      </w:r>
      <w:r>
        <w:t xml:space="preserve"> </w:t>
      </w:r>
      <w:r>
        <w:rPr>
          <w:bCs/>
          <w:b/>
        </w:rPr>
        <w:t xml:space="preserve">10.1 percent of mean monthly rainfall</w:t>
      </w:r>
      <w:r>
        <w:t xml:space="preserve">. For a project whose central claim is that the unexplained part of the groundwater level represents extraction, a 10 percent error in the only observed driver is not defensible. The method was therefore replaced.</w:t>
      </w:r>
    </w:p>
    <w:bookmarkEnd w:id="24"/>
    <w:bookmarkStart w:id="25" w:name="method-adopted"/>
    <w:p>
      <w:pPr>
        <w:pStyle w:val="Heading1"/>
      </w:pPr>
      <w:r>
        <w:t xml:space="preserve">5. Method adopted</w:t>
      </w:r>
    </w:p>
    <w:p>
      <w:pPr>
        <w:pStyle w:val="FirstParagraph"/>
      </w:pPr>
      <w:r>
        <w:t xml:space="preserve">Rainfall is sampled at each well’s true coordinates by</w:t>
      </w:r>
      <w:r>
        <w:t xml:space="preserve"> </w:t>
      </w:r>
      <w:r>
        <w:rPr>
          <w:bCs/>
          <w:b/>
        </w:rPr>
        <w:t xml:space="preserve">bilinear interpolation</w:t>
      </w:r>
      <w:r>
        <w:t xml:space="preserve"> </w:t>
      </w:r>
      <w:r>
        <w:t xml:space="preserve">over the four surrounding grid nodes, weighting each by its proximity on both axes. This removes the discretisation error entirely, since the estimate is made at the well rather than at a node up to 19 km away, and it is consistent with how the source field was constructed, as explained next.</w:t>
      </w:r>
    </w:p>
    <w:bookmarkEnd w:id="25"/>
    <w:bookmarkStart w:id="26" w:name="X470ccf79d20d331bd45a3ac1e6588da6e9ef9af"/>
    <w:p>
      <w:pPr>
        <w:pStyle w:val="Heading1"/>
      </w:pPr>
      <w:r>
        <w:t xml:space="preserve">6. How precise can any method be with this product</w:t>
      </w:r>
    </w:p>
    <w:p>
      <w:pPr>
        <w:pStyle w:val="FirstParagraph"/>
      </w:pPr>
      <w:r>
        <w:t xml:space="preserve">The IMD 0.25 degree dataset is not a measurement grid. Pai et al. (2014) construct it by inverse distance weighting following Shepard (1968), using a</w:t>
      </w:r>
      <w:r>
        <w:t xml:space="preserve"> </w:t>
      </w:r>
      <w:r>
        <w:rPr>
          <w:bCs/>
          <w:b/>
        </w:rPr>
        <w:t xml:space="preserve">minimum of one and a maximum of four nearest stations within a 1.5 degree search radius</w:t>
      </w:r>
      <w:r>
        <w:t xml:space="preserve">, which is approximately 165 km. The archive draws on 6,955 gauges in total, with about 2,600 reporting on an average day, and station density is explicitly non uniform, being lower over northwest, northeast and eastern central India.</w:t>
      </w:r>
    </w:p>
    <w:p>
      <w:pPr>
        <w:pStyle w:val="BodyText"/>
      </w:pPr>
      <w:r>
        <w:t xml:space="preserve">Two consequences follow.</w:t>
      </w:r>
    </w:p>
    <w:p>
      <w:pPr>
        <w:pStyle w:val="BodyText"/>
      </w:pPr>
      <w:r>
        <w:t xml:space="preserve">First, the 0.25 degree spacing is a presentation resolution rather than an information resolution. Adjacent cells are frequently interpolated from the same one to four stations, so they are near duplicates by construction. This is observable in the data: grid cells 27 km apart correlate at</w:t>
      </w:r>
      <w:r>
        <w:t xml:space="preserve"> </w:t>
      </w:r>
      <w:r>
        <w:rPr>
          <w:bCs/>
          <w:b/>
        </w:rPr>
        <w:t xml:space="preserve">r = 0.937 for monthly totals</w:t>
      </w:r>
      <w:r>
        <w:t xml:space="preserve"> </w:t>
      </w:r>
      <w:r>
        <w:t xml:space="preserve">and r = 0.827 for annual June to September totals.</w:t>
      </w:r>
    </w:p>
    <w:p>
      <w:pPr>
        <w:pStyle w:val="BodyText"/>
      </w:pPr>
      <w:r>
        <w:t xml:space="preserve">Second, because the underlying field is smooth by construction, sampling it smoothly is the methodologically consistent operation and sampling it with a step function is not. No method can recover true point rainfall at a wellhead from this product. The honest description of the feature is a well centred estimate of a regionally smoothed rainfall field.</w:t>
      </w:r>
    </w:p>
    <w:bookmarkEnd w:id="26"/>
    <w:bookmarkStart w:id="27" w:name="why-the-well-location-matters-at-all"/>
    <w:p>
      <w:pPr>
        <w:pStyle w:val="Heading1"/>
      </w:pPr>
      <w:r>
        <w:t xml:space="preserve">7. Why the well location matters at all</w:t>
      </w:r>
    </w:p>
    <w:p>
      <w:pPr>
        <w:pStyle w:val="FirstParagraph"/>
      </w:pPr>
      <w:r>
        <w:t xml:space="preserve">Spatial precision matters more for shallow wells than for deep ones. A shallow phreatic well tapping the unconfined water table responds to local recharge within a season, whereas a deep confined borewell integrates regional recharge over much larger distances and longer times.</w:t>
      </w:r>
    </w:p>
    <w:p>
      <w:pPr>
        <w:pStyle w:val="BodyText"/>
      </w:pPr>
      <w:r>
        <w:t xml:space="preserve">This network is overwhelmingly the first case: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Wells 30 m deep or shallower</w:t>
            </w:r>
          </w:p>
        </w:tc>
        <w:tc>
          <w:tcPr/>
          <w:p>
            <w:pPr>
              <w:pStyle w:val="Compact"/>
              <w:jc w:val="left"/>
            </w:pPr>
            <w:r>
              <w:t xml:space="preserve">92.5 percent</w:t>
            </w:r>
          </w:p>
        </w:tc>
      </w:tr>
      <w:tr>
        <w:tc>
          <w:tcPr/>
          <w:p>
            <w:pPr>
              <w:pStyle w:val="Compact"/>
              <w:jc w:val="left"/>
            </w:pPr>
            <w:r>
              <w:t xml:space="preserve">Dug wells, median depth</w:t>
            </w:r>
          </w:p>
        </w:tc>
        <w:tc>
          <w:tcPr/>
          <w:p>
            <w:pPr>
              <w:pStyle w:val="Compact"/>
              <w:jc w:val="left"/>
            </w:pPr>
            <w:r>
              <w:t xml:space="preserve">11.1 m</w:t>
            </w:r>
          </w:p>
        </w:tc>
      </w:tr>
      <w:tr>
        <w:tc>
          <w:tcPr/>
          <w:p>
            <w:pPr>
              <w:pStyle w:val="Compact"/>
              <w:jc w:val="left"/>
            </w:pPr>
            <w:r>
              <w:t xml:space="preserve">Dug wells as a share of the network</w:t>
            </w:r>
          </w:p>
        </w:tc>
        <w:tc>
          <w:tcPr/>
          <w:p>
            <w:pPr>
              <w:pStyle w:val="Compact"/>
              <w:jc w:val="left"/>
            </w:pPr>
            <w:r>
              <w:t xml:space="preserve">2,580 of 2,759</w:t>
            </w:r>
          </w:p>
        </w:tc>
      </w:tr>
      <w:tr>
        <w:tc>
          <w:tcPr/>
          <w:p>
            <w:pPr>
              <w:pStyle w:val="Compact"/>
              <w:jc w:val="left"/>
            </w:pPr>
            <w:r>
              <w:t xml:space="preserve">Wells in unconfined aquifers</w:t>
            </w:r>
          </w:p>
        </w:tc>
        <w:tc>
          <w:tcPr/>
          <w:p>
            <w:pPr>
              <w:pStyle w:val="Compact"/>
              <w:jc w:val="left"/>
            </w:pPr>
            <w:r>
              <w:t xml:space="preserve">2,575 of 2,759</w:t>
            </w:r>
          </w:p>
        </w:tc>
      </w:tr>
    </w:tbl>
    <w:p>
      <w:pPr>
        <w:pStyle w:val="BodyText"/>
      </w:pPr>
      <w:r>
        <w:t xml:space="preserve">The project therefore operates in precisely the regime where the spatial transfer method deserves scrutiny, which is why it is tested rather than asserted.</w:t>
      </w:r>
    </w:p>
    <w:bookmarkEnd w:id="27"/>
    <w:bookmarkStart w:id="28" w:name="sensitivity-test"/>
    <w:p>
      <w:pPr>
        <w:pStyle w:val="Heading1"/>
      </w:pPr>
      <w:r>
        <w:t xml:space="preserve">8. Sensitivity test</w:t>
      </w:r>
    </w:p>
    <w:p>
      <w:pPr>
        <w:pStyle w:val="FirstParagraph"/>
      </w:pPr>
      <w:r>
        <w:t xml:space="preserve">Rather than argue the choice from theory alone, the entire analysis chain was run under four methods of transferring rainfall to a well:</w:t>
      </w:r>
    </w:p>
    <w:p>
      <w:pPr>
        <w:numPr>
          <w:ilvl w:val="0"/>
          <w:numId w:val="1001"/>
        </w:numPr>
        <w:pStyle w:val="Compact"/>
      </w:pPr>
      <w:r>
        <w:rPr>
          <w:bCs/>
          <w:b/>
        </w:rPr>
        <w:t xml:space="preserve">Nearest node</w:t>
      </w:r>
      <w:r>
        <w:t xml:space="preserve">, the original approach</w:t>
      </w:r>
    </w:p>
    <w:p>
      <w:pPr>
        <w:numPr>
          <w:ilvl w:val="0"/>
          <w:numId w:val="1001"/>
        </w:numPr>
        <w:pStyle w:val="Compact"/>
      </w:pPr>
      <w:r>
        <w:rPr>
          <w:bCs/>
          <w:b/>
        </w:rPr>
        <w:t xml:space="preserve">Bilinear</w:t>
      </w:r>
      <w:r>
        <w:t xml:space="preserve">, the method adopted</w:t>
      </w:r>
    </w:p>
    <w:p>
      <w:pPr>
        <w:numPr>
          <w:ilvl w:val="0"/>
          <w:numId w:val="1001"/>
        </w:numPr>
        <w:pStyle w:val="Compact"/>
      </w:pPr>
      <w:r>
        <w:rPr>
          <w:bCs/>
          <w:b/>
        </w:rPr>
        <w:t xml:space="preserve">25 km buffer</w:t>
      </w:r>
      <w:r>
        <w:t xml:space="preserve">, averaging all grid cells whose centres lie within 25 km of the well</w:t>
      </w:r>
    </w:p>
    <w:p>
      <w:pPr>
        <w:numPr>
          <w:ilvl w:val="0"/>
          <w:numId w:val="1001"/>
        </w:numPr>
        <w:pStyle w:val="Compact"/>
      </w:pPr>
      <w:r>
        <w:rPr>
          <w:bCs/>
          <w:b/>
        </w:rPr>
        <w:t xml:space="preserve">50 km buffer</w:t>
      </w:r>
      <w:r>
        <w:t xml:space="preserve">, the same at 50 km</w:t>
      </w:r>
    </w:p>
    <w:p>
      <w:pPr>
        <w:pStyle w:val="FirstParagraph"/>
      </w:pPr>
      <w:r>
        <w:t xml:space="preserve">The buffer variants are physically motivated rather than arbitrary. A well responds to recharge over an area, not to rain falling on the wellhead, so an area average is a reasonable alternative rather than a degraded one.</w:t>
      </w:r>
    </w:p>
    <w:p>
      <w:pPr>
        <w:pStyle w:val="BodyText"/>
      </w:pPr>
      <w:r>
        <w:t xml:space="preserve">For each method the full feature set was rebuilt, aggregated to the district and campaign grain, and used to fit an identical rainfall only ridge regression with district effects. Districts were then ranked by the trend in their residuals, which is the project’s attribution output.</w:t>
      </w:r>
    </w:p>
    <w:p>
      <w:pPr>
        <w:pStyle w:val="BodyText"/>
      </w:pPr>
      <w:r>
        <w:rPr>
          <w:bCs/>
          <w:b/>
        </w:rPr>
        <w:t xml:space="preserve">Effect on the rainfall inputs</w:t>
      </w:r>
      <w:r>
        <w:t xml:space="preserve">, measured against bilinear: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Correlation</w:t>
            </w:r>
          </w:p>
        </w:tc>
        <w:tc>
          <w:tcPr/>
          <w:p>
            <w:pPr>
              <w:pStyle w:val="Compact"/>
              <w:jc w:val="left"/>
            </w:pPr>
            <w:r>
              <w:t xml:space="preserve">Mean absolute difference</w:t>
            </w:r>
          </w:p>
        </w:tc>
        <w:tc>
          <w:tcPr/>
          <w:p>
            <w:pPr>
              <w:pStyle w:val="Compact"/>
              <w:jc w:val="left"/>
            </w:pPr>
            <w:r>
              <w:t xml:space="preserve">Share of mean</w:t>
            </w:r>
          </w:p>
        </w:tc>
      </w:tr>
      <w:tr>
        <w:tc>
          <w:tcPr/>
          <w:p>
            <w:pPr>
              <w:pStyle w:val="Compact"/>
              <w:jc w:val="left"/>
            </w:pPr>
            <w:r>
              <w:t xml:space="preserve">Nearest node</w:t>
            </w:r>
          </w:p>
        </w:tc>
        <w:tc>
          <w:tcPr/>
          <w:p>
            <w:pPr>
              <w:pStyle w:val="Compact"/>
              <w:jc w:val="left"/>
            </w:pPr>
            <w:r>
              <w:t xml:space="preserve">0.9883</w:t>
            </w:r>
          </w:p>
        </w:tc>
        <w:tc>
          <w:tcPr/>
          <w:p>
            <w:pPr>
              <w:pStyle w:val="Compact"/>
              <w:jc w:val="left"/>
            </w:pPr>
            <w:r>
              <w:t xml:space="preserve">10.79 mm</w:t>
            </w:r>
          </w:p>
        </w:tc>
        <w:tc>
          <w:tcPr/>
          <w:p>
            <w:pPr>
              <w:pStyle w:val="Compact"/>
              <w:jc w:val="left"/>
            </w:pPr>
            <w:r>
              <w:t xml:space="preserve">10.1 percent</w:t>
            </w:r>
          </w:p>
        </w:tc>
      </w:tr>
      <w:tr>
        <w:tc>
          <w:tcPr/>
          <w:p>
            <w:pPr>
              <w:pStyle w:val="Compact"/>
              <w:jc w:val="left"/>
            </w:pPr>
            <w:r>
              <w:t xml:space="preserve">25 km buffer</w:t>
            </w:r>
          </w:p>
        </w:tc>
        <w:tc>
          <w:tcPr/>
          <w:p>
            <w:pPr>
              <w:pStyle w:val="Compact"/>
              <w:jc w:val="left"/>
            </w:pPr>
            <w:r>
              <w:t xml:space="preserve">0.9960</w:t>
            </w:r>
          </w:p>
        </w:tc>
        <w:tc>
          <w:tcPr/>
          <w:p>
            <w:pPr>
              <w:pStyle w:val="Compact"/>
              <w:jc w:val="left"/>
            </w:pPr>
            <w:r>
              <w:t xml:space="preserve">5.71 mm</w:t>
            </w:r>
          </w:p>
        </w:tc>
        <w:tc>
          <w:tcPr/>
          <w:p>
            <w:pPr>
              <w:pStyle w:val="Compact"/>
              <w:jc w:val="left"/>
            </w:pPr>
            <w:r>
              <w:t xml:space="preserve">5.4 percent</w:t>
            </w:r>
          </w:p>
        </w:tc>
      </w:tr>
      <w:tr>
        <w:tc>
          <w:tcPr/>
          <w:p>
            <w:pPr>
              <w:pStyle w:val="Compact"/>
              <w:jc w:val="left"/>
            </w:pPr>
            <w:r>
              <w:t xml:space="preserve">50 km buffer</w:t>
            </w:r>
          </w:p>
        </w:tc>
        <w:tc>
          <w:tcPr/>
          <w:p>
            <w:pPr>
              <w:pStyle w:val="Compact"/>
              <w:jc w:val="left"/>
            </w:pPr>
            <w:r>
              <w:t xml:space="preserve">0.9819</w:t>
            </w:r>
          </w:p>
        </w:tc>
        <w:tc>
          <w:tcPr/>
          <w:p>
            <w:pPr>
              <w:pStyle w:val="Compact"/>
              <w:jc w:val="left"/>
            </w:pPr>
            <w:r>
              <w:t xml:space="preserve">14.51 mm</w:t>
            </w:r>
          </w:p>
        </w:tc>
        <w:tc>
          <w:tcPr/>
          <w:p>
            <w:pPr>
              <w:pStyle w:val="Compact"/>
              <w:jc w:val="left"/>
            </w:pPr>
            <w:r>
              <w:t xml:space="preserve">13.6 percent</w:t>
            </w:r>
          </w:p>
        </w:tc>
      </w:tr>
    </w:tbl>
    <w:p>
      <w:pPr>
        <w:pStyle w:val="BodyText"/>
      </w:pPr>
      <w:r>
        <w:rPr>
          <w:bCs/>
          <w:b/>
        </w:rPr>
        <w:t xml:space="preserve">Effect on the district ranking</w:t>
      </w:r>
      <w:r>
        <w:t xml:space="preserve">, Spearman correlation between the rankings produced by each pair of methods across the 272 ranked districts: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Bilinear</w:t>
            </w:r>
          </w:p>
        </w:tc>
        <w:tc>
          <w:tcPr/>
          <w:p>
            <w:pPr>
              <w:pStyle w:val="Compact"/>
              <w:jc w:val="left"/>
            </w:pPr>
            <w:r>
              <w:t xml:space="preserve">Nearest node</w:t>
            </w:r>
          </w:p>
        </w:tc>
        <w:tc>
          <w:tcPr/>
          <w:p>
            <w:pPr>
              <w:pStyle w:val="Compact"/>
              <w:jc w:val="left"/>
            </w:pPr>
            <w:r>
              <w:t xml:space="preserve">25 km</w:t>
            </w:r>
          </w:p>
        </w:tc>
        <w:tc>
          <w:tcPr/>
          <w:p>
            <w:pPr>
              <w:pStyle w:val="Compact"/>
              <w:jc w:val="left"/>
            </w:pPr>
            <w:r>
              <w:t xml:space="preserve">50 km</w:t>
            </w:r>
          </w:p>
        </w:tc>
      </w:tr>
      <w:tr>
        <w:tc>
          <w:tcPr/>
          <w:p>
            <w:pPr>
              <w:pStyle w:val="Compact"/>
              <w:jc w:val="left"/>
            </w:pPr>
            <w:r>
              <w:rPr>
                <w:bCs/>
                <w:b/>
              </w:rPr>
              <w:t xml:space="preserve">Bilinear</w:t>
            </w:r>
          </w:p>
        </w:tc>
        <w:tc>
          <w:tcPr/>
          <w:p>
            <w:pPr>
              <w:pStyle w:val="Compact"/>
              <w:jc w:val="left"/>
            </w:pPr>
            <w:r>
              <w:t xml:space="preserve">1.0000</w:t>
            </w:r>
          </w:p>
        </w:tc>
        <w:tc>
          <w:tcPr/>
          <w:p>
            <w:pPr>
              <w:pStyle w:val="Compact"/>
              <w:jc w:val="left"/>
            </w:pPr>
            <w:r>
              <w:t xml:space="preserve">0.9964</w:t>
            </w:r>
          </w:p>
        </w:tc>
        <w:tc>
          <w:tcPr/>
          <w:p>
            <w:pPr>
              <w:pStyle w:val="Compact"/>
              <w:jc w:val="left"/>
            </w:pPr>
            <w:r>
              <w:t xml:space="preserve">0.9989</w:t>
            </w:r>
          </w:p>
        </w:tc>
        <w:tc>
          <w:tcPr/>
          <w:p>
            <w:pPr>
              <w:pStyle w:val="Compact"/>
              <w:jc w:val="left"/>
            </w:pPr>
            <w:r>
              <w:t xml:space="preserve">0.9900</w:t>
            </w:r>
          </w:p>
        </w:tc>
      </w:tr>
      <w:tr>
        <w:tc>
          <w:tcPr/>
          <w:p>
            <w:pPr>
              <w:pStyle w:val="Compact"/>
              <w:jc w:val="left"/>
            </w:pPr>
            <w:r>
              <w:rPr>
                <w:bCs/>
                <w:b/>
              </w:rPr>
              <w:t xml:space="preserve">Nearest node</w:t>
            </w:r>
          </w:p>
        </w:tc>
        <w:tc>
          <w:tcPr/>
          <w:p>
            <w:pPr>
              <w:pStyle w:val="Compact"/>
              <w:jc w:val="left"/>
            </w:pPr>
            <w:r>
              <w:t xml:space="preserve">0.9964</w:t>
            </w:r>
          </w:p>
        </w:tc>
        <w:tc>
          <w:tcPr/>
          <w:p>
            <w:pPr>
              <w:pStyle w:val="Compact"/>
              <w:jc w:val="left"/>
            </w:pPr>
            <w:r>
              <w:t xml:space="preserve">1.0000</w:t>
            </w:r>
          </w:p>
        </w:tc>
        <w:tc>
          <w:tcPr/>
          <w:p>
            <w:pPr>
              <w:pStyle w:val="Compact"/>
              <w:jc w:val="left"/>
            </w:pPr>
            <w:r>
              <w:t xml:space="preserve">0.9933</w:t>
            </w:r>
          </w:p>
        </w:tc>
        <w:tc>
          <w:tcPr/>
          <w:p>
            <w:pPr>
              <w:pStyle w:val="Compact"/>
              <w:jc w:val="left"/>
            </w:pPr>
            <w:r>
              <w:t xml:space="preserve">0.9823</w:t>
            </w:r>
          </w:p>
        </w:tc>
      </w:tr>
      <w:tr>
        <w:tc>
          <w:tcPr/>
          <w:p>
            <w:pPr>
              <w:pStyle w:val="Compact"/>
              <w:jc w:val="left"/>
            </w:pPr>
            <w:r>
              <w:rPr>
                <w:bCs/>
                <w:b/>
              </w:rPr>
              <w:t xml:space="preserve">25 km buffer</w:t>
            </w:r>
          </w:p>
        </w:tc>
        <w:tc>
          <w:tcPr/>
          <w:p>
            <w:pPr>
              <w:pStyle w:val="Compact"/>
              <w:jc w:val="left"/>
            </w:pPr>
            <w:r>
              <w:t xml:space="preserve">0.9989</w:t>
            </w:r>
          </w:p>
        </w:tc>
        <w:tc>
          <w:tcPr/>
          <w:p>
            <w:pPr>
              <w:pStyle w:val="Compact"/>
              <w:jc w:val="left"/>
            </w:pPr>
            <w:r>
              <w:t xml:space="preserve">0.9933</w:t>
            </w:r>
          </w:p>
        </w:tc>
        <w:tc>
          <w:tcPr/>
          <w:p>
            <w:pPr>
              <w:pStyle w:val="Compact"/>
              <w:jc w:val="left"/>
            </w:pPr>
            <w:r>
              <w:t xml:space="preserve">1.0000</w:t>
            </w:r>
          </w:p>
        </w:tc>
        <w:tc>
          <w:tcPr/>
          <w:p>
            <w:pPr>
              <w:pStyle w:val="Compact"/>
              <w:jc w:val="left"/>
            </w:pPr>
            <w:r>
              <w:t xml:space="preserve">0.9918</w:t>
            </w:r>
          </w:p>
        </w:tc>
      </w:tr>
      <w:tr>
        <w:tc>
          <w:tcPr/>
          <w:p>
            <w:pPr>
              <w:pStyle w:val="Compact"/>
              <w:jc w:val="left"/>
            </w:pPr>
            <w:r>
              <w:rPr>
                <w:bCs/>
                <w:b/>
              </w:rPr>
              <w:t xml:space="preserve">50 km buffer</w:t>
            </w:r>
          </w:p>
        </w:tc>
        <w:tc>
          <w:tcPr/>
          <w:p>
            <w:pPr>
              <w:pStyle w:val="Compact"/>
              <w:jc w:val="left"/>
            </w:pPr>
            <w:r>
              <w:t xml:space="preserve">0.9900</w:t>
            </w:r>
          </w:p>
        </w:tc>
        <w:tc>
          <w:tcPr/>
          <w:p>
            <w:pPr>
              <w:pStyle w:val="Compact"/>
              <w:jc w:val="left"/>
            </w:pPr>
            <w:r>
              <w:t xml:space="preserve">0.9823</w:t>
            </w:r>
          </w:p>
        </w:tc>
        <w:tc>
          <w:tcPr/>
          <w:p>
            <w:pPr>
              <w:pStyle w:val="Compact"/>
              <w:jc w:val="left"/>
            </w:pPr>
            <w:r>
              <w:t xml:space="preserve">0.9918</w:t>
            </w:r>
          </w:p>
        </w:tc>
        <w:tc>
          <w:tcPr/>
          <w:p>
            <w:pPr>
              <w:pStyle w:val="Compact"/>
              <w:jc w:val="left"/>
            </w:pPr>
            <w:r>
              <w:t xml:space="preserve">1.0000</w:t>
            </w:r>
          </w:p>
        </w:tc>
      </w:tr>
    </w:tbl>
    <w:p>
      <w:pPr>
        <w:pStyle w:val="BodyText"/>
      </w:pPr>
      <w:r>
        <w:t xml:space="preserve">Overlap among the twenty highest ranked districts, against bilinear: 19 of 20 for nearest node, 20 of 20 for the 25 km buffer, 18 of 20 for the 50 km buffer.</w:t>
      </w:r>
    </w:p>
    <w:bookmarkEnd w:id="28"/>
    <w:bookmarkStart w:id="29" w:name="conclusion"/>
    <w:p>
      <w:pPr>
        <w:pStyle w:val="Heading1"/>
      </w:pPr>
      <w:r>
        <w:t xml:space="preserve">9. Conclusion</w:t>
      </w:r>
    </w:p>
    <w:p>
      <w:pPr>
        <w:pStyle w:val="FirstParagraph"/>
      </w:pPr>
      <w:r>
        <w:t xml:space="preserve">The rainfall values themselves are materially sensitive to the transfer method, differing by 5 to 14 percent depending on the choice. The district ranking that the project produces is not: every pair of methods agrees above a Spearman correlation of 0.98, and the highest ranked districts are nearly identical throughout.</w:t>
      </w:r>
    </w:p>
    <w:p>
      <w:pPr>
        <w:pStyle w:val="BodyText"/>
      </w:pPr>
      <w:r>
        <w:t xml:space="preserve">Bilinear interpolation is adopted because it is the defensible choice on methodological grounds, removing a 10 percent discretisation error at no computational cost and matching the construction of the source field. The sensitivity result establishes separately that the project’s headline output is not an artefact of that choice. The dominant remaining spatial uncertainty comes from the IMD product’s own station density, described in section 6, and not from the extraction step.</w:t>
      </w:r>
    </w:p>
    <w:bookmarkEnd w:id="29"/>
    <w:bookmarkStart w:id="30" w:name="limitations-and-planned-work"/>
    <w:p>
      <w:pPr>
        <w:pStyle w:val="Heading1"/>
      </w:pPr>
      <w:r>
        <w:t xml:space="preserve">10. Limitations and planned work</w:t>
      </w:r>
    </w:p>
    <w:p>
      <w:pPr>
        <w:pStyle w:val="FirstParagraph"/>
      </w:pPr>
      <w:r>
        <w:rPr>
          <w:bCs/>
          <w:b/>
        </w:rPr>
        <w:t xml:space="preserve">The source field is smoothed.</w:t>
      </w:r>
      <w:r>
        <w:t xml:space="preserve"> </w:t>
      </w:r>
      <w:r>
        <w:t xml:space="preserve">No transfer method recovers point rainfall at a wellhead. All rainfall features are described as well centred estimates of a regionally smoothed field.</w:t>
      </w:r>
    </w:p>
    <w:p>
      <w:pPr>
        <w:pStyle w:val="BodyText"/>
      </w:pPr>
      <w:r>
        <w:rPr>
          <w:bCs/>
          <w:b/>
        </w:rPr>
        <w:t xml:space="preserve">A finer product exists and will be compared.</w:t>
      </w:r>
      <w:r>
        <w:t xml:space="preserve"> </w:t>
      </w:r>
      <w:r>
        <w:t xml:space="preserve">The Indian Precipitation Ensemble Dataset (Peringiyil et al., 2025) provides station based daily rainfall at 0.1 degree, approximately 11 km, from about 3,966 gauges, with ensemble members that carry an uncertainty estimate. It covers 1991 to 2020, so it does not span the final two years of the groundwater record. It will be reported as a comparison against IMD rather than replacing it outright.</w:t>
      </w:r>
    </w:p>
    <w:p>
      <w:pPr>
        <w:pStyle w:val="BodyText"/>
      </w:pPr>
      <w:r>
        <w:rPr>
          <w:bCs/>
          <w:b/>
        </w:rPr>
        <w:t xml:space="preserve">Minimum well count, corrected.</w:t>
      </w:r>
      <w:r>
        <w:t xml:space="preserve"> </w:t>
      </w:r>
      <w:r>
        <w:t xml:space="preserve">During this review an internal inconsistency was found and fixed. Exploratory district trends had been computed over all 365 districts while the modelling table required at least three wells per district. Several districts that appeared among the fastest decliners, including Kurukshetra, Ludhiana and Hisar, carry a single monitoring well each and were being ranked on that one well. The three well filter is now applied once, before any district level analysis, so that all district results describe the same population of 272 districts.</w:t>
      </w:r>
    </w:p>
    <w:p>
      <w:pPr>
        <w:pStyle w:val="BodyText"/>
      </w:pPr>
      <w:r>
        <w:rPr>
          <w:bCs/>
          <w:b/>
        </w:rPr>
        <w:t xml:space="preserve">District mean composition.</w:t>
      </w:r>
      <w:r>
        <w:t xml:space="preserve"> </w:t>
      </w:r>
      <w:r>
        <w:t xml:space="preserve">The district mean is taken over whichever wells reported in a given campaign, and that set changes over time because of missing readings. A well level model with well effects, and a balanced panel of wells with near complete records, are planned as cross checks.</w:t>
      </w:r>
    </w:p>
    <w:bookmarkEnd w:id="30"/>
    <w:bookmarkStart w:id="31" w:name="references"/>
    <w:p>
      <w:pPr>
        <w:pStyle w:val="Heading1"/>
      </w:pPr>
      <w:r>
        <w:t xml:space="preserve">11. References</w:t>
      </w:r>
    </w:p>
    <w:p>
      <w:pPr>
        <w:pStyle w:val="FirstParagraph"/>
      </w:pPr>
      <w:r>
        <w:t xml:space="preserve">Pai, D.S., Sridhar, L., Rajeevan, M., Sreejith, O.P., Satbhai, N.S. and Mukhopadyay, B. (2014). Development of a new high spatial resolution (0.25 x 0.25) long period (1901-2010) daily gridded rainfall data set over India and its comparison with existing data sets over the region.</w:t>
      </w:r>
      <w:r>
        <w:t xml:space="preserve"> </w:t>
      </w:r>
      <w:r>
        <w:rPr>
          <w:iCs/>
          <w:i/>
        </w:rPr>
        <w:t xml:space="preserve">MAUSAM</w:t>
      </w:r>
      <w:r>
        <w:t xml:space="preserve">, 65(1), 1-18.</w:t>
      </w:r>
    </w:p>
    <w:p>
      <w:pPr>
        <w:pStyle w:val="BodyText"/>
      </w:pPr>
      <w:r>
        <w:t xml:space="preserve">Shepard, D. (1968). A two-dimensional interpolation function for irregularly-spaced data.</w:t>
      </w:r>
      <w:r>
        <w:t xml:space="preserve"> </w:t>
      </w:r>
      <w:r>
        <w:rPr>
          <w:iCs/>
          <w:i/>
        </w:rPr>
        <w:t xml:space="preserve">Proceedings of the 1968 ACM National Conference</w:t>
      </w:r>
      <w:r>
        <w:t xml:space="preserve">, 517-524.</w:t>
      </w:r>
    </w:p>
    <w:p>
      <w:pPr>
        <w:pStyle w:val="BodyText"/>
      </w:pPr>
      <w:r>
        <w:t xml:space="preserve">Peringiyil, A., Saharia, M., Sreejith, O.P., Wood, A.W., Mohapatra, M., Sabde, B., Kumari, A., Phadkar, B., Sabeerali, C.T., Rohini, P., Hosalikar, K.S. and Rajeevan, M. (2025). A station-based 0.1-degree daily gridded ensemble precipitation dataset for India.</w:t>
      </w:r>
      <w:r>
        <w:t xml:space="preserve"> </w:t>
      </w:r>
      <w:r>
        <w:rPr>
          <w:iCs/>
          <w:i/>
        </w:rPr>
        <w:t xml:space="preserve">Scientific Data</w:t>
      </w:r>
      <w:r>
        <w:t xml:space="preserve">, 12, 333.</w:t>
      </w:r>
    </w:p>
    <w:p>
      <w:pPr>
        <w:pStyle w:val="BodyText"/>
      </w:pPr>
      <w:r>
        <w:t xml:space="preserve">Asoka, A., Gleeson, T., Wada, Y. and Mishra, V. (2017). Relative contribution of monsoon precipitation and pumping to changes in groundwater storage in India.</w:t>
      </w:r>
      <w:r>
        <w:t xml:space="preserve"> </w:t>
      </w:r>
      <w:r>
        <w:rPr>
          <w:iCs/>
          <w:i/>
        </w:rPr>
        <w:t xml:space="preserve">Nature Geoscience</w:t>
      </w:r>
      <w:r>
        <w:t xml:space="preserve">, 10, 109-117.</w:t>
      </w:r>
    </w:p>
    <w:p>
      <w:pPr>
        <w:pStyle w:val="BodyText"/>
      </w:pPr>
      <w:r>
        <w:t xml:space="preserve">Asoka, A. and Mishra, V. (2018). Strong linkage between precipitation intensity and monsoon season groundwater recharge in India.</w:t>
      </w:r>
      <w:r>
        <w:t xml:space="preserve"> </w:t>
      </w:r>
      <w:r>
        <w:rPr>
          <w:iCs/>
          <w:i/>
        </w:rPr>
        <w:t xml:space="preserve">Geophysical Research Letters</w:t>
      </w:r>
      <w:r>
        <w:t xml:space="preserve">, 45.</w:t>
      </w:r>
    </w:p>
    <w:p>
      <w:pPr>
        <w:pStyle w:val="BodyText"/>
      </w:pPr>
      <w:r>
        <w:t xml:space="preserve">CGWB quality controlled groundwater level dataset with specific yield over India. figshare, doi:10.6084/m9.figshare.29293877.v3, CC BY 4.0.</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Merge Methodology</dc:title>
  <dc:creator>Rain or Pumps? Attributing India’s Groundwater Decline District by District | BITS Pilani PGCP AI/ML Capstone</dc:creator>
  <cp:keywords/>
  <dcterms:created xsi:type="dcterms:W3CDTF">2026-09-12T16:33:05Z</dcterms:created>
  <dcterms:modified xsi:type="dcterms:W3CDTF">2026-09-12T16:33:05Z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Transferring IMD gridded rainfall to CGWB well locations</vt:lpwstr>
  </property>
</Properties>
</file>