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E9C10" w14:textId="36F2A17C" w:rsidR="009738F9" w:rsidRDefault="009738F9" w:rsidP="009738F9">
      <w:r>
        <w:t>Springboard</w:t>
      </w:r>
    </w:p>
    <w:p w14:paraId="034E4085" w14:textId="389432E0" w:rsidR="009738F9" w:rsidRDefault="009738F9" w:rsidP="009738F9">
      <w:r>
        <w:t>Data Science Cohort 2024</w:t>
      </w:r>
    </w:p>
    <w:p w14:paraId="05DD7B6D" w14:textId="6AE5B6E9" w:rsidR="009738F9" w:rsidRDefault="009738F9" w:rsidP="009738F9">
      <w:r>
        <w:t>Capstone Project</w:t>
      </w:r>
    </w:p>
    <w:p w14:paraId="40F981C7" w14:textId="61135E2D" w:rsidR="009738F9" w:rsidRDefault="009738F9" w:rsidP="009738F9">
      <w:r>
        <w:t>Ofri Oren</w:t>
      </w:r>
    </w:p>
    <w:p w14:paraId="5B0729B9" w14:textId="77777777" w:rsidR="009738F9" w:rsidRDefault="009738F9" w:rsidP="009738F9"/>
    <w:p w14:paraId="401F9720" w14:textId="77777777" w:rsidR="006126BF" w:rsidRDefault="006126BF" w:rsidP="009738F9"/>
    <w:p w14:paraId="3FD9FD44" w14:textId="3405BBEC" w:rsidR="009738F9" w:rsidRDefault="009738F9" w:rsidP="009738F9">
      <w:pPr>
        <w:jc w:val="center"/>
        <w:rPr>
          <w:sz w:val="36"/>
          <w:szCs w:val="36"/>
        </w:rPr>
      </w:pPr>
      <w:r w:rsidRPr="009738F9">
        <w:rPr>
          <w:sz w:val="36"/>
          <w:szCs w:val="36"/>
        </w:rPr>
        <w:t>Homelessness in California</w:t>
      </w:r>
    </w:p>
    <w:p w14:paraId="289A840A" w14:textId="77777777" w:rsidR="009738F9" w:rsidRDefault="009738F9" w:rsidP="009738F9">
      <w:pPr>
        <w:rPr>
          <w:sz w:val="36"/>
          <w:szCs w:val="36"/>
        </w:rPr>
      </w:pPr>
    </w:p>
    <w:p w14:paraId="26BBA1F0" w14:textId="77777777" w:rsidR="00B5114D" w:rsidRDefault="009738F9" w:rsidP="009738F9">
      <w:r w:rsidRPr="00B5114D">
        <w:rPr>
          <w:i/>
          <w:iCs/>
        </w:rPr>
        <w:t>Summary</w:t>
      </w:r>
      <w:r>
        <w:t xml:space="preserve">: </w:t>
      </w:r>
    </w:p>
    <w:p w14:paraId="4B6BBEDB" w14:textId="7B1549AC" w:rsidR="009738F9" w:rsidRDefault="009738F9" w:rsidP="009738F9">
      <w:r>
        <w:t xml:space="preserve">I started with an exploration of the potential correlates of homelessness in </w:t>
      </w:r>
      <w:r w:rsidR="005D0960">
        <w:t>California but</w:t>
      </w:r>
      <w:r>
        <w:t xml:space="preserve"> could not pinpoint any of the factors as directly or strongly causal. I thus built a model using data from previous years to incorporate temporal trends into a forecasting model to predict homelessness in California by county. I </w:t>
      </w:r>
      <w:r w:rsidR="00B5114D">
        <w:t>tested</w:t>
      </w:r>
      <w:r>
        <w:t xml:space="preserve"> different models but found the </w:t>
      </w:r>
      <w:r w:rsidR="00FF40BD" w:rsidRPr="00256A8D">
        <w:t>Seasonal Autoregressive Integrated Moving Average + exogenous variables</w:t>
      </w:r>
      <w:r w:rsidR="00FF40BD">
        <w:t xml:space="preserve"> (SARIMAX) model</w:t>
      </w:r>
      <w:r>
        <w:t xml:space="preserve"> had the best predictive power</w:t>
      </w:r>
      <w:r w:rsidR="00FF40BD">
        <w:t xml:space="preserve"> but did not have the best metrics</w:t>
      </w:r>
      <w:r>
        <w:t xml:space="preserve"> </w:t>
      </w:r>
      <w:r w:rsidR="00B5114D">
        <w:t xml:space="preserve">based on </w:t>
      </w:r>
      <w:r w:rsidR="00B5114D" w:rsidRPr="00B5114D">
        <w:t>Akaike information criteri</w:t>
      </w:r>
      <w:r w:rsidR="00B5114D">
        <w:t>a</w:t>
      </w:r>
      <w:r>
        <w:t xml:space="preserve"> </w:t>
      </w:r>
      <w:r w:rsidR="00B5114D">
        <w:t>(</w:t>
      </w:r>
      <w:r>
        <w:t>AIC</w:t>
      </w:r>
      <w:r w:rsidR="00B5114D">
        <w:t>)</w:t>
      </w:r>
      <w:r>
        <w:t xml:space="preserve"> and</w:t>
      </w:r>
      <w:r w:rsidR="00B5114D">
        <w:t xml:space="preserve"> Bayesian information criteria</w:t>
      </w:r>
      <w:r>
        <w:t xml:space="preserve"> </w:t>
      </w:r>
      <w:r w:rsidR="00B5114D">
        <w:t>(</w:t>
      </w:r>
      <w:r>
        <w:t>BIC</w:t>
      </w:r>
      <w:r w:rsidR="00B5114D">
        <w:t>)</w:t>
      </w:r>
      <w:r>
        <w:t xml:space="preserve"> scores. Although these data do not provide any prescriptive measures to address the root cause of homelessness, they can allow people to alleviate the problem by preparing </w:t>
      </w:r>
      <w:r w:rsidR="00B5114D">
        <w:t>shelters and resources for the predicted amount of homeless in their county.</w:t>
      </w:r>
    </w:p>
    <w:p w14:paraId="3ACEAA25" w14:textId="77777777" w:rsidR="006126BF" w:rsidRDefault="006126BF" w:rsidP="009738F9"/>
    <w:p w14:paraId="6090C675" w14:textId="77777777" w:rsidR="006126BF" w:rsidRDefault="006126BF" w:rsidP="009738F9"/>
    <w:p w14:paraId="54747565" w14:textId="44998E33" w:rsidR="00B5114D" w:rsidRDefault="00B5114D" w:rsidP="009738F9">
      <w:pPr>
        <w:rPr>
          <w:i/>
          <w:iCs/>
        </w:rPr>
      </w:pPr>
      <w:r w:rsidRPr="00B5114D">
        <w:rPr>
          <w:i/>
          <w:iCs/>
        </w:rPr>
        <w:t>Outline</w:t>
      </w:r>
      <w:r>
        <w:rPr>
          <w:i/>
          <w:iCs/>
        </w:rPr>
        <w:t>:</w:t>
      </w:r>
    </w:p>
    <w:p w14:paraId="46E399D3" w14:textId="52F5C299" w:rsidR="00B5114D" w:rsidRDefault="006126BF" w:rsidP="006126BF">
      <w:pPr>
        <w:ind w:firstLine="720"/>
      </w:pPr>
      <w:r w:rsidRPr="006126BF">
        <w:rPr>
          <w:rFonts w:ascii="Wingdings 2" w:hAnsi="Wingdings 2"/>
          <w:sz w:val="16"/>
          <w:szCs w:val="16"/>
          <w:vertAlign w:val="superscript"/>
        </w:rPr>
        <w:t>¸</w:t>
      </w:r>
      <w:r>
        <w:rPr>
          <w:rFonts w:ascii="Wingdings 2" w:hAnsi="Wingdings 2"/>
          <w:sz w:val="16"/>
          <w:szCs w:val="16"/>
          <w:vertAlign w:val="superscript"/>
        </w:rPr>
        <w:t xml:space="preserve"> </w:t>
      </w:r>
      <w:r>
        <w:t>Background</w:t>
      </w:r>
    </w:p>
    <w:p w14:paraId="38009BEE" w14:textId="162C7AFA" w:rsidR="006126BF" w:rsidRPr="006126BF" w:rsidRDefault="006126BF" w:rsidP="006126BF">
      <w:pPr>
        <w:ind w:firstLine="720"/>
      </w:pPr>
      <w:r w:rsidRPr="006126BF">
        <w:rPr>
          <w:rFonts w:ascii="Wingdings 2" w:hAnsi="Wingdings 2"/>
          <w:sz w:val="16"/>
          <w:szCs w:val="16"/>
          <w:vertAlign w:val="superscript"/>
        </w:rPr>
        <w:t>¸</w:t>
      </w:r>
      <w:r>
        <w:rPr>
          <w:rFonts w:ascii="Wingdings 2" w:hAnsi="Wingdings 2"/>
          <w:sz w:val="16"/>
          <w:szCs w:val="16"/>
          <w:vertAlign w:val="superscript"/>
        </w:rPr>
        <w:t xml:space="preserve"> </w:t>
      </w:r>
      <w:r>
        <w:t xml:space="preserve">Data </w:t>
      </w:r>
    </w:p>
    <w:p w14:paraId="72C77A6E" w14:textId="324C2FDD" w:rsidR="006126BF" w:rsidRDefault="006126BF" w:rsidP="006126BF">
      <w:pPr>
        <w:ind w:firstLine="720"/>
      </w:pPr>
      <w:r w:rsidRPr="006126BF">
        <w:rPr>
          <w:rFonts w:ascii="Wingdings 2" w:hAnsi="Wingdings 2"/>
          <w:sz w:val="16"/>
          <w:szCs w:val="16"/>
          <w:vertAlign w:val="superscript"/>
        </w:rPr>
        <w:t>¸</w:t>
      </w:r>
      <w:r>
        <w:rPr>
          <w:rFonts w:ascii="Wingdings 2" w:hAnsi="Wingdings 2"/>
          <w:sz w:val="16"/>
          <w:szCs w:val="16"/>
          <w:vertAlign w:val="superscript"/>
        </w:rPr>
        <w:t xml:space="preserve"> </w:t>
      </w:r>
      <w:r>
        <w:t>Exploratory Data Analysis</w:t>
      </w:r>
    </w:p>
    <w:p w14:paraId="18C1534E" w14:textId="323AB927" w:rsidR="006126BF" w:rsidRDefault="006126BF" w:rsidP="006126BF">
      <w:pPr>
        <w:ind w:firstLine="720"/>
      </w:pPr>
      <w:r w:rsidRPr="006126BF">
        <w:rPr>
          <w:rFonts w:ascii="Wingdings 2" w:hAnsi="Wingdings 2"/>
          <w:sz w:val="16"/>
          <w:szCs w:val="16"/>
          <w:vertAlign w:val="superscript"/>
        </w:rPr>
        <w:t>¸</w:t>
      </w:r>
      <w:r>
        <w:rPr>
          <w:rFonts w:ascii="Wingdings 2" w:hAnsi="Wingdings 2"/>
          <w:sz w:val="16"/>
          <w:szCs w:val="16"/>
          <w:vertAlign w:val="superscript"/>
        </w:rPr>
        <w:t xml:space="preserve"> </w:t>
      </w:r>
      <w:r>
        <w:t>Processing and Modelling</w:t>
      </w:r>
    </w:p>
    <w:p w14:paraId="074A9C8B" w14:textId="60D95157" w:rsidR="006126BF" w:rsidRDefault="006126BF" w:rsidP="006126BF">
      <w:pPr>
        <w:ind w:firstLine="720"/>
      </w:pPr>
      <w:r w:rsidRPr="006126BF">
        <w:rPr>
          <w:rFonts w:ascii="Wingdings 2" w:hAnsi="Wingdings 2"/>
          <w:sz w:val="16"/>
          <w:szCs w:val="16"/>
          <w:vertAlign w:val="superscript"/>
        </w:rPr>
        <w:t>¸</w:t>
      </w:r>
      <w:r>
        <w:rPr>
          <w:rFonts w:ascii="Wingdings 2" w:hAnsi="Wingdings 2"/>
          <w:sz w:val="16"/>
          <w:szCs w:val="16"/>
          <w:vertAlign w:val="superscript"/>
        </w:rPr>
        <w:t xml:space="preserve"> </w:t>
      </w:r>
      <w:r>
        <w:t>Forecasting and Results</w:t>
      </w:r>
    </w:p>
    <w:p w14:paraId="5BBA34AD" w14:textId="7491AC9D" w:rsidR="00044B68" w:rsidRPr="006126BF" w:rsidRDefault="00044B68" w:rsidP="00044B68">
      <w:pPr>
        <w:ind w:firstLine="720"/>
      </w:pPr>
      <w:r w:rsidRPr="006126BF">
        <w:rPr>
          <w:rFonts w:ascii="Wingdings 2" w:hAnsi="Wingdings 2"/>
          <w:sz w:val="16"/>
          <w:szCs w:val="16"/>
          <w:vertAlign w:val="superscript"/>
        </w:rPr>
        <w:t>¸</w:t>
      </w:r>
      <w:r>
        <w:rPr>
          <w:rFonts w:ascii="Wingdings 2" w:hAnsi="Wingdings 2"/>
          <w:sz w:val="16"/>
          <w:szCs w:val="16"/>
          <w:vertAlign w:val="superscript"/>
        </w:rPr>
        <w:t xml:space="preserve"> </w:t>
      </w:r>
      <w:r>
        <w:t>Bibliography</w:t>
      </w:r>
      <w:r w:rsidR="00277A5D">
        <w:t xml:space="preserve"> and Datasets</w:t>
      </w:r>
    </w:p>
    <w:p w14:paraId="2353AA55" w14:textId="77777777" w:rsidR="00044B68" w:rsidRPr="006126BF" w:rsidRDefault="00044B68" w:rsidP="006126BF">
      <w:pPr>
        <w:ind w:firstLine="720"/>
      </w:pPr>
    </w:p>
    <w:p w14:paraId="454C7EC3" w14:textId="40FC90C5" w:rsidR="006126BF" w:rsidRDefault="006126BF">
      <w:r>
        <w:br w:type="page"/>
      </w:r>
    </w:p>
    <w:p w14:paraId="0A2F021B" w14:textId="77777777" w:rsidR="005A46B3" w:rsidRDefault="005A46B3" w:rsidP="005A46B3">
      <w:pPr>
        <w:jc w:val="center"/>
        <w:rPr>
          <w:i/>
          <w:iCs/>
        </w:rPr>
      </w:pPr>
      <w:r>
        <w:rPr>
          <w:i/>
          <w:iCs/>
          <w:noProof/>
        </w:rPr>
        <w:lastRenderedPageBreak/>
        <w:drawing>
          <wp:inline distT="0" distB="0" distL="0" distR="0" wp14:anchorId="144231FA" wp14:editId="11E04053">
            <wp:extent cx="4494628" cy="7491046"/>
            <wp:effectExtent l="0" t="0" r="1270" b="2540"/>
            <wp:docPr id="338352331" name="Picture 1" descr="A bridge with text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52331" name="Picture 1" descr="A bridge with text and word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31926" cy="7553210"/>
                    </a:xfrm>
                    <a:prstGeom prst="rect">
                      <a:avLst/>
                    </a:prstGeom>
                  </pic:spPr>
                </pic:pic>
              </a:graphicData>
            </a:graphic>
          </wp:inline>
        </w:drawing>
      </w:r>
    </w:p>
    <w:p w14:paraId="07D5D4F3" w14:textId="5964CF82" w:rsidR="005A46B3" w:rsidRPr="00454092" w:rsidRDefault="005A46B3" w:rsidP="00454092">
      <w:pPr>
        <w:jc w:val="center"/>
        <w:rPr>
          <w:i/>
          <w:iCs/>
          <w:sz w:val="20"/>
          <w:szCs w:val="20"/>
        </w:rPr>
      </w:pPr>
      <w:r>
        <w:rPr>
          <w:i/>
          <w:iCs/>
          <w:sz w:val="20"/>
          <w:szCs w:val="20"/>
        </w:rPr>
        <w:t>Artist: David Lance Goines; Anatole France</w:t>
      </w:r>
      <w:r w:rsidR="00B00335">
        <w:rPr>
          <w:i/>
          <w:iCs/>
          <w:sz w:val="20"/>
          <w:szCs w:val="20"/>
        </w:rPr>
        <w:t xml:space="preserve"> Poster</w:t>
      </w:r>
      <w:r>
        <w:rPr>
          <w:i/>
          <w:iCs/>
          <w:sz w:val="20"/>
          <w:szCs w:val="20"/>
        </w:rPr>
        <w:t xml:space="preserve">; </w:t>
      </w:r>
      <w:r w:rsidR="00454092">
        <w:rPr>
          <w:i/>
          <w:iCs/>
          <w:sz w:val="20"/>
          <w:szCs w:val="20"/>
        </w:rPr>
        <w:t>[</w:t>
      </w:r>
      <w:r w:rsidR="00454092" w:rsidRPr="00454092">
        <w:rPr>
          <w:i/>
          <w:iCs/>
          <w:sz w:val="20"/>
          <w:szCs w:val="20"/>
        </w:rPr>
        <w:t>https://www.goines.net/Gallery/gal_xtra/007_anatole_france.gif</w:t>
      </w:r>
      <w:r w:rsidR="00454092">
        <w:rPr>
          <w:i/>
          <w:iCs/>
          <w:sz w:val="20"/>
          <w:szCs w:val="20"/>
        </w:rPr>
        <w:t>] accessed on 2 October 2024.</w:t>
      </w:r>
    </w:p>
    <w:p w14:paraId="344AB1CE" w14:textId="165CF954" w:rsidR="00B5114D" w:rsidRDefault="006126BF" w:rsidP="009738F9">
      <w:r>
        <w:rPr>
          <w:i/>
          <w:iCs/>
        </w:rPr>
        <w:lastRenderedPageBreak/>
        <w:t>Background</w:t>
      </w:r>
    </w:p>
    <w:p w14:paraId="3BC61E96" w14:textId="77777777" w:rsidR="006126BF" w:rsidRDefault="006126BF" w:rsidP="009738F9"/>
    <w:p w14:paraId="491ACC0F" w14:textId="32135336" w:rsidR="006126BF" w:rsidRDefault="00454092" w:rsidP="00EB5114">
      <w:pPr>
        <w:spacing w:line="480" w:lineRule="auto"/>
      </w:pPr>
      <w:r>
        <w:tab/>
        <w:t xml:space="preserve">In a recent Supreme Court ruling on June 28, </w:t>
      </w:r>
      <w:r w:rsidR="005D0960">
        <w:t>2024,</w:t>
      </w:r>
      <w:r>
        <w:t xml:space="preserve"> the court decided that police have the right to cite and fine people who camp or sleep in public spaces. The criminalization of homelessness is an ongoing process in California, including </w:t>
      </w:r>
      <w:r w:rsidR="00044B68">
        <w:t xml:space="preserve">measures like those in San Francisco that prohibit sitting or lying down on public sidewalks. However, with limited shelter space available many people have no alternatives. </w:t>
      </w:r>
      <w:r w:rsidR="00EB5114">
        <w:t>A</w:t>
      </w:r>
      <w:r w:rsidR="007B0E4F">
        <w:t xml:space="preserve"> possible response </w:t>
      </w:r>
      <w:r w:rsidR="00EB5114">
        <w:t>could be</w:t>
      </w:r>
      <w:r w:rsidR="007B0E4F">
        <w:t xml:space="preserve"> to provide sufficient resources for people to </w:t>
      </w:r>
      <w:r w:rsidR="00EB5114">
        <w:t>stay in shelters and eventually return to housing</w:t>
      </w:r>
      <w:r w:rsidR="007B0E4F">
        <w:t>.</w:t>
      </w:r>
      <w:r w:rsidR="00FD384F">
        <w:rPr>
          <w:rStyle w:val="FootnoteReference"/>
        </w:rPr>
        <w:footnoteReference w:id="1"/>
      </w:r>
      <w:r w:rsidR="007B0E4F">
        <w:t xml:space="preserve"> </w:t>
      </w:r>
      <w:r w:rsidR="00EB5114">
        <w:t xml:space="preserve">While my initial interest in this project was to look for correlation between healthcare cost and availability and lack of housing, I eventually turned towards building a model that could predict levels of homelessness per county in California to estimate the scope of the problem in upcoming years. </w:t>
      </w:r>
      <w:r w:rsidR="00044B68">
        <w:t xml:space="preserve">In this project I look at some of the potential correlates of homelessness and build a model to forecast homelessness based on statewide economic factors and previous homelessness counts per county. </w:t>
      </w:r>
    </w:p>
    <w:p w14:paraId="0F1117DE" w14:textId="77777777" w:rsidR="00044B68" w:rsidRDefault="00044B68" w:rsidP="00454092">
      <w:pPr>
        <w:spacing w:line="480" w:lineRule="auto"/>
      </w:pPr>
    </w:p>
    <w:p w14:paraId="6B7BC774" w14:textId="3B1680E2" w:rsidR="00044B68" w:rsidRDefault="00044B68" w:rsidP="00454092">
      <w:pPr>
        <w:spacing w:line="480" w:lineRule="auto"/>
      </w:pPr>
      <w:r>
        <w:rPr>
          <w:i/>
          <w:iCs/>
        </w:rPr>
        <w:t>Data</w:t>
      </w:r>
    </w:p>
    <w:p w14:paraId="2762CCBA" w14:textId="6FFD6596" w:rsidR="00044B68" w:rsidRDefault="002D02FE" w:rsidP="00454092">
      <w:pPr>
        <w:spacing w:line="480" w:lineRule="auto"/>
      </w:pPr>
      <w:r>
        <w:t>Variables included in the final dataset:</w:t>
      </w:r>
    </w:p>
    <w:p w14:paraId="5FCFBBCB" w14:textId="4E341108" w:rsidR="009241E4" w:rsidRDefault="009241E4" w:rsidP="00454092">
      <w:pPr>
        <w:spacing w:line="480" w:lineRule="auto"/>
      </w:pPr>
      <w:r>
        <w:tab/>
      </w:r>
      <w:r w:rsidRPr="002D02FE">
        <w:rPr>
          <w:b/>
          <w:bCs/>
        </w:rPr>
        <w:t>Healthcare cost, California</w:t>
      </w:r>
      <w:r w:rsidR="002D02FE">
        <w:rPr>
          <w:b/>
          <w:bCs/>
        </w:rPr>
        <w:t xml:space="preserve">: </w:t>
      </w:r>
      <w:r w:rsidR="002D02FE">
        <w:t>aggregate spending for all payers in the state, measured in millions of dollars.</w:t>
      </w:r>
      <w:r w:rsidR="002D02FE">
        <w:rPr>
          <w:rStyle w:val="FootnoteReference"/>
        </w:rPr>
        <w:footnoteReference w:id="2"/>
      </w:r>
      <w:r>
        <w:t xml:space="preserve"> </w:t>
      </w:r>
    </w:p>
    <w:p w14:paraId="7FF8913F" w14:textId="3A041404" w:rsidR="009241E4" w:rsidRDefault="009241E4" w:rsidP="00454092">
      <w:pPr>
        <w:spacing w:line="480" w:lineRule="auto"/>
      </w:pPr>
      <w:r>
        <w:lastRenderedPageBreak/>
        <w:tab/>
      </w:r>
      <w:r w:rsidRPr="002D02FE">
        <w:rPr>
          <w:b/>
          <w:bCs/>
        </w:rPr>
        <w:t>Housing prices</w:t>
      </w:r>
      <w:r w:rsidR="002D02FE" w:rsidRPr="002D02FE">
        <w:rPr>
          <w:b/>
          <w:bCs/>
        </w:rPr>
        <w:t>,</w:t>
      </w:r>
      <w:r w:rsidRPr="002D02FE">
        <w:rPr>
          <w:b/>
          <w:bCs/>
        </w:rPr>
        <w:t xml:space="preserve"> California</w:t>
      </w:r>
      <w:r w:rsidR="002D02FE" w:rsidRPr="002D02FE">
        <w:rPr>
          <w:b/>
          <w:bCs/>
        </w:rPr>
        <w:t>:</w:t>
      </w:r>
      <w:r w:rsidR="000571A8">
        <w:t xml:space="preserve"> </w:t>
      </w:r>
      <w:r w:rsidR="002D02FE" w:rsidRPr="000571A8">
        <w:t>All-Transactions House Price Index for California [CASTHPI]</w:t>
      </w:r>
      <w:r w:rsidR="002D02FE">
        <w:t xml:space="preserve">. It is the </w:t>
      </w:r>
      <w:r w:rsidR="000571A8">
        <w:t xml:space="preserve">annual average house price index increase where first quarter equals one hundred, </w:t>
      </w:r>
      <w:r w:rsidR="002D02FE">
        <w:t>e.g.</w:t>
      </w:r>
      <w:r w:rsidR="000571A8">
        <w:t xml:space="preserve"> an amount of 200 indicates a twofold increase in prices</w:t>
      </w:r>
      <w:r w:rsidR="002D02FE">
        <w:t>.</w:t>
      </w:r>
      <w:r w:rsidR="002D02FE">
        <w:rPr>
          <w:rStyle w:val="FootnoteReference"/>
        </w:rPr>
        <w:footnoteReference w:id="3"/>
      </w:r>
      <w:r>
        <w:t xml:space="preserve"> </w:t>
      </w:r>
    </w:p>
    <w:p w14:paraId="53F6A7C1" w14:textId="6B45B1D3" w:rsidR="009241E4" w:rsidRDefault="009241E4" w:rsidP="00454092">
      <w:pPr>
        <w:spacing w:line="480" w:lineRule="auto"/>
      </w:pPr>
      <w:r>
        <w:tab/>
      </w:r>
      <w:r w:rsidRPr="005C3177">
        <w:rPr>
          <w:b/>
          <w:bCs/>
        </w:rPr>
        <w:t>CPI</w:t>
      </w:r>
      <w:r w:rsidR="005C3177" w:rsidRPr="005C3177">
        <w:rPr>
          <w:b/>
          <w:bCs/>
        </w:rPr>
        <w:t>,</w:t>
      </w:r>
      <w:r w:rsidRPr="005C3177">
        <w:rPr>
          <w:b/>
          <w:bCs/>
        </w:rPr>
        <w:t xml:space="preserve"> urban consumers</w:t>
      </w:r>
      <w:r w:rsidR="005C3177" w:rsidRPr="005C3177">
        <w:rPr>
          <w:b/>
          <w:bCs/>
        </w:rPr>
        <w:t>:</w:t>
      </w:r>
      <w:r w:rsidR="00A2642E">
        <w:t xml:space="preserve"> </w:t>
      </w:r>
      <w:r w:rsidR="005C3177">
        <w:t>the cost price index for urban consumers across California.</w:t>
      </w:r>
      <w:r w:rsidR="005C3177">
        <w:rPr>
          <w:rStyle w:val="FootnoteReference"/>
        </w:rPr>
        <w:footnoteReference w:id="4"/>
      </w:r>
      <w:r w:rsidR="005C3177">
        <w:t xml:space="preserve"> </w:t>
      </w:r>
    </w:p>
    <w:p w14:paraId="50D21C74" w14:textId="63FFAB35" w:rsidR="009241E4" w:rsidRDefault="009241E4" w:rsidP="00454092">
      <w:pPr>
        <w:spacing w:line="480" w:lineRule="auto"/>
      </w:pPr>
      <w:r>
        <w:tab/>
      </w:r>
      <w:r w:rsidR="005C3177" w:rsidRPr="005C3177">
        <w:rPr>
          <w:b/>
          <w:bCs/>
        </w:rPr>
        <w:t>CA u</w:t>
      </w:r>
      <w:r w:rsidRPr="005C3177">
        <w:rPr>
          <w:b/>
          <w:bCs/>
        </w:rPr>
        <w:t>nemployment rate</w:t>
      </w:r>
      <w:r w:rsidR="005C3177" w:rsidRPr="005C3177">
        <w:rPr>
          <w:b/>
          <w:bCs/>
        </w:rPr>
        <w:t>:</w:t>
      </w:r>
      <w:r w:rsidR="005C3177">
        <w:t xml:space="preserve"> the unemployment rate in California.</w:t>
      </w:r>
      <w:r w:rsidR="005C3177">
        <w:rPr>
          <w:rStyle w:val="FootnoteReference"/>
        </w:rPr>
        <w:footnoteReference w:id="5"/>
      </w:r>
      <w:r>
        <w:t xml:space="preserve"> </w:t>
      </w:r>
    </w:p>
    <w:p w14:paraId="633D29AA" w14:textId="36AC05E2" w:rsidR="009241E4" w:rsidRDefault="009241E4" w:rsidP="00454092">
      <w:pPr>
        <w:spacing w:line="480" w:lineRule="auto"/>
      </w:pPr>
      <w:r>
        <w:tab/>
      </w:r>
      <w:r w:rsidRPr="005C3177">
        <w:rPr>
          <w:b/>
          <w:bCs/>
        </w:rPr>
        <w:t xml:space="preserve">Obama </w:t>
      </w:r>
      <w:r w:rsidR="005C3177" w:rsidRPr="005C3177">
        <w:rPr>
          <w:b/>
          <w:bCs/>
        </w:rPr>
        <w:t xml:space="preserve">ACA </w:t>
      </w:r>
      <w:r w:rsidRPr="005C3177">
        <w:rPr>
          <w:b/>
          <w:bCs/>
        </w:rPr>
        <w:t>indicator</w:t>
      </w:r>
      <w:r w:rsidR="00033591" w:rsidRPr="005C3177">
        <w:rPr>
          <w:b/>
          <w:bCs/>
        </w:rPr>
        <w:t>:</w:t>
      </w:r>
      <w:r w:rsidR="00033591">
        <w:t xml:space="preserve"> </w:t>
      </w:r>
      <w:r w:rsidR="005C3177">
        <w:t>categorical variable that indicates times prior to</w:t>
      </w:r>
      <w:r w:rsidR="00033591">
        <w:t xml:space="preserve"> </w:t>
      </w:r>
      <w:r w:rsidR="005C3177">
        <w:t xml:space="preserve">the </w:t>
      </w:r>
      <w:r w:rsidR="00033591">
        <w:t>A</w:t>
      </w:r>
      <w:r w:rsidR="005C3177">
        <w:t xml:space="preserve">ffordable </w:t>
      </w:r>
      <w:r w:rsidR="00033591">
        <w:t>C</w:t>
      </w:r>
      <w:r w:rsidR="005C3177">
        <w:t xml:space="preserve">are </w:t>
      </w:r>
      <w:r w:rsidR="00033591">
        <w:t>A</w:t>
      </w:r>
      <w:r w:rsidR="005C3177">
        <w:t>ct as zero</w:t>
      </w:r>
      <w:r w:rsidR="00033591">
        <w:t xml:space="preserve">, </w:t>
      </w:r>
      <w:r w:rsidR="005C3177">
        <w:t xml:space="preserve">passage of </w:t>
      </w:r>
      <w:r>
        <w:t xml:space="preserve">ACA </w:t>
      </w:r>
      <w:r w:rsidR="005C3177">
        <w:t xml:space="preserve">through legislature in 2010 </w:t>
      </w:r>
      <w:r>
        <w:t>with universal mandate</w:t>
      </w:r>
      <w:r w:rsidR="005C3177">
        <w:t xml:space="preserve"> as one</w:t>
      </w:r>
      <w:r w:rsidR="00033591">
        <w:t>,</w:t>
      </w:r>
      <w:r w:rsidR="005C3177">
        <w:t xml:space="preserve"> and</w:t>
      </w:r>
      <w:r w:rsidR="00033591">
        <w:t xml:space="preserve"> </w:t>
      </w:r>
      <w:r w:rsidR="00083262">
        <w:t xml:space="preserve">passage of the 2018 </w:t>
      </w:r>
      <w:r w:rsidR="005C3177">
        <w:t>legislature revoking the</w:t>
      </w:r>
      <w:r w:rsidR="00033591">
        <w:t xml:space="preserve"> universal mandate</w:t>
      </w:r>
      <w:r w:rsidR="005C3177">
        <w:t xml:space="preserve"> as two.</w:t>
      </w:r>
      <w:r w:rsidR="005C3177">
        <w:rPr>
          <w:rStyle w:val="FootnoteReference"/>
        </w:rPr>
        <w:footnoteReference w:id="6"/>
      </w:r>
      <w:r w:rsidR="005C3177">
        <w:t xml:space="preserve"> </w:t>
      </w:r>
    </w:p>
    <w:p w14:paraId="6FC61149" w14:textId="7D71A7CE" w:rsidR="005C3177" w:rsidRDefault="005C3177" w:rsidP="00083262">
      <w:pPr>
        <w:spacing w:line="480" w:lineRule="auto"/>
        <w:ind w:firstLine="720"/>
      </w:pPr>
      <w:r w:rsidRPr="005A5124">
        <w:rPr>
          <w:b/>
          <w:bCs/>
        </w:rPr>
        <w:t>Overall homelessness</w:t>
      </w:r>
      <w:r w:rsidR="005A5124" w:rsidRPr="005A5124">
        <w:rPr>
          <w:b/>
          <w:bCs/>
        </w:rPr>
        <w:t>,</w:t>
      </w:r>
      <w:r w:rsidRPr="005A5124">
        <w:rPr>
          <w:b/>
          <w:bCs/>
        </w:rPr>
        <w:t xml:space="preserve"> California</w:t>
      </w:r>
      <w:r w:rsidR="00083262" w:rsidRPr="005A5124">
        <w:rPr>
          <w:b/>
          <w:bCs/>
        </w:rPr>
        <w:t>:</w:t>
      </w:r>
      <w:r w:rsidR="00083262">
        <w:t xml:space="preserve"> </w:t>
      </w:r>
      <w:r w:rsidR="005A5124">
        <w:t xml:space="preserve">based on the homelessness by state dataset, </w:t>
      </w:r>
      <w:r w:rsidR="00083262">
        <w:t>actual numbers</w:t>
      </w:r>
      <w:r w:rsidR="005A5124">
        <w:t>.</w:t>
      </w:r>
      <w:r w:rsidR="005A5124">
        <w:rPr>
          <w:rStyle w:val="FootnoteReference"/>
        </w:rPr>
        <w:footnoteReference w:id="7"/>
      </w:r>
    </w:p>
    <w:p w14:paraId="5EC0C070" w14:textId="42974D8C" w:rsidR="00A2642E" w:rsidRDefault="005A5124" w:rsidP="005C3177">
      <w:pPr>
        <w:spacing w:line="480" w:lineRule="auto"/>
        <w:ind w:firstLine="720"/>
      </w:pPr>
      <w:r w:rsidRPr="005A5124">
        <w:rPr>
          <w:b/>
          <w:bCs/>
        </w:rPr>
        <w:t>CA-500 through CA-6</w:t>
      </w:r>
      <w:r w:rsidR="001A7121">
        <w:rPr>
          <w:b/>
          <w:bCs/>
        </w:rPr>
        <w:t>14</w:t>
      </w:r>
      <w:r w:rsidRPr="005A5124">
        <w:rPr>
          <w:b/>
          <w:bCs/>
        </w:rPr>
        <w:t xml:space="preserve">: </w:t>
      </w:r>
      <w:r>
        <w:t>based on the homelessness by county dataset,</w:t>
      </w:r>
      <w:r w:rsidR="00A2642E">
        <w:t xml:space="preserve"> per California county</w:t>
      </w:r>
      <w:r>
        <w:t xml:space="preserve">, </w:t>
      </w:r>
      <w:r w:rsidR="008079C2">
        <w:t>actual numbers</w:t>
      </w:r>
      <w:r>
        <w:t>.</w:t>
      </w:r>
      <w:r>
        <w:rPr>
          <w:rStyle w:val="FootnoteReference"/>
        </w:rPr>
        <w:footnoteReference w:id="8"/>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0"/>
        <w:gridCol w:w="7455"/>
      </w:tblGrid>
      <w:tr w:rsidR="001A7121" w:rsidRPr="001A7121" w14:paraId="259CF6F1" w14:textId="77777777" w:rsidTr="001A7121">
        <w:trPr>
          <w:trHeight w:val="580"/>
        </w:trPr>
        <w:tc>
          <w:tcPr>
            <w:tcW w:w="1720" w:type="dxa"/>
            <w:hideMark/>
          </w:tcPr>
          <w:p w14:paraId="6849EF5A" w14:textId="77777777" w:rsidR="001A7121" w:rsidRPr="001A7121" w:rsidRDefault="001A7121" w:rsidP="00FD7794">
            <w:pPr>
              <w:ind w:firstLine="720"/>
            </w:pPr>
            <w:r w:rsidRPr="001A7121">
              <w:t>CA-500</w:t>
            </w:r>
          </w:p>
        </w:tc>
        <w:tc>
          <w:tcPr>
            <w:tcW w:w="7455" w:type="dxa"/>
            <w:hideMark/>
          </w:tcPr>
          <w:p w14:paraId="77702DE1" w14:textId="3E19A8CE" w:rsidR="001A7121" w:rsidRPr="001A7121" w:rsidRDefault="001A7121" w:rsidP="00FD7794">
            <w:pPr>
              <w:ind w:firstLine="720"/>
            </w:pPr>
            <w:r w:rsidRPr="001A7121">
              <w:t xml:space="preserve">San Jose/Santa Clara City &amp; County </w:t>
            </w:r>
          </w:p>
        </w:tc>
      </w:tr>
      <w:tr w:rsidR="001A7121" w:rsidRPr="001A7121" w14:paraId="11AD21F3" w14:textId="77777777" w:rsidTr="001A7121">
        <w:trPr>
          <w:trHeight w:val="580"/>
        </w:trPr>
        <w:tc>
          <w:tcPr>
            <w:tcW w:w="1720" w:type="dxa"/>
            <w:hideMark/>
          </w:tcPr>
          <w:p w14:paraId="11BA4C1A" w14:textId="77777777" w:rsidR="001A7121" w:rsidRPr="001A7121" w:rsidRDefault="001A7121" w:rsidP="00FD7794">
            <w:pPr>
              <w:ind w:firstLine="720"/>
            </w:pPr>
            <w:r w:rsidRPr="001A7121">
              <w:t>CA-501</w:t>
            </w:r>
          </w:p>
        </w:tc>
        <w:tc>
          <w:tcPr>
            <w:tcW w:w="7455" w:type="dxa"/>
            <w:hideMark/>
          </w:tcPr>
          <w:p w14:paraId="33063F0A" w14:textId="3E68D70D" w:rsidR="001A7121" w:rsidRPr="001A7121" w:rsidRDefault="001A7121" w:rsidP="00FD7794">
            <w:pPr>
              <w:ind w:firstLine="720"/>
            </w:pPr>
            <w:r w:rsidRPr="001A7121">
              <w:t xml:space="preserve">San Francisco </w:t>
            </w:r>
          </w:p>
        </w:tc>
      </w:tr>
      <w:tr w:rsidR="001A7121" w:rsidRPr="001A7121" w14:paraId="7A020A2E" w14:textId="77777777" w:rsidTr="001A7121">
        <w:trPr>
          <w:trHeight w:val="580"/>
        </w:trPr>
        <w:tc>
          <w:tcPr>
            <w:tcW w:w="1720" w:type="dxa"/>
            <w:hideMark/>
          </w:tcPr>
          <w:p w14:paraId="39FC2D69" w14:textId="77777777" w:rsidR="001A7121" w:rsidRPr="001A7121" w:rsidRDefault="001A7121" w:rsidP="00FD7794">
            <w:pPr>
              <w:ind w:firstLine="720"/>
            </w:pPr>
            <w:r w:rsidRPr="001A7121">
              <w:t>CA-502</w:t>
            </w:r>
          </w:p>
        </w:tc>
        <w:tc>
          <w:tcPr>
            <w:tcW w:w="7455" w:type="dxa"/>
            <w:hideMark/>
          </w:tcPr>
          <w:p w14:paraId="1A66EF96" w14:textId="0C76AE0E" w:rsidR="001A7121" w:rsidRPr="001A7121" w:rsidRDefault="001A7121" w:rsidP="00FD7794">
            <w:pPr>
              <w:ind w:firstLine="720"/>
            </w:pPr>
            <w:r w:rsidRPr="001A7121">
              <w:t xml:space="preserve">Oakland, Berkeley/Alameda County </w:t>
            </w:r>
          </w:p>
        </w:tc>
      </w:tr>
      <w:tr w:rsidR="001A7121" w:rsidRPr="001A7121" w14:paraId="4B0E6941" w14:textId="77777777" w:rsidTr="001A7121">
        <w:trPr>
          <w:trHeight w:val="580"/>
        </w:trPr>
        <w:tc>
          <w:tcPr>
            <w:tcW w:w="1720" w:type="dxa"/>
            <w:hideMark/>
          </w:tcPr>
          <w:p w14:paraId="3B4D8BDC" w14:textId="77777777" w:rsidR="001A7121" w:rsidRPr="001A7121" w:rsidRDefault="001A7121" w:rsidP="00FD7794">
            <w:pPr>
              <w:ind w:firstLine="720"/>
            </w:pPr>
            <w:r w:rsidRPr="001A7121">
              <w:t>CA-503</w:t>
            </w:r>
          </w:p>
        </w:tc>
        <w:tc>
          <w:tcPr>
            <w:tcW w:w="7455" w:type="dxa"/>
            <w:hideMark/>
          </w:tcPr>
          <w:p w14:paraId="28FB4839" w14:textId="60620072" w:rsidR="001A7121" w:rsidRPr="001A7121" w:rsidRDefault="001A7121" w:rsidP="00FD7794">
            <w:pPr>
              <w:ind w:firstLine="720"/>
            </w:pPr>
            <w:r w:rsidRPr="001A7121">
              <w:t xml:space="preserve">Sacramento City &amp; County </w:t>
            </w:r>
          </w:p>
        </w:tc>
      </w:tr>
      <w:tr w:rsidR="001A7121" w:rsidRPr="001A7121" w14:paraId="013FCAD7" w14:textId="77777777" w:rsidTr="001A7121">
        <w:trPr>
          <w:trHeight w:val="580"/>
        </w:trPr>
        <w:tc>
          <w:tcPr>
            <w:tcW w:w="1720" w:type="dxa"/>
            <w:hideMark/>
          </w:tcPr>
          <w:p w14:paraId="02E8C573" w14:textId="77777777" w:rsidR="001A7121" w:rsidRPr="001A7121" w:rsidRDefault="001A7121" w:rsidP="00FD7794">
            <w:pPr>
              <w:ind w:firstLine="720"/>
            </w:pPr>
            <w:r w:rsidRPr="001A7121">
              <w:lastRenderedPageBreak/>
              <w:t>CA-504</w:t>
            </w:r>
          </w:p>
        </w:tc>
        <w:tc>
          <w:tcPr>
            <w:tcW w:w="7455" w:type="dxa"/>
            <w:hideMark/>
          </w:tcPr>
          <w:p w14:paraId="36EB704B" w14:textId="602B595F" w:rsidR="001A7121" w:rsidRPr="001A7121" w:rsidRDefault="001A7121" w:rsidP="00FD7794">
            <w:pPr>
              <w:ind w:firstLine="720"/>
            </w:pPr>
            <w:r w:rsidRPr="001A7121">
              <w:t xml:space="preserve">Santa Rosa, Petaluma/Sonoma County </w:t>
            </w:r>
          </w:p>
        </w:tc>
      </w:tr>
      <w:tr w:rsidR="001A7121" w:rsidRPr="001A7121" w14:paraId="3270011B" w14:textId="77777777" w:rsidTr="001A7121">
        <w:trPr>
          <w:trHeight w:val="580"/>
        </w:trPr>
        <w:tc>
          <w:tcPr>
            <w:tcW w:w="1720" w:type="dxa"/>
            <w:hideMark/>
          </w:tcPr>
          <w:p w14:paraId="07553934" w14:textId="77777777" w:rsidR="001A7121" w:rsidRPr="001A7121" w:rsidRDefault="001A7121" w:rsidP="00FD7794">
            <w:pPr>
              <w:ind w:firstLine="720"/>
            </w:pPr>
            <w:r w:rsidRPr="001A7121">
              <w:t>CA-505</w:t>
            </w:r>
          </w:p>
        </w:tc>
        <w:tc>
          <w:tcPr>
            <w:tcW w:w="7455" w:type="dxa"/>
            <w:hideMark/>
          </w:tcPr>
          <w:p w14:paraId="6B8041FA" w14:textId="6CC866C2" w:rsidR="001A7121" w:rsidRPr="001A7121" w:rsidRDefault="001A7121" w:rsidP="00FD7794">
            <w:pPr>
              <w:ind w:firstLine="720"/>
            </w:pPr>
            <w:r w:rsidRPr="001A7121">
              <w:t xml:space="preserve">Richmond/Contra Costa County </w:t>
            </w:r>
          </w:p>
        </w:tc>
      </w:tr>
      <w:tr w:rsidR="001A7121" w:rsidRPr="001A7121" w14:paraId="730BFF92" w14:textId="77777777" w:rsidTr="001A7121">
        <w:trPr>
          <w:trHeight w:val="580"/>
        </w:trPr>
        <w:tc>
          <w:tcPr>
            <w:tcW w:w="1720" w:type="dxa"/>
            <w:hideMark/>
          </w:tcPr>
          <w:p w14:paraId="0DE72C79" w14:textId="77777777" w:rsidR="001A7121" w:rsidRPr="001A7121" w:rsidRDefault="001A7121" w:rsidP="00FD7794">
            <w:pPr>
              <w:ind w:firstLine="720"/>
            </w:pPr>
            <w:r w:rsidRPr="001A7121">
              <w:t>CA-506</w:t>
            </w:r>
          </w:p>
        </w:tc>
        <w:tc>
          <w:tcPr>
            <w:tcW w:w="7455" w:type="dxa"/>
            <w:hideMark/>
          </w:tcPr>
          <w:p w14:paraId="78A1D241" w14:textId="60E65D89" w:rsidR="001A7121" w:rsidRPr="001A7121" w:rsidRDefault="001A7121" w:rsidP="00FD7794">
            <w:pPr>
              <w:ind w:firstLine="720"/>
            </w:pPr>
            <w:r w:rsidRPr="001A7121">
              <w:t xml:space="preserve">Salinas/Monterey, San Benito Counties </w:t>
            </w:r>
          </w:p>
        </w:tc>
      </w:tr>
      <w:tr w:rsidR="001A7121" w:rsidRPr="001A7121" w14:paraId="3C467E24" w14:textId="77777777" w:rsidTr="001A7121">
        <w:trPr>
          <w:trHeight w:val="580"/>
        </w:trPr>
        <w:tc>
          <w:tcPr>
            <w:tcW w:w="1720" w:type="dxa"/>
            <w:hideMark/>
          </w:tcPr>
          <w:p w14:paraId="2E587CE6" w14:textId="77777777" w:rsidR="001A7121" w:rsidRPr="001A7121" w:rsidRDefault="001A7121" w:rsidP="00FD7794">
            <w:pPr>
              <w:ind w:firstLine="720"/>
            </w:pPr>
            <w:r w:rsidRPr="001A7121">
              <w:t>CA-507</w:t>
            </w:r>
          </w:p>
        </w:tc>
        <w:tc>
          <w:tcPr>
            <w:tcW w:w="7455" w:type="dxa"/>
            <w:hideMark/>
          </w:tcPr>
          <w:p w14:paraId="13BC5CF2" w14:textId="42F5528E" w:rsidR="001A7121" w:rsidRPr="001A7121" w:rsidRDefault="001A7121" w:rsidP="00FD7794">
            <w:pPr>
              <w:ind w:firstLine="720"/>
            </w:pPr>
            <w:r w:rsidRPr="001A7121">
              <w:t xml:space="preserve">Marin County </w:t>
            </w:r>
          </w:p>
        </w:tc>
      </w:tr>
      <w:tr w:rsidR="001A7121" w:rsidRPr="001A7121" w14:paraId="360B24F1" w14:textId="77777777" w:rsidTr="001A7121">
        <w:trPr>
          <w:trHeight w:val="580"/>
        </w:trPr>
        <w:tc>
          <w:tcPr>
            <w:tcW w:w="1720" w:type="dxa"/>
            <w:hideMark/>
          </w:tcPr>
          <w:p w14:paraId="7761F6D4" w14:textId="77777777" w:rsidR="001A7121" w:rsidRPr="001A7121" w:rsidRDefault="001A7121" w:rsidP="00FD7794">
            <w:pPr>
              <w:ind w:firstLine="720"/>
            </w:pPr>
            <w:r w:rsidRPr="001A7121">
              <w:t>CA-508</w:t>
            </w:r>
          </w:p>
        </w:tc>
        <w:tc>
          <w:tcPr>
            <w:tcW w:w="7455" w:type="dxa"/>
            <w:hideMark/>
          </w:tcPr>
          <w:p w14:paraId="0447155C" w14:textId="72D3349A" w:rsidR="001A7121" w:rsidRPr="001A7121" w:rsidRDefault="001A7121" w:rsidP="00FD7794">
            <w:pPr>
              <w:ind w:firstLine="720"/>
            </w:pPr>
            <w:r w:rsidRPr="001A7121">
              <w:t xml:space="preserve">Watsonville/Santa Cruz City &amp; County </w:t>
            </w:r>
          </w:p>
        </w:tc>
      </w:tr>
      <w:tr w:rsidR="001A7121" w:rsidRPr="001A7121" w14:paraId="3657F427" w14:textId="77777777" w:rsidTr="001A7121">
        <w:trPr>
          <w:trHeight w:val="580"/>
        </w:trPr>
        <w:tc>
          <w:tcPr>
            <w:tcW w:w="1720" w:type="dxa"/>
            <w:hideMark/>
          </w:tcPr>
          <w:p w14:paraId="64950611" w14:textId="77777777" w:rsidR="001A7121" w:rsidRPr="001A7121" w:rsidRDefault="001A7121" w:rsidP="00FD7794">
            <w:pPr>
              <w:ind w:firstLine="720"/>
            </w:pPr>
            <w:r w:rsidRPr="001A7121">
              <w:t>CA-509</w:t>
            </w:r>
          </w:p>
        </w:tc>
        <w:tc>
          <w:tcPr>
            <w:tcW w:w="7455" w:type="dxa"/>
            <w:hideMark/>
          </w:tcPr>
          <w:p w14:paraId="4416B62F" w14:textId="75DC9271" w:rsidR="001A7121" w:rsidRPr="001A7121" w:rsidRDefault="001A7121" w:rsidP="00FD7794">
            <w:pPr>
              <w:ind w:firstLine="720"/>
            </w:pPr>
            <w:r w:rsidRPr="001A7121">
              <w:t xml:space="preserve">Mendocino County </w:t>
            </w:r>
          </w:p>
        </w:tc>
      </w:tr>
      <w:tr w:rsidR="001A7121" w:rsidRPr="001A7121" w14:paraId="7D506239" w14:textId="77777777" w:rsidTr="001A7121">
        <w:trPr>
          <w:trHeight w:val="580"/>
        </w:trPr>
        <w:tc>
          <w:tcPr>
            <w:tcW w:w="1720" w:type="dxa"/>
            <w:hideMark/>
          </w:tcPr>
          <w:p w14:paraId="673E5628" w14:textId="77777777" w:rsidR="001A7121" w:rsidRPr="001A7121" w:rsidRDefault="001A7121" w:rsidP="00FD7794">
            <w:pPr>
              <w:ind w:firstLine="720"/>
            </w:pPr>
            <w:r w:rsidRPr="001A7121">
              <w:t>CA-510</w:t>
            </w:r>
          </w:p>
        </w:tc>
        <w:tc>
          <w:tcPr>
            <w:tcW w:w="7455" w:type="dxa"/>
            <w:hideMark/>
          </w:tcPr>
          <w:p w14:paraId="5D7C1C23" w14:textId="30D9A968" w:rsidR="001A7121" w:rsidRPr="001A7121" w:rsidRDefault="001A7121" w:rsidP="00FD7794">
            <w:pPr>
              <w:ind w:firstLine="720"/>
            </w:pPr>
            <w:r w:rsidRPr="001A7121">
              <w:t xml:space="preserve">Turlock, Modesto/Stanislaus County </w:t>
            </w:r>
          </w:p>
        </w:tc>
      </w:tr>
      <w:tr w:rsidR="001A7121" w:rsidRPr="001A7121" w14:paraId="416392AB" w14:textId="77777777" w:rsidTr="001A7121">
        <w:trPr>
          <w:trHeight w:val="580"/>
        </w:trPr>
        <w:tc>
          <w:tcPr>
            <w:tcW w:w="1720" w:type="dxa"/>
            <w:hideMark/>
          </w:tcPr>
          <w:p w14:paraId="0FD51A0C" w14:textId="77777777" w:rsidR="001A7121" w:rsidRPr="001A7121" w:rsidRDefault="001A7121" w:rsidP="00FD7794">
            <w:pPr>
              <w:ind w:firstLine="720"/>
            </w:pPr>
            <w:r w:rsidRPr="001A7121">
              <w:t>CA-511</w:t>
            </w:r>
          </w:p>
        </w:tc>
        <w:tc>
          <w:tcPr>
            <w:tcW w:w="7455" w:type="dxa"/>
            <w:hideMark/>
          </w:tcPr>
          <w:p w14:paraId="7D550311" w14:textId="7CB9BDCE" w:rsidR="001A7121" w:rsidRPr="001A7121" w:rsidRDefault="001A7121" w:rsidP="00FD7794">
            <w:pPr>
              <w:ind w:firstLine="720"/>
            </w:pPr>
            <w:r w:rsidRPr="001A7121">
              <w:t xml:space="preserve">Stockton/San Joaquin County </w:t>
            </w:r>
          </w:p>
        </w:tc>
      </w:tr>
      <w:tr w:rsidR="001A7121" w:rsidRPr="001A7121" w14:paraId="4A3C5747" w14:textId="77777777" w:rsidTr="001A7121">
        <w:trPr>
          <w:trHeight w:val="580"/>
        </w:trPr>
        <w:tc>
          <w:tcPr>
            <w:tcW w:w="1720" w:type="dxa"/>
            <w:hideMark/>
          </w:tcPr>
          <w:p w14:paraId="23FE8EC0" w14:textId="77777777" w:rsidR="001A7121" w:rsidRPr="001A7121" w:rsidRDefault="001A7121" w:rsidP="00FD7794">
            <w:pPr>
              <w:ind w:firstLine="720"/>
            </w:pPr>
            <w:r w:rsidRPr="001A7121">
              <w:t>CA-512</w:t>
            </w:r>
          </w:p>
        </w:tc>
        <w:tc>
          <w:tcPr>
            <w:tcW w:w="7455" w:type="dxa"/>
            <w:hideMark/>
          </w:tcPr>
          <w:p w14:paraId="77B7336A" w14:textId="2D4CF337" w:rsidR="001A7121" w:rsidRPr="001A7121" w:rsidRDefault="001A7121" w:rsidP="00FD7794">
            <w:pPr>
              <w:ind w:firstLine="720"/>
            </w:pPr>
            <w:r w:rsidRPr="001A7121">
              <w:t xml:space="preserve">Daly/San Mateo County </w:t>
            </w:r>
          </w:p>
        </w:tc>
      </w:tr>
      <w:tr w:rsidR="001A7121" w:rsidRPr="001A7121" w14:paraId="67E4D42A" w14:textId="77777777" w:rsidTr="001A7121">
        <w:trPr>
          <w:trHeight w:val="580"/>
        </w:trPr>
        <w:tc>
          <w:tcPr>
            <w:tcW w:w="1720" w:type="dxa"/>
            <w:hideMark/>
          </w:tcPr>
          <w:p w14:paraId="07ED1CAF" w14:textId="77777777" w:rsidR="001A7121" w:rsidRPr="001A7121" w:rsidRDefault="001A7121" w:rsidP="00FD7794">
            <w:pPr>
              <w:ind w:firstLine="720"/>
            </w:pPr>
            <w:r w:rsidRPr="001A7121">
              <w:t>CA-513</w:t>
            </w:r>
          </w:p>
        </w:tc>
        <w:tc>
          <w:tcPr>
            <w:tcW w:w="7455" w:type="dxa"/>
            <w:hideMark/>
          </w:tcPr>
          <w:p w14:paraId="2E72098B" w14:textId="31ACFAB9" w:rsidR="001A7121" w:rsidRPr="001A7121" w:rsidRDefault="001A7121" w:rsidP="00FD7794">
            <w:pPr>
              <w:ind w:firstLine="720"/>
            </w:pPr>
            <w:r w:rsidRPr="001A7121">
              <w:t xml:space="preserve">Visalia/Kings, Tulare Counties </w:t>
            </w:r>
          </w:p>
        </w:tc>
      </w:tr>
      <w:tr w:rsidR="001A7121" w:rsidRPr="001A7121" w14:paraId="77A0D7ED" w14:textId="77777777" w:rsidTr="001A7121">
        <w:trPr>
          <w:trHeight w:val="580"/>
        </w:trPr>
        <w:tc>
          <w:tcPr>
            <w:tcW w:w="1720" w:type="dxa"/>
            <w:hideMark/>
          </w:tcPr>
          <w:p w14:paraId="50AC31B7" w14:textId="77777777" w:rsidR="001A7121" w:rsidRPr="001A7121" w:rsidRDefault="001A7121" w:rsidP="00FD7794">
            <w:pPr>
              <w:ind w:firstLine="720"/>
            </w:pPr>
            <w:r w:rsidRPr="001A7121">
              <w:t>CA-514</w:t>
            </w:r>
          </w:p>
        </w:tc>
        <w:tc>
          <w:tcPr>
            <w:tcW w:w="7455" w:type="dxa"/>
            <w:hideMark/>
          </w:tcPr>
          <w:p w14:paraId="78FC06E1" w14:textId="5332CE84" w:rsidR="001A7121" w:rsidRPr="001A7121" w:rsidRDefault="001A7121" w:rsidP="00FD7794">
            <w:pPr>
              <w:ind w:firstLine="720"/>
            </w:pPr>
            <w:r w:rsidRPr="001A7121">
              <w:t xml:space="preserve">Fresno City &amp; County/Madera County </w:t>
            </w:r>
          </w:p>
        </w:tc>
      </w:tr>
      <w:tr w:rsidR="001A7121" w:rsidRPr="001A7121" w14:paraId="48DD4B56" w14:textId="77777777" w:rsidTr="001A7121">
        <w:trPr>
          <w:trHeight w:val="580"/>
        </w:trPr>
        <w:tc>
          <w:tcPr>
            <w:tcW w:w="1720" w:type="dxa"/>
            <w:hideMark/>
          </w:tcPr>
          <w:p w14:paraId="70889867" w14:textId="77777777" w:rsidR="001A7121" w:rsidRPr="001A7121" w:rsidRDefault="001A7121" w:rsidP="00FD7794">
            <w:pPr>
              <w:ind w:firstLine="720"/>
            </w:pPr>
            <w:r w:rsidRPr="001A7121">
              <w:t>CA-515</w:t>
            </w:r>
          </w:p>
        </w:tc>
        <w:tc>
          <w:tcPr>
            <w:tcW w:w="7455" w:type="dxa"/>
            <w:hideMark/>
          </w:tcPr>
          <w:p w14:paraId="434BAA9E" w14:textId="747CC962" w:rsidR="001A7121" w:rsidRPr="001A7121" w:rsidRDefault="001A7121" w:rsidP="00FD7794">
            <w:pPr>
              <w:ind w:firstLine="720"/>
            </w:pPr>
            <w:r w:rsidRPr="001A7121">
              <w:t xml:space="preserve">Roseville, Rocklin/Placer County </w:t>
            </w:r>
          </w:p>
        </w:tc>
      </w:tr>
      <w:tr w:rsidR="001A7121" w:rsidRPr="001A7121" w14:paraId="3957178B" w14:textId="77777777" w:rsidTr="001A7121">
        <w:trPr>
          <w:trHeight w:val="860"/>
        </w:trPr>
        <w:tc>
          <w:tcPr>
            <w:tcW w:w="1720" w:type="dxa"/>
            <w:hideMark/>
          </w:tcPr>
          <w:p w14:paraId="6C9FF735" w14:textId="77777777" w:rsidR="001A7121" w:rsidRPr="001A7121" w:rsidRDefault="001A7121" w:rsidP="00FD7794">
            <w:pPr>
              <w:ind w:firstLine="720"/>
            </w:pPr>
            <w:r w:rsidRPr="001A7121">
              <w:t>CA-516</w:t>
            </w:r>
          </w:p>
        </w:tc>
        <w:tc>
          <w:tcPr>
            <w:tcW w:w="7455" w:type="dxa"/>
            <w:hideMark/>
          </w:tcPr>
          <w:p w14:paraId="4FDBABB5" w14:textId="24E50744" w:rsidR="001A7121" w:rsidRPr="001A7121" w:rsidRDefault="001A7121" w:rsidP="00FD7794">
            <w:pPr>
              <w:ind w:firstLine="720"/>
            </w:pPr>
            <w:r w:rsidRPr="001A7121">
              <w:t xml:space="preserve">Redding/Shasta, Siskiyou, Lassen, Plumas, Del Norte, </w:t>
            </w:r>
            <w:proofErr w:type="gramStart"/>
            <w:r w:rsidRPr="001A7121">
              <w:t xml:space="preserve">Modoc, </w:t>
            </w:r>
            <w:r>
              <w:t xml:space="preserve">  </w:t>
            </w:r>
            <w:proofErr w:type="gramEnd"/>
            <w:r>
              <w:t xml:space="preserve">             </w:t>
            </w:r>
            <w:r>
              <w:br/>
              <w:t xml:space="preserve">            </w:t>
            </w:r>
            <w:r w:rsidRPr="001A7121">
              <w:t xml:space="preserve">Sierra Counties </w:t>
            </w:r>
          </w:p>
        </w:tc>
      </w:tr>
      <w:tr w:rsidR="001A7121" w:rsidRPr="001A7121" w14:paraId="373313BB" w14:textId="77777777" w:rsidTr="001A7121">
        <w:trPr>
          <w:trHeight w:val="580"/>
        </w:trPr>
        <w:tc>
          <w:tcPr>
            <w:tcW w:w="1720" w:type="dxa"/>
            <w:hideMark/>
          </w:tcPr>
          <w:p w14:paraId="5D2F12B3" w14:textId="77777777" w:rsidR="001A7121" w:rsidRPr="001A7121" w:rsidRDefault="001A7121" w:rsidP="00FD7794">
            <w:pPr>
              <w:ind w:firstLine="720"/>
            </w:pPr>
            <w:r w:rsidRPr="001A7121">
              <w:t>CA-517</w:t>
            </w:r>
          </w:p>
        </w:tc>
        <w:tc>
          <w:tcPr>
            <w:tcW w:w="7455" w:type="dxa"/>
            <w:hideMark/>
          </w:tcPr>
          <w:p w14:paraId="71ED49BF" w14:textId="44F8E1AE" w:rsidR="001A7121" w:rsidRPr="001A7121" w:rsidRDefault="001A7121" w:rsidP="00FD7794">
            <w:pPr>
              <w:ind w:firstLine="720"/>
            </w:pPr>
            <w:r w:rsidRPr="001A7121">
              <w:t xml:space="preserve">Napa City &amp; County </w:t>
            </w:r>
          </w:p>
        </w:tc>
      </w:tr>
      <w:tr w:rsidR="001A7121" w:rsidRPr="001A7121" w14:paraId="35256CEE" w14:textId="77777777" w:rsidTr="001A7121">
        <w:trPr>
          <w:trHeight w:val="580"/>
        </w:trPr>
        <w:tc>
          <w:tcPr>
            <w:tcW w:w="1720" w:type="dxa"/>
            <w:hideMark/>
          </w:tcPr>
          <w:p w14:paraId="3D88C3A0" w14:textId="77777777" w:rsidR="001A7121" w:rsidRPr="001A7121" w:rsidRDefault="001A7121" w:rsidP="00FD7794">
            <w:pPr>
              <w:ind w:firstLine="720"/>
            </w:pPr>
            <w:r w:rsidRPr="001A7121">
              <w:t>CA-518</w:t>
            </w:r>
          </w:p>
        </w:tc>
        <w:tc>
          <w:tcPr>
            <w:tcW w:w="7455" w:type="dxa"/>
            <w:hideMark/>
          </w:tcPr>
          <w:p w14:paraId="42C5B109" w14:textId="6B41BD88" w:rsidR="001A7121" w:rsidRPr="001A7121" w:rsidRDefault="001A7121" w:rsidP="00FD7794">
            <w:pPr>
              <w:ind w:firstLine="720"/>
            </w:pPr>
            <w:r w:rsidRPr="001A7121">
              <w:t xml:space="preserve">Vallejo/Solano County </w:t>
            </w:r>
          </w:p>
        </w:tc>
      </w:tr>
      <w:tr w:rsidR="001A7121" w:rsidRPr="001A7121" w14:paraId="46C26850" w14:textId="77777777" w:rsidTr="001A7121">
        <w:trPr>
          <w:trHeight w:val="580"/>
        </w:trPr>
        <w:tc>
          <w:tcPr>
            <w:tcW w:w="1720" w:type="dxa"/>
            <w:hideMark/>
          </w:tcPr>
          <w:p w14:paraId="77D0A4F3" w14:textId="77777777" w:rsidR="001A7121" w:rsidRPr="001A7121" w:rsidRDefault="001A7121" w:rsidP="00FD7794">
            <w:pPr>
              <w:ind w:firstLine="720"/>
            </w:pPr>
            <w:r w:rsidRPr="001A7121">
              <w:t>CA-519</w:t>
            </w:r>
          </w:p>
        </w:tc>
        <w:tc>
          <w:tcPr>
            <w:tcW w:w="7455" w:type="dxa"/>
            <w:hideMark/>
          </w:tcPr>
          <w:p w14:paraId="1A54EADA" w14:textId="7F72065C" w:rsidR="001A7121" w:rsidRPr="001A7121" w:rsidRDefault="001A7121" w:rsidP="00FD7794">
            <w:pPr>
              <w:ind w:firstLine="720"/>
            </w:pPr>
            <w:r w:rsidRPr="001A7121">
              <w:t xml:space="preserve">Chico, Paradise/Butte County </w:t>
            </w:r>
          </w:p>
        </w:tc>
      </w:tr>
      <w:tr w:rsidR="001A7121" w:rsidRPr="001A7121" w14:paraId="21AB73A5" w14:textId="77777777" w:rsidTr="001A7121">
        <w:trPr>
          <w:trHeight w:val="580"/>
        </w:trPr>
        <w:tc>
          <w:tcPr>
            <w:tcW w:w="1720" w:type="dxa"/>
            <w:hideMark/>
          </w:tcPr>
          <w:p w14:paraId="2B28AAF7" w14:textId="77777777" w:rsidR="001A7121" w:rsidRPr="001A7121" w:rsidRDefault="001A7121" w:rsidP="00FD7794">
            <w:pPr>
              <w:ind w:firstLine="720"/>
            </w:pPr>
            <w:r w:rsidRPr="001A7121">
              <w:t>CA-520</w:t>
            </w:r>
          </w:p>
        </w:tc>
        <w:tc>
          <w:tcPr>
            <w:tcW w:w="7455" w:type="dxa"/>
            <w:hideMark/>
          </w:tcPr>
          <w:p w14:paraId="5233A0C4" w14:textId="206B0BFF" w:rsidR="001A7121" w:rsidRPr="001A7121" w:rsidRDefault="001A7121" w:rsidP="00FD7794">
            <w:pPr>
              <w:ind w:firstLine="720"/>
            </w:pPr>
            <w:r w:rsidRPr="001A7121">
              <w:t xml:space="preserve">Merced City &amp; County </w:t>
            </w:r>
          </w:p>
        </w:tc>
      </w:tr>
      <w:tr w:rsidR="001A7121" w:rsidRPr="001A7121" w14:paraId="56FAC8CC" w14:textId="77777777" w:rsidTr="001A7121">
        <w:trPr>
          <w:trHeight w:val="580"/>
        </w:trPr>
        <w:tc>
          <w:tcPr>
            <w:tcW w:w="1720" w:type="dxa"/>
            <w:hideMark/>
          </w:tcPr>
          <w:p w14:paraId="49803EC2" w14:textId="77777777" w:rsidR="001A7121" w:rsidRPr="001A7121" w:rsidRDefault="001A7121" w:rsidP="00FD7794">
            <w:pPr>
              <w:ind w:firstLine="720"/>
            </w:pPr>
            <w:r w:rsidRPr="001A7121">
              <w:t>CA-521</w:t>
            </w:r>
          </w:p>
        </w:tc>
        <w:tc>
          <w:tcPr>
            <w:tcW w:w="7455" w:type="dxa"/>
            <w:hideMark/>
          </w:tcPr>
          <w:p w14:paraId="57F46CB2" w14:textId="3E0745BF" w:rsidR="001A7121" w:rsidRPr="001A7121" w:rsidRDefault="001A7121" w:rsidP="00FD7794">
            <w:pPr>
              <w:ind w:firstLine="720"/>
            </w:pPr>
            <w:r w:rsidRPr="001A7121">
              <w:t xml:space="preserve">Davis, Woodland/Yolo County </w:t>
            </w:r>
          </w:p>
        </w:tc>
      </w:tr>
      <w:tr w:rsidR="001A7121" w:rsidRPr="001A7121" w14:paraId="6265213A" w14:textId="77777777" w:rsidTr="001A7121">
        <w:trPr>
          <w:trHeight w:val="580"/>
        </w:trPr>
        <w:tc>
          <w:tcPr>
            <w:tcW w:w="1720" w:type="dxa"/>
            <w:hideMark/>
          </w:tcPr>
          <w:p w14:paraId="6DF615AB" w14:textId="77777777" w:rsidR="001A7121" w:rsidRPr="001A7121" w:rsidRDefault="001A7121" w:rsidP="00FD7794">
            <w:pPr>
              <w:ind w:firstLine="720"/>
            </w:pPr>
            <w:r w:rsidRPr="001A7121">
              <w:t>CA-522</w:t>
            </w:r>
          </w:p>
        </w:tc>
        <w:tc>
          <w:tcPr>
            <w:tcW w:w="7455" w:type="dxa"/>
            <w:hideMark/>
          </w:tcPr>
          <w:p w14:paraId="14AA3FFA" w14:textId="3F39A1D3" w:rsidR="001A7121" w:rsidRPr="001A7121" w:rsidRDefault="001A7121" w:rsidP="00FD7794">
            <w:pPr>
              <w:ind w:firstLine="720"/>
            </w:pPr>
            <w:r w:rsidRPr="001A7121">
              <w:t xml:space="preserve">Humboldt County </w:t>
            </w:r>
          </w:p>
        </w:tc>
      </w:tr>
      <w:tr w:rsidR="001A7121" w:rsidRPr="001A7121" w14:paraId="27793406" w14:textId="77777777" w:rsidTr="001A7121">
        <w:trPr>
          <w:trHeight w:val="580"/>
        </w:trPr>
        <w:tc>
          <w:tcPr>
            <w:tcW w:w="1720" w:type="dxa"/>
            <w:hideMark/>
          </w:tcPr>
          <w:p w14:paraId="5CB88BE1" w14:textId="77777777" w:rsidR="001A7121" w:rsidRPr="001A7121" w:rsidRDefault="001A7121" w:rsidP="00FD7794">
            <w:pPr>
              <w:ind w:firstLine="720"/>
            </w:pPr>
            <w:r w:rsidRPr="001A7121">
              <w:t>CA-523</w:t>
            </w:r>
          </w:p>
        </w:tc>
        <w:tc>
          <w:tcPr>
            <w:tcW w:w="7455" w:type="dxa"/>
            <w:hideMark/>
          </w:tcPr>
          <w:p w14:paraId="2EDB2077" w14:textId="538536DE" w:rsidR="001A7121" w:rsidRPr="001A7121" w:rsidRDefault="001A7121" w:rsidP="00FD7794">
            <w:pPr>
              <w:ind w:firstLine="720"/>
            </w:pPr>
            <w:r w:rsidRPr="001A7121">
              <w:t xml:space="preserve">Colusa, Glenn, Trinity Counties </w:t>
            </w:r>
          </w:p>
        </w:tc>
      </w:tr>
      <w:tr w:rsidR="001A7121" w:rsidRPr="001A7121" w14:paraId="3E8ABDC1" w14:textId="77777777" w:rsidTr="001A7121">
        <w:trPr>
          <w:trHeight w:val="580"/>
        </w:trPr>
        <w:tc>
          <w:tcPr>
            <w:tcW w:w="1720" w:type="dxa"/>
            <w:hideMark/>
          </w:tcPr>
          <w:p w14:paraId="6FCD85E5" w14:textId="77777777" w:rsidR="001A7121" w:rsidRPr="001A7121" w:rsidRDefault="001A7121" w:rsidP="00FD7794">
            <w:pPr>
              <w:ind w:firstLine="720"/>
            </w:pPr>
            <w:r w:rsidRPr="001A7121">
              <w:t>CA-524</w:t>
            </w:r>
          </w:p>
        </w:tc>
        <w:tc>
          <w:tcPr>
            <w:tcW w:w="7455" w:type="dxa"/>
            <w:hideMark/>
          </w:tcPr>
          <w:p w14:paraId="3A96997A" w14:textId="647A2B48" w:rsidR="001A7121" w:rsidRPr="001A7121" w:rsidRDefault="001A7121" w:rsidP="00FD7794">
            <w:pPr>
              <w:ind w:firstLine="720"/>
            </w:pPr>
            <w:r w:rsidRPr="001A7121">
              <w:t xml:space="preserve">Yuba City &amp; County/Sutter County </w:t>
            </w:r>
          </w:p>
        </w:tc>
      </w:tr>
      <w:tr w:rsidR="001A7121" w:rsidRPr="001A7121" w14:paraId="73016951" w14:textId="77777777" w:rsidTr="001A7121">
        <w:trPr>
          <w:trHeight w:val="580"/>
        </w:trPr>
        <w:tc>
          <w:tcPr>
            <w:tcW w:w="1720" w:type="dxa"/>
            <w:hideMark/>
          </w:tcPr>
          <w:p w14:paraId="6B9E662F" w14:textId="77777777" w:rsidR="001A7121" w:rsidRPr="001A7121" w:rsidRDefault="001A7121" w:rsidP="00FD7794">
            <w:pPr>
              <w:ind w:firstLine="720"/>
            </w:pPr>
            <w:r w:rsidRPr="001A7121">
              <w:lastRenderedPageBreak/>
              <w:t>CA-525</w:t>
            </w:r>
          </w:p>
        </w:tc>
        <w:tc>
          <w:tcPr>
            <w:tcW w:w="7455" w:type="dxa"/>
            <w:hideMark/>
          </w:tcPr>
          <w:p w14:paraId="36C30772" w14:textId="5F46C963" w:rsidR="001A7121" w:rsidRPr="001A7121" w:rsidRDefault="001A7121" w:rsidP="00FD7794">
            <w:pPr>
              <w:ind w:firstLine="720"/>
            </w:pPr>
            <w:r w:rsidRPr="001A7121">
              <w:t xml:space="preserve">El Dorado County </w:t>
            </w:r>
          </w:p>
        </w:tc>
      </w:tr>
      <w:tr w:rsidR="001A7121" w:rsidRPr="001A7121" w14:paraId="22EB990C" w14:textId="77777777" w:rsidTr="001A7121">
        <w:trPr>
          <w:trHeight w:val="580"/>
        </w:trPr>
        <w:tc>
          <w:tcPr>
            <w:tcW w:w="1720" w:type="dxa"/>
            <w:hideMark/>
          </w:tcPr>
          <w:p w14:paraId="18323E84" w14:textId="77777777" w:rsidR="001A7121" w:rsidRPr="001A7121" w:rsidRDefault="001A7121" w:rsidP="00FD7794">
            <w:pPr>
              <w:ind w:firstLine="720"/>
            </w:pPr>
            <w:r w:rsidRPr="001A7121">
              <w:t>CA-526</w:t>
            </w:r>
          </w:p>
        </w:tc>
        <w:tc>
          <w:tcPr>
            <w:tcW w:w="7455" w:type="dxa"/>
            <w:hideMark/>
          </w:tcPr>
          <w:p w14:paraId="5A950B9E" w14:textId="3F6837FC" w:rsidR="001A7121" w:rsidRPr="001A7121" w:rsidRDefault="001A7121" w:rsidP="00FD7794">
            <w:pPr>
              <w:ind w:firstLine="720"/>
            </w:pPr>
            <w:r w:rsidRPr="001A7121">
              <w:t xml:space="preserve">Amador, Calaveras, Mariposa, Tuolumne Counties </w:t>
            </w:r>
          </w:p>
        </w:tc>
      </w:tr>
      <w:tr w:rsidR="001A7121" w:rsidRPr="001A7121" w14:paraId="41C025B0" w14:textId="77777777" w:rsidTr="001A7121">
        <w:trPr>
          <w:trHeight w:val="580"/>
        </w:trPr>
        <w:tc>
          <w:tcPr>
            <w:tcW w:w="1720" w:type="dxa"/>
            <w:hideMark/>
          </w:tcPr>
          <w:p w14:paraId="435B235F" w14:textId="77777777" w:rsidR="001A7121" w:rsidRPr="001A7121" w:rsidRDefault="001A7121" w:rsidP="00FD7794">
            <w:pPr>
              <w:ind w:firstLine="720"/>
            </w:pPr>
            <w:r w:rsidRPr="001A7121">
              <w:t>CA-527</w:t>
            </w:r>
          </w:p>
        </w:tc>
        <w:tc>
          <w:tcPr>
            <w:tcW w:w="7455" w:type="dxa"/>
            <w:hideMark/>
          </w:tcPr>
          <w:p w14:paraId="1A68CE54" w14:textId="6006B959" w:rsidR="001A7121" w:rsidRPr="001A7121" w:rsidRDefault="001A7121" w:rsidP="00FD7794">
            <w:pPr>
              <w:ind w:firstLine="720"/>
            </w:pPr>
            <w:r w:rsidRPr="001A7121">
              <w:t xml:space="preserve">Tehama County </w:t>
            </w:r>
          </w:p>
        </w:tc>
      </w:tr>
      <w:tr w:rsidR="001A7121" w:rsidRPr="001A7121" w14:paraId="78EE1AF8" w14:textId="77777777" w:rsidTr="001A7121">
        <w:trPr>
          <w:trHeight w:val="580"/>
        </w:trPr>
        <w:tc>
          <w:tcPr>
            <w:tcW w:w="1720" w:type="dxa"/>
            <w:hideMark/>
          </w:tcPr>
          <w:p w14:paraId="03729B1F" w14:textId="77777777" w:rsidR="001A7121" w:rsidRPr="001A7121" w:rsidRDefault="001A7121" w:rsidP="00FD7794">
            <w:pPr>
              <w:ind w:firstLine="720"/>
            </w:pPr>
            <w:r w:rsidRPr="001A7121">
              <w:t>CA-529</w:t>
            </w:r>
          </w:p>
        </w:tc>
        <w:tc>
          <w:tcPr>
            <w:tcW w:w="7455" w:type="dxa"/>
            <w:hideMark/>
          </w:tcPr>
          <w:p w14:paraId="5EB5A0FE" w14:textId="0A6E1A35" w:rsidR="001A7121" w:rsidRPr="001A7121" w:rsidRDefault="001A7121" w:rsidP="00FD7794">
            <w:pPr>
              <w:ind w:firstLine="720"/>
            </w:pPr>
            <w:r w:rsidRPr="001A7121">
              <w:t xml:space="preserve">Lake County </w:t>
            </w:r>
          </w:p>
        </w:tc>
      </w:tr>
      <w:tr w:rsidR="001A7121" w:rsidRPr="001A7121" w14:paraId="42B673A9" w14:textId="77777777" w:rsidTr="001A7121">
        <w:trPr>
          <w:trHeight w:val="580"/>
        </w:trPr>
        <w:tc>
          <w:tcPr>
            <w:tcW w:w="1720" w:type="dxa"/>
            <w:hideMark/>
          </w:tcPr>
          <w:p w14:paraId="618D8F1B" w14:textId="77777777" w:rsidR="001A7121" w:rsidRPr="001A7121" w:rsidRDefault="001A7121" w:rsidP="00FD7794">
            <w:pPr>
              <w:ind w:firstLine="720"/>
            </w:pPr>
            <w:r w:rsidRPr="001A7121">
              <w:t>CA-530</w:t>
            </w:r>
          </w:p>
        </w:tc>
        <w:tc>
          <w:tcPr>
            <w:tcW w:w="7455" w:type="dxa"/>
            <w:hideMark/>
          </w:tcPr>
          <w:p w14:paraId="0EB7F81F" w14:textId="34AC3001" w:rsidR="001A7121" w:rsidRPr="001A7121" w:rsidRDefault="001A7121" w:rsidP="00FD7794">
            <w:pPr>
              <w:ind w:firstLine="720"/>
            </w:pPr>
            <w:r w:rsidRPr="001A7121">
              <w:t xml:space="preserve">Alpine, Inyo, Mono Counties </w:t>
            </w:r>
          </w:p>
        </w:tc>
      </w:tr>
      <w:tr w:rsidR="001A7121" w:rsidRPr="001A7121" w14:paraId="74384F32" w14:textId="77777777" w:rsidTr="001A7121">
        <w:trPr>
          <w:trHeight w:val="580"/>
        </w:trPr>
        <w:tc>
          <w:tcPr>
            <w:tcW w:w="1720" w:type="dxa"/>
            <w:hideMark/>
          </w:tcPr>
          <w:p w14:paraId="6C7FEF49" w14:textId="77777777" w:rsidR="001A7121" w:rsidRPr="001A7121" w:rsidRDefault="001A7121" w:rsidP="00FD7794">
            <w:pPr>
              <w:ind w:firstLine="720"/>
            </w:pPr>
            <w:r w:rsidRPr="001A7121">
              <w:t>CA-531</w:t>
            </w:r>
          </w:p>
        </w:tc>
        <w:tc>
          <w:tcPr>
            <w:tcW w:w="7455" w:type="dxa"/>
            <w:hideMark/>
          </w:tcPr>
          <w:p w14:paraId="030BBC02" w14:textId="62BB0520" w:rsidR="001A7121" w:rsidRPr="001A7121" w:rsidRDefault="001A7121" w:rsidP="00FD7794">
            <w:pPr>
              <w:ind w:firstLine="720"/>
            </w:pPr>
            <w:r w:rsidRPr="001A7121">
              <w:t xml:space="preserve">Nevada County </w:t>
            </w:r>
          </w:p>
        </w:tc>
      </w:tr>
      <w:tr w:rsidR="001A7121" w:rsidRPr="001A7121" w14:paraId="5D077927" w14:textId="77777777" w:rsidTr="001A7121">
        <w:trPr>
          <w:trHeight w:val="580"/>
        </w:trPr>
        <w:tc>
          <w:tcPr>
            <w:tcW w:w="1720" w:type="dxa"/>
            <w:hideMark/>
          </w:tcPr>
          <w:p w14:paraId="2F433365" w14:textId="77777777" w:rsidR="001A7121" w:rsidRPr="001A7121" w:rsidRDefault="001A7121" w:rsidP="00FD7794">
            <w:pPr>
              <w:ind w:firstLine="720"/>
            </w:pPr>
            <w:r w:rsidRPr="001A7121">
              <w:t>CA-600</w:t>
            </w:r>
          </w:p>
        </w:tc>
        <w:tc>
          <w:tcPr>
            <w:tcW w:w="7455" w:type="dxa"/>
            <w:hideMark/>
          </w:tcPr>
          <w:p w14:paraId="40176842" w14:textId="26475776" w:rsidR="001A7121" w:rsidRPr="001A7121" w:rsidRDefault="001A7121" w:rsidP="00FD7794">
            <w:pPr>
              <w:ind w:firstLine="720"/>
            </w:pPr>
            <w:r w:rsidRPr="001A7121">
              <w:t xml:space="preserve">Los Angeles City &amp; County </w:t>
            </w:r>
          </w:p>
        </w:tc>
      </w:tr>
      <w:tr w:rsidR="001A7121" w:rsidRPr="001A7121" w14:paraId="71C02E6A" w14:textId="77777777" w:rsidTr="001A7121">
        <w:trPr>
          <w:trHeight w:val="580"/>
        </w:trPr>
        <w:tc>
          <w:tcPr>
            <w:tcW w:w="1720" w:type="dxa"/>
            <w:hideMark/>
          </w:tcPr>
          <w:p w14:paraId="02BFAA75" w14:textId="77777777" w:rsidR="001A7121" w:rsidRPr="001A7121" w:rsidRDefault="001A7121" w:rsidP="00FD7794">
            <w:pPr>
              <w:ind w:firstLine="720"/>
            </w:pPr>
            <w:r w:rsidRPr="001A7121">
              <w:t>CA-601</w:t>
            </w:r>
          </w:p>
        </w:tc>
        <w:tc>
          <w:tcPr>
            <w:tcW w:w="7455" w:type="dxa"/>
            <w:hideMark/>
          </w:tcPr>
          <w:p w14:paraId="0DFB0374" w14:textId="76785EA1" w:rsidR="001A7121" w:rsidRPr="001A7121" w:rsidRDefault="001A7121" w:rsidP="00FD7794">
            <w:pPr>
              <w:ind w:firstLine="720"/>
            </w:pPr>
            <w:r w:rsidRPr="001A7121">
              <w:t xml:space="preserve">San Diego City and County </w:t>
            </w:r>
          </w:p>
        </w:tc>
      </w:tr>
      <w:tr w:rsidR="001A7121" w:rsidRPr="001A7121" w14:paraId="6D9EEBEE" w14:textId="77777777" w:rsidTr="001A7121">
        <w:trPr>
          <w:trHeight w:val="580"/>
        </w:trPr>
        <w:tc>
          <w:tcPr>
            <w:tcW w:w="1720" w:type="dxa"/>
            <w:hideMark/>
          </w:tcPr>
          <w:p w14:paraId="74C18EF7" w14:textId="77777777" w:rsidR="001A7121" w:rsidRPr="001A7121" w:rsidRDefault="001A7121" w:rsidP="00FD7794">
            <w:pPr>
              <w:ind w:firstLine="720"/>
            </w:pPr>
            <w:r w:rsidRPr="001A7121">
              <w:t>CA-602</w:t>
            </w:r>
          </w:p>
        </w:tc>
        <w:tc>
          <w:tcPr>
            <w:tcW w:w="7455" w:type="dxa"/>
            <w:hideMark/>
          </w:tcPr>
          <w:p w14:paraId="4096A0AD" w14:textId="7979BC12" w:rsidR="001A7121" w:rsidRPr="001A7121" w:rsidRDefault="001A7121" w:rsidP="00FD7794">
            <w:pPr>
              <w:ind w:firstLine="720"/>
            </w:pPr>
            <w:r w:rsidRPr="001A7121">
              <w:t xml:space="preserve">Santa Ana, Anaheim/Orange County </w:t>
            </w:r>
          </w:p>
        </w:tc>
      </w:tr>
      <w:tr w:rsidR="001A7121" w:rsidRPr="001A7121" w14:paraId="686F2B3B" w14:textId="77777777" w:rsidTr="001A7121">
        <w:trPr>
          <w:trHeight w:val="580"/>
        </w:trPr>
        <w:tc>
          <w:tcPr>
            <w:tcW w:w="1720" w:type="dxa"/>
            <w:hideMark/>
          </w:tcPr>
          <w:p w14:paraId="04CDF68F" w14:textId="77777777" w:rsidR="001A7121" w:rsidRPr="001A7121" w:rsidRDefault="001A7121" w:rsidP="00FD7794">
            <w:pPr>
              <w:ind w:firstLine="720"/>
            </w:pPr>
            <w:r w:rsidRPr="001A7121">
              <w:t>CA-603</w:t>
            </w:r>
          </w:p>
        </w:tc>
        <w:tc>
          <w:tcPr>
            <w:tcW w:w="7455" w:type="dxa"/>
            <w:hideMark/>
          </w:tcPr>
          <w:p w14:paraId="6C789168" w14:textId="04E2C195" w:rsidR="001A7121" w:rsidRPr="001A7121" w:rsidRDefault="001A7121" w:rsidP="00FD7794">
            <w:pPr>
              <w:ind w:firstLine="720"/>
            </w:pPr>
            <w:r w:rsidRPr="001A7121">
              <w:t xml:space="preserve">Santa Maria/Santa Barbara County </w:t>
            </w:r>
          </w:p>
        </w:tc>
      </w:tr>
      <w:tr w:rsidR="001A7121" w:rsidRPr="001A7121" w14:paraId="3CE31A3F" w14:textId="77777777" w:rsidTr="001A7121">
        <w:trPr>
          <w:trHeight w:val="580"/>
        </w:trPr>
        <w:tc>
          <w:tcPr>
            <w:tcW w:w="1720" w:type="dxa"/>
            <w:hideMark/>
          </w:tcPr>
          <w:p w14:paraId="0BDA5838" w14:textId="77777777" w:rsidR="001A7121" w:rsidRPr="001A7121" w:rsidRDefault="001A7121" w:rsidP="00FD7794">
            <w:pPr>
              <w:ind w:firstLine="720"/>
            </w:pPr>
            <w:r w:rsidRPr="001A7121">
              <w:t>CA-604</w:t>
            </w:r>
          </w:p>
        </w:tc>
        <w:tc>
          <w:tcPr>
            <w:tcW w:w="7455" w:type="dxa"/>
            <w:hideMark/>
          </w:tcPr>
          <w:p w14:paraId="52771164" w14:textId="5999DED2" w:rsidR="001A7121" w:rsidRPr="001A7121" w:rsidRDefault="001A7121" w:rsidP="00FD7794">
            <w:pPr>
              <w:ind w:firstLine="720"/>
            </w:pPr>
            <w:r w:rsidRPr="001A7121">
              <w:t xml:space="preserve">Bakersfield/Kern County </w:t>
            </w:r>
          </w:p>
        </w:tc>
      </w:tr>
      <w:tr w:rsidR="001A7121" w:rsidRPr="001A7121" w14:paraId="795761F7" w14:textId="77777777" w:rsidTr="001A7121">
        <w:trPr>
          <w:trHeight w:val="580"/>
        </w:trPr>
        <w:tc>
          <w:tcPr>
            <w:tcW w:w="1720" w:type="dxa"/>
            <w:hideMark/>
          </w:tcPr>
          <w:p w14:paraId="6F72B275" w14:textId="77777777" w:rsidR="001A7121" w:rsidRPr="001A7121" w:rsidRDefault="001A7121" w:rsidP="00FD7794">
            <w:pPr>
              <w:ind w:firstLine="720"/>
            </w:pPr>
            <w:r w:rsidRPr="001A7121">
              <w:t>CA-606</w:t>
            </w:r>
          </w:p>
        </w:tc>
        <w:tc>
          <w:tcPr>
            <w:tcW w:w="7455" w:type="dxa"/>
            <w:hideMark/>
          </w:tcPr>
          <w:p w14:paraId="1E352EF6" w14:textId="25822112" w:rsidR="001A7121" w:rsidRPr="001A7121" w:rsidRDefault="001A7121" w:rsidP="00FD7794">
            <w:pPr>
              <w:ind w:firstLine="720"/>
            </w:pPr>
            <w:r w:rsidRPr="001A7121">
              <w:t xml:space="preserve">Long Beach </w:t>
            </w:r>
          </w:p>
        </w:tc>
      </w:tr>
      <w:tr w:rsidR="001A7121" w:rsidRPr="001A7121" w14:paraId="122BC739" w14:textId="77777777" w:rsidTr="001A7121">
        <w:trPr>
          <w:trHeight w:val="580"/>
        </w:trPr>
        <w:tc>
          <w:tcPr>
            <w:tcW w:w="1720" w:type="dxa"/>
            <w:hideMark/>
          </w:tcPr>
          <w:p w14:paraId="28562F54" w14:textId="77777777" w:rsidR="001A7121" w:rsidRPr="001A7121" w:rsidRDefault="001A7121" w:rsidP="00FD7794">
            <w:pPr>
              <w:ind w:firstLine="720"/>
            </w:pPr>
            <w:r w:rsidRPr="001A7121">
              <w:t>CA-607</w:t>
            </w:r>
          </w:p>
        </w:tc>
        <w:tc>
          <w:tcPr>
            <w:tcW w:w="7455" w:type="dxa"/>
            <w:hideMark/>
          </w:tcPr>
          <w:p w14:paraId="0D6260E4" w14:textId="7991CBCF" w:rsidR="001A7121" w:rsidRPr="001A7121" w:rsidRDefault="001A7121" w:rsidP="00FD7794">
            <w:pPr>
              <w:ind w:firstLine="720"/>
            </w:pPr>
            <w:r w:rsidRPr="001A7121">
              <w:t xml:space="preserve">Pasadena </w:t>
            </w:r>
          </w:p>
        </w:tc>
      </w:tr>
      <w:tr w:rsidR="001A7121" w:rsidRPr="001A7121" w14:paraId="68782B40" w14:textId="77777777" w:rsidTr="001A7121">
        <w:trPr>
          <w:trHeight w:val="580"/>
        </w:trPr>
        <w:tc>
          <w:tcPr>
            <w:tcW w:w="1720" w:type="dxa"/>
            <w:hideMark/>
          </w:tcPr>
          <w:p w14:paraId="3486989E" w14:textId="77777777" w:rsidR="001A7121" w:rsidRPr="001A7121" w:rsidRDefault="001A7121" w:rsidP="00FD7794">
            <w:pPr>
              <w:ind w:firstLine="720"/>
            </w:pPr>
            <w:r w:rsidRPr="001A7121">
              <w:t>CA-608</w:t>
            </w:r>
          </w:p>
        </w:tc>
        <w:tc>
          <w:tcPr>
            <w:tcW w:w="7455" w:type="dxa"/>
            <w:hideMark/>
          </w:tcPr>
          <w:p w14:paraId="2A99C71B" w14:textId="3A2D4F8D" w:rsidR="001A7121" w:rsidRPr="001A7121" w:rsidRDefault="001A7121" w:rsidP="00FD7794">
            <w:pPr>
              <w:ind w:firstLine="720"/>
            </w:pPr>
            <w:r w:rsidRPr="001A7121">
              <w:t xml:space="preserve">Riverside City &amp; County </w:t>
            </w:r>
          </w:p>
        </w:tc>
      </w:tr>
      <w:tr w:rsidR="001A7121" w:rsidRPr="001A7121" w14:paraId="39E3503E" w14:textId="77777777" w:rsidTr="001A7121">
        <w:trPr>
          <w:trHeight w:val="580"/>
        </w:trPr>
        <w:tc>
          <w:tcPr>
            <w:tcW w:w="1720" w:type="dxa"/>
            <w:hideMark/>
          </w:tcPr>
          <w:p w14:paraId="65202B49" w14:textId="77777777" w:rsidR="001A7121" w:rsidRPr="001A7121" w:rsidRDefault="001A7121" w:rsidP="00FD7794">
            <w:pPr>
              <w:ind w:firstLine="720"/>
            </w:pPr>
            <w:r w:rsidRPr="001A7121">
              <w:t>CA-609</w:t>
            </w:r>
          </w:p>
        </w:tc>
        <w:tc>
          <w:tcPr>
            <w:tcW w:w="7455" w:type="dxa"/>
            <w:hideMark/>
          </w:tcPr>
          <w:p w14:paraId="1E298516" w14:textId="35F22116" w:rsidR="001A7121" w:rsidRPr="001A7121" w:rsidRDefault="001A7121" w:rsidP="00FD7794">
            <w:pPr>
              <w:ind w:firstLine="720"/>
            </w:pPr>
            <w:r w:rsidRPr="001A7121">
              <w:t xml:space="preserve">San Bernardino City &amp; County </w:t>
            </w:r>
          </w:p>
        </w:tc>
      </w:tr>
      <w:tr w:rsidR="001A7121" w:rsidRPr="001A7121" w14:paraId="777E9D55" w14:textId="77777777" w:rsidTr="001A7121">
        <w:trPr>
          <w:trHeight w:val="467"/>
        </w:trPr>
        <w:tc>
          <w:tcPr>
            <w:tcW w:w="1720" w:type="dxa"/>
            <w:hideMark/>
          </w:tcPr>
          <w:p w14:paraId="608A3DA7" w14:textId="77777777" w:rsidR="001A7121" w:rsidRPr="001A7121" w:rsidRDefault="001A7121" w:rsidP="00FD7794">
            <w:pPr>
              <w:ind w:firstLine="720"/>
            </w:pPr>
            <w:r w:rsidRPr="001A7121">
              <w:t>CA-611</w:t>
            </w:r>
          </w:p>
        </w:tc>
        <w:tc>
          <w:tcPr>
            <w:tcW w:w="7455" w:type="dxa"/>
            <w:hideMark/>
          </w:tcPr>
          <w:p w14:paraId="326C156C" w14:textId="2F961A58" w:rsidR="001A7121" w:rsidRPr="001A7121" w:rsidRDefault="001A7121" w:rsidP="00FD7794">
            <w:pPr>
              <w:ind w:firstLine="720"/>
            </w:pPr>
            <w:r w:rsidRPr="001A7121">
              <w:t xml:space="preserve">Oxnard, San Buenaventura/Ventura County </w:t>
            </w:r>
          </w:p>
        </w:tc>
      </w:tr>
      <w:tr w:rsidR="001A7121" w:rsidRPr="001A7121" w14:paraId="01812381" w14:textId="77777777" w:rsidTr="001A7121">
        <w:trPr>
          <w:trHeight w:val="580"/>
        </w:trPr>
        <w:tc>
          <w:tcPr>
            <w:tcW w:w="1720" w:type="dxa"/>
            <w:hideMark/>
          </w:tcPr>
          <w:p w14:paraId="4F66C28F" w14:textId="77777777" w:rsidR="001A7121" w:rsidRPr="001A7121" w:rsidRDefault="001A7121" w:rsidP="00FD7794">
            <w:pPr>
              <w:ind w:firstLine="720"/>
            </w:pPr>
            <w:r w:rsidRPr="001A7121">
              <w:t>CA-612</w:t>
            </w:r>
          </w:p>
        </w:tc>
        <w:tc>
          <w:tcPr>
            <w:tcW w:w="7455" w:type="dxa"/>
            <w:hideMark/>
          </w:tcPr>
          <w:p w14:paraId="3442CB61" w14:textId="7EFD0083" w:rsidR="001A7121" w:rsidRPr="001A7121" w:rsidRDefault="001A7121" w:rsidP="00FD7794">
            <w:pPr>
              <w:ind w:firstLine="720"/>
            </w:pPr>
            <w:r w:rsidRPr="001A7121">
              <w:t xml:space="preserve">Glendale </w:t>
            </w:r>
          </w:p>
        </w:tc>
      </w:tr>
      <w:tr w:rsidR="001A7121" w:rsidRPr="001A7121" w14:paraId="05788550" w14:textId="77777777" w:rsidTr="001A7121">
        <w:trPr>
          <w:trHeight w:val="580"/>
        </w:trPr>
        <w:tc>
          <w:tcPr>
            <w:tcW w:w="1720" w:type="dxa"/>
            <w:hideMark/>
          </w:tcPr>
          <w:p w14:paraId="523BC87B" w14:textId="77777777" w:rsidR="001A7121" w:rsidRPr="001A7121" w:rsidRDefault="001A7121" w:rsidP="00FD7794">
            <w:pPr>
              <w:ind w:firstLine="720"/>
            </w:pPr>
            <w:r w:rsidRPr="001A7121">
              <w:t>CA-613</w:t>
            </w:r>
          </w:p>
        </w:tc>
        <w:tc>
          <w:tcPr>
            <w:tcW w:w="7455" w:type="dxa"/>
            <w:hideMark/>
          </w:tcPr>
          <w:p w14:paraId="5A86EE80" w14:textId="4714C6D8" w:rsidR="001A7121" w:rsidRPr="001A7121" w:rsidRDefault="001A7121" w:rsidP="00FD7794">
            <w:pPr>
              <w:ind w:firstLine="720"/>
            </w:pPr>
            <w:r w:rsidRPr="001A7121">
              <w:t xml:space="preserve">Imperial County </w:t>
            </w:r>
          </w:p>
        </w:tc>
      </w:tr>
      <w:tr w:rsidR="001A7121" w:rsidRPr="001A7121" w14:paraId="7CA9CE27" w14:textId="77777777" w:rsidTr="001A7121">
        <w:trPr>
          <w:trHeight w:val="580"/>
        </w:trPr>
        <w:tc>
          <w:tcPr>
            <w:tcW w:w="1720" w:type="dxa"/>
            <w:hideMark/>
          </w:tcPr>
          <w:p w14:paraId="7B9EF53F" w14:textId="77777777" w:rsidR="001A7121" w:rsidRPr="001A7121" w:rsidRDefault="001A7121" w:rsidP="00FD7794">
            <w:pPr>
              <w:ind w:firstLine="720"/>
            </w:pPr>
            <w:r w:rsidRPr="001A7121">
              <w:t>CA-614</w:t>
            </w:r>
          </w:p>
        </w:tc>
        <w:tc>
          <w:tcPr>
            <w:tcW w:w="7455" w:type="dxa"/>
            <w:hideMark/>
          </w:tcPr>
          <w:p w14:paraId="1C337204" w14:textId="4B64ABC0" w:rsidR="001A7121" w:rsidRPr="001A7121" w:rsidRDefault="001A7121" w:rsidP="00FD7794">
            <w:pPr>
              <w:ind w:firstLine="720"/>
            </w:pPr>
            <w:r w:rsidRPr="001A7121">
              <w:t xml:space="preserve">San Luis Obispo County </w:t>
            </w:r>
          </w:p>
        </w:tc>
      </w:tr>
    </w:tbl>
    <w:p w14:paraId="2E0BED18" w14:textId="77777777" w:rsidR="00D92799" w:rsidRDefault="00D92799" w:rsidP="00454092">
      <w:pPr>
        <w:spacing w:line="480" w:lineRule="auto"/>
      </w:pPr>
    </w:p>
    <w:p w14:paraId="30269F99" w14:textId="77777777" w:rsidR="00FD7794" w:rsidRDefault="00FD7794">
      <w:pPr>
        <w:rPr>
          <w:i/>
          <w:iCs/>
        </w:rPr>
      </w:pPr>
      <w:r>
        <w:rPr>
          <w:i/>
          <w:iCs/>
        </w:rPr>
        <w:br w:type="page"/>
      </w:r>
    </w:p>
    <w:p w14:paraId="29E7FFB9" w14:textId="2B0D168B" w:rsidR="00D92799" w:rsidRPr="00D92799" w:rsidRDefault="007B0E4F" w:rsidP="00454092">
      <w:pPr>
        <w:spacing w:line="480" w:lineRule="auto"/>
        <w:rPr>
          <w:i/>
          <w:iCs/>
        </w:rPr>
      </w:pPr>
      <w:r w:rsidRPr="00D92799">
        <w:rPr>
          <w:i/>
          <w:iCs/>
        </w:rPr>
        <w:lastRenderedPageBreak/>
        <w:t>Data wrangling and cleaning</w:t>
      </w:r>
    </w:p>
    <w:p w14:paraId="2DA212BA" w14:textId="3258C5F9" w:rsidR="00D92799" w:rsidRDefault="00486746" w:rsidP="00FD7794">
      <w:pPr>
        <w:spacing w:line="480" w:lineRule="auto"/>
      </w:pPr>
      <w:r>
        <w:tab/>
        <w:t xml:space="preserve">I initially focused just on California and wrangled data by combining multiple datasets into one data frame. I found information for the years 2007 – 2023 for </w:t>
      </w:r>
      <w:r w:rsidR="00FD7794">
        <w:t>all</w:t>
      </w:r>
      <w:r>
        <w:t xml:space="preserve"> </w:t>
      </w:r>
      <w:r w:rsidR="00FD7794">
        <w:t>the</w:t>
      </w:r>
      <w:r>
        <w:t xml:space="preserve"> variables except healthcare costs in California. I found the yearly rate of change from year to year and noticed that the percent change was dynamic, so I took the average of the years present and predicted it would increase by the mean rate of increase for the missing year, 2023. I later added in homeless data from counties across California instead of just Los Angeles and had missing values for some of the counties. I averaged the amount of homelessness </w:t>
      </w:r>
      <w:r>
        <w:rPr>
          <w:i/>
          <w:iCs/>
        </w:rPr>
        <w:t>per county</w:t>
      </w:r>
      <w:r>
        <w:t xml:space="preserve"> and used those values to fill in my missing data for that dataset. </w:t>
      </w:r>
      <w:r w:rsidR="00FD7794">
        <w:t xml:space="preserve">Instead of joining data, I often just concatenated the columns or rows required for my inquiry. I created the categorical variable for the Affordable Care Act and only had numerical data apart from this, so I did not need to create dummy variables. </w:t>
      </w:r>
    </w:p>
    <w:p w14:paraId="78444036" w14:textId="77777777" w:rsidR="00FD7794" w:rsidRDefault="00FD7794"/>
    <w:p w14:paraId="6CA08418" w14:textId="538F82E8" w:rsidR="007B0E4F" w:rsidRDefault="00D92799" w:rsidP="00D92799">
      <w:pPr>
        <w:rPr>
          <w:i/>
          <w:iCs/>
        </w:rPr>
      </w:pPr>
      <w:r w:rsidRPr="003915AB">
        <w:rPr>
          <w:i/>
          <w:iCs/>
        </w:rPr>
        <w:t>Exploratory Data Analysis</w:t>
      </w:r>
    </w:p>
    <w:p w14:paraId="1D10C58D" w14:textId="77777777" w:rsidR="00D92799" w:rsidRPr="00D92799" w:rsidRDefault="00D92799" w:rsidP="00D92799">
      <w:pPr>
        <w:rPr>
          <w:i/>
          <w:iCs/>
        </w:rPr>
      </w:pPr>
    </w:p>
    <w:p w14:paraId="1C05A66A" w14:textId="5603FDA3" w:rsidR="0076527D" w:rsidRDefault="008079C2" w:rsidP="00454092">
      <w:pPr>
        <w:spacing w:line="480" w:lineRule="auto"/>
      </w:pPr>
      <w:r>
        <w:tab/>
      </w:r>
      <w:r w:rsidR="0076527D">
        <w:t>I began with the following dataset looking at Los Angeles specifically and the effect of healthcare costs on homelessness.</w:t>
      </w:r>
      <w:r w:rsidR="005D0960">
        <w:t xml:space="preserve"> I first did a pair plot to look for correlation between variables, normality in distribution, and general trends in the data. Much of the data shows a strong linear correlation, however some of it is positive and some of it is negative, so it is not immediately clear what the general trend for homelessness in California would be. Initially, I just looked at the indicator variables without the per-county data.</w:t>
      </w:r>
    </w:p>
    <w:p w14:paraId="1A8A233F" w14:textId="05175F46" w:rsidR="005D0960" w:rsidRDefault="005D0960">
      <w:r>
        <w:br w:type="page"/>
      </w:r>
    </w:p>
    <w:p w14:paraId="54499BEE" w14:textId="32B40DFA" w:rsidR="005D0960" w:rsidRDefault="005D0960" w:rsidP="005D0960">
      <w:pPr>
        <w:spacing w:line="480" w:lineRule="auto"/>
        <w:jc w:val="center"/>
      </w:pPr>
      <w:r>
        <w:lastRenderedPageBreak/>
        <w:t>Pair-plot of Indicator Variables</w:t>
      </w:r>
    </w:p>
    <w:p w14:paraId="41B242EB" w14:textId="04D4017C" w:rsidR="0076527D" w:rsidRDefault="00717868" w:rsidP="00454092">
      <w:pPr>
        <w:spacing w:line="480" w:lineRule="auto"/>
      </w:pPr>
      <w:r>
        <w:rPr>
          <w:noProof/>
        </w:rPr>
        <w:drawing>
          <wp:inline distT="0" distB="0" distL="0" distR="0" wp14:anchorId="357B9191" wp14:editId="6CF08953">
            <wp:extent cx="5943600" cy="5943600"/>
            <wp:effectExtent l="0" t="0" r="0" b="0"/>
            <wp:docPr id="2069827819" name="Picture 9" descr="A pair plot for the variables included i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827819" name="Picture 9" descr="A pair plot for the variables included in model."/>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103053F" w14:textId="21E7F587" w:rsidR="00717868" w:rsidRDefault="006E064A" w:rsidP="00454092">
      <w:pPr>
        <w:spacing w:line="480" w:lineRule="auto"/>
      </w:pPr>
      <w:r>
        <w:t>Next,</w:t>
      </w:r>
      <w:r w:rsidR="005D0960">
        <w:t xml:space="preserve"> I made a heatmap of the correlation between the variables to do a quick assessment of positive or negative correlation and the strength of the correlation. In the first heatmap, there is only the indicator variables apart from the per county data.</w:t>
      </w:r>
    </w:p>
    <w:p w14:paraId="78D6BDC1" w14:textId="77777777" w:rsidR="005D0960" w:rsidRDefault="005D0960" w:rsidP="00454092">
      <w:pPr>
        <w:spacing w:line="480" w:lineRule="auto"/>
      </w:pPr>
    </w:p>
    <w:p w14:paraId="1C65B9DE" w14:textId="7C86C733" w:rsidR="005D0960" w:rsidRDefault="005D0960" w:rsidP="005D0960">
      <w:pPr>
        <w:spacing w:line="480" w:lineRule="auto"/>
        <w:jc w:val="center"/>
      </w:pPr>
      <w:r>
        <w:lastRenderedPageBreak/>
        <w:t>Heatmap of Correlation Between Variables</w:t>
      </w:r>
    </w:p>
    <w:p w14:paraId="40F18E39" w14:textId="613A80A2" w:rsidR="00717868" w:rsidRDefault="003E1306" w:rsidP="00454092">
      <w:pPr>
        <w:spacing w:line="480" w:lineRule="auto"/>
      </w:pPr>
      <w:r>
        <w:rPr>
          <w:noProof/>
        </w:rPr>
        <w:drawing>
          <wp:inline distT="0" distB="0" distL="0" distR="0" wp14:anchorId="51C8FE1C" wp14:editId="5123AC40">
            <wp:extent cx="5943600" cy="5060950"/>
            <wp:effectExtent l="0" t="0" r="0" b="6350"/>
            <wp:docPr id="580553545" name="Picture 1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53545" name="Picture 11" descr="A graph of different colored squar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060950"/>
                    </a:xfrm>
                    <a:prstGeom prst="rect">
                      <a:avLst/>
                    </a:prstGeom>
                  </pic:spPr>
                </pic:pic>
              </a:graphicData>
            </a:graphic>
          </wp:inline>
        </w:drawing>
      </w:r>
    </w:p>
    <w:p w14:paraId="4FDDEEE2" w14:textId="415C223D" w:rsidR="00370CA8" w:rsidRDefault="00370CA8" w:rsidP="0076527D">
      <w:pPr>
        <w:spacing w:line="480" w:lineRule="auto"/>
        <w:ind w:firstLine="720"/>
      </w:pPr>
      <w:r>
        <w:t xml:space="preserve">Initially, I also gathered data from the World Bank datasets on percentage of population spending more than 25% of income on out-of-pocket healthcare costs, risks of impoverishing surgical or other health expenditures and so on. However, the data from these datasets is aggregated from the US as a whole and might not reflect changes in Los Angeles specifically. I decided to omit it and did not reintroduce it for the California-wide county evaluations as a predictor. </w:t>
      </w:r>
      <w:r w:rsidR="00F35E09">
        <w:t xml:space="preserve">The distances and variety between states made it seem to have lower predictive power </w:t>
      </w:r>
      <w:r w:rsidR="00F35E09">
        <w:lastRenderedPageBreak/>
        <w:t>to include country-wide data for predictions in California rather than state-wide data for Los Angeles or California as a whole.</w:t>
      </w:r>
      <w:r w:rsidR="00120665">
        <w:rPr>
          <w:rStyle w:val="FootnoteReference"/>
        </w:rPr>
        <w:footnoteReference w:id="9"/>
      </w:r>
      <w:r w:rsidR="00F35E09">
        <w:t xml:space="preserve"> </w:t>
      </w:r>
      <w:r w:rsidR="00E86E3A">
        <w:t xml:space="preserve"> </w:t>
      </w:r>
    </w:p>
    <w:p w14:paraId="05E69744" w14:textId="77777777" w:rsidR="00120665" w:rsidRPr="00120665" w:rsidRDefault="00120665" w:rsidP="00120665">
      <w:pPr>
        <w:spacing w:line="240" w:lineRule="auto"/>
        <w:ind w:firstLine="720"/>
        <w:rPr>
          <w:sz w:val="10"/>
          <w:szCs w:val="10"/>
        </w:rPr>
      </w:pPr>
    </w:p>
    <w:p w14:paraId="5B2E6322" w14:textId="060E99F4" w:rsidR="00B85BAC" w:rsidRDefault="00B85BAC" w:rsidP="00B85BAC">
      <w:pPr>
        <w:spacing w:line="480" w:lineRule="auto"/>
        <w:ind w:firstLine="720"/>
        <w:jc w:val="center"/>
      </w:pPr>
      <w:r>
        <w:t>Heatmap of Correlation Between World Bank Indicators</w:t>
      </w:r>
    </w:p>
    <w:p w14:paraId="26DC91E1" w14:textId="77777777" w:rsidR="00120665" w:rsidRDefault="00680948" w:rsidP="00B85BAC">
      <w:pPr>
        <w:spacing w:line="480" w:lineRule="auto"/>
      </w:pPr>
      <w:r>
        <w:rPr>
          <w:noProof/>
        </w:rPr>
        <w:drawing>
          <wp:inline distT="0" distB="0" distL="0" distR="0" wp14:anchorId="398D78FB" wp14:editId="7AC766A0">
            <wp:extent cx="5943600" cy="5125085"/>
            <wp:effectExtent l="0" t="0" r="0" b="5715"/>
            <wp:docPr id="1728347633"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47633" name="Picture 7"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125085"/>
                    </a:xfrm>
                    <a:prstGeom prst="rect">
                      <a:avLst/>
                    </a:prstGeom>
                  </pic:spPr>
                </pic:pic>
              </a:graphicData>
            </a:graphic>
          </wp:inline>
        </w:drawing>
      </w:r>
    </w:p>
    <w:p w14:paraId="05E4D90E" w14:textId="77777777" w:rsidR="00120665" w:rsidRPr="00120665" w:rsidRDefault="00120665" w:rsidP="00120665">
      <w:pPr>
        <w:spacing w:line="240" w:lineRule="auto"/>
        <w:ind w:firstLine="720"/>
        <w:rPr>
          <w:sz w:val="10"/>
          <w:szCs w:val="10"/>
        </w:rPr>
      </w:pPr>
    </w:p>
    <w:p w14:paraId="76E04CBE" w14:textId="64214E05" w:rsidR="00D87C92" w:rsidRDefault="00B85BAC" w:rsidP="00120665">
      <w:pPr>
        <w:spacing w:line="480" w:lineRule="auto"/>
      </w:pPr>
      <w:r>
        <w:t xml:space="preserve">As indicated by the darker squares for year, much of this data is strongly correlated with time. This indicates that time series modelling would be a good fit for this data. However, I first </w:t>
      </w:r>
      <w:r>
        <w:lastRenderedPageBreak/>
        <w:t>looked at the overall trends in the data for Los Angeles and then California.</w:t>
      </w:r>
      <w:r w:rsidR="00D87C92">
        <w:rPr>
          <w:noProof/>
        </w:rPr>
        <w:drawing>
          <wp:inline distT="0" distB="0" distL="0" distR="0" wp14:anchorId="0934FA38" wp14:editId="0BFF7032">
            <wp:extent cx="4999442" cy="3938954"/>
            <wp:effectExtent l="0" t="0" r="4445" b="0"/>
            <wp:docPr id="97083510" name="Picture 13" descr="A graph with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3510" name="Picture 13" descr="A graph with dots and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18712" cy="3954137"/>
                    </a:xfrm>
                    <a:prstGeom prst="rect">
                      <a:avLst/>
                    </a:prstGeom>
                  </pic:spPr>
                </pic:pic>
              </a:graphicData>
            </a:graphic>
          </wp:inline>
        </w:drawing>
      </w:r>
      <w:r>
        <w:rPr>
          <w:noProof/>
        </w:rPr>
        <w:lastRenderedPageBreak/>
        <w:drawing>
          <wp:inline distT="0" distB="0" distL="0" distR="0" wp14:anchorId="6F963992" wp14:editId="712B8814">
            <wp:extent cx="4986997" cy="3883883"/>
            <wp:effectExtent l="0" t="0" r="4445" b="2540"/>
            <wp:docPr id="1989540766" name="Picture 12"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40766" name="Picture 12" descr="A graph with red do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56374" cy="3937914"/>
                    </a:xfrm>
                    <a:prstGeom prst="rect">
                      <a:avLst/>
                    </a:prstGeom>
                  </pic:spPr>
                </pic:pic>
              </a:graphicData>
            </a:graphic>
          </wp:inline>
        </w:drawing>
      </w:r>
    </w:p>
    <w:p w14:paraId="62CF3E7B" w14:textId="77777777" w:rsidR="007B0E4F" w:rsidRDefault="007B0E4F" w:rsidP="007B0E4F"/>
    <w:p w14:paraId="4EA45277" w14:textId="0BFE9455" w:rsidR="00B85BAC" w:rsidRPr="00B85BAC" w:rsidRDefault="007B0E4F" w:rsidP="00B85BAC">
      <w:pPr>
        <w:spacing w:line="480" w:lineRule="auto"/>
        <w:rPr>
          <w:i/>
          <w:iCs/>
        </w:rPr>
      </w:pPr>
      <w:r w:rsidRPr="00B85BAC">
        <w:rPr>
          <w:i/>
          <w:iCs/>
        </w:rPr>
        <w:t>Processing and Modelling</w:t>
      </w:r>
    </w:p>
    <w:p w14:paraId="62069159" w14:textId="0DE1A392" w:rsidR="003A0A8D" w:rsidRDefault="00B85BAC" w:rsidP="00B85BAC">
      <w:pPr>
        <w:spacing w:line="480" w:lineRule="auto"/>
      </w:pPr>
      <w:r>
        <w:tab/>
        <w:t>Both graphs show similar trends, a decrease in homelessness until about 2020 and then an upwards trend. I tried to find the line of best fit using a linear model, an exponential model, and then completely shifted to using time series models. I scaled the data to ensure that the indicators like price indices, housing costs, healthcare costs, and others would be in the same frame of reference as the homeless population measures. I decided to try the</w:t>
      </w:r>
      <w:r w:rsidR="006E064A">
        <w:t xml:space="preserve"> auto-regressive integrated moving average</w:t>
      </w:r>
      <w:r>
        <w:t xml:space="preserve"> </w:t>
      </w:r>
      <w:r w:rsidR="006E064A">
        <w:t>(</w:t>
      </w:r>
      <w:r>
        <w:t>ARIMA</w:t>
      </w:r>
      <w:r w:rsidR="006E064A">
        <w:t>)</w:t>
      </w:r>
      <w:r>
        <w:t xml:space="preserve"> model first to make predictions, but this model does not do well with too many variables. Thus, I used a </w:t>
      </w:r>
      <w:r w:rsidR="006E064A">
        <w:t>principal component analysis (</w:t>
      </w:r>
      <w:r>
        <w:t>PCA</w:t>
      </w:r>
      <w:r w:rsidR="006E064A">
        <w:t>)</w:t>
      </w:r>
      <w:r>
        <w:t xml:space="preserve"> to isolate the principal indicators of fluctuation in the data.</w:t>
      </w:r>
      <w:r w:rsidR="003A0A8D">
        <w:t xml:space="preserve"> I checked to see what percent of the variation in the data was accounted for with each principal component and found that one principal component accounted </w:t>
      </w:r>
      <w:r w:rsidR="003A0A8D">
        <w:lastRenderedPageBreak/>
        <w:t>for almost all the variation. However, I chose to use two components to account for additional variation but not all the variation to allow for some error and to prevent over-fitting. It reduced the error for the predictions of past data to minimize the error for ‘future’ predictions of 2023, where there is a shift from the general trend.</w:t>
      </w:r>
      <w:r>
        <w:t xml:space="preserve"> </w:t>
      </w:r>
      <w:r w:rsidR="003A0A8D">
        <w:t xml:space="preserve">In the second </w:t>
      </w:r>
      <w:r w:rsidR="005037BB">
        <w:t>vector auto-regression (</w:t>
      </w:r>
      <w:proofErr w:type="spellStart"/>
      <w:r w:rsidR="003A0A8D">
        <w:t>VaR</w:t>
      </w:r>
      <w:proofErr w:type="spellEnd"/>
      <w:r w:rsidR="005037BB">
        <w:t>)</w:t>
      </w:r>
      <w:r w:rsidR="003A0A8D">
        <w:t xml:space="preserve"> model, there is no decrease in power of the test due to an increased number of variables, so I did not have to use the PCA reduction. </w:t>
      </w:r>
    </w:p>
    <w:p w14:paraId="5564FF67" w14:textId="43B33C2E" w:rsidR="00B85BAC" w:rsidRDefault="00B85BAC" w:rsidP="003A0A8D">
      <w:pPr>
        <w:spacing w:line="480" w:lineRule="auto"/>
        <w:ind w:firstLine="720"/>
      </w:pPr>
      <w:r>
        <w:t xml:space="preserve">I then split the data into training and test sets using the time series specific split. This splitting function in </w:t>
      </w:r>
      <w:proofErr w:type="spellStart"/>
      <w:r w:rsidRPr="00D82E8C">
        <w:rPr>
          <w:i/>
          <w:iCs/>
        </w:rPr>
        <w:t>sklearn</w:t>
      </w:r>
      <w:proofErr w:type="spellEnd"/>
      <w:r>
        <w:t xml:space="preserve"> makes sure that the data is split without shuffling</w:t>
      </w:r>
      <w:r w:rsidR="00467079">
        <w:t xml:space="preserve">, i.e. not randomly, so that there are no backwards predictions. </w:t>
      </w:r>
      <w:r w:rsidR="005037BB">
        <w:t>I ran a simple linear model and generated mean-squared errors (MSE) and r-squared (R</w:t>
      </w:r>
      <w:r w:rsidR="005037BB">
        <w:rPr>
          <w:vertAlign w:val="superscript"/>
        </w:rPr>
        <w:t>2</w:t>
      </w:r>
      <w:r w:rsidR="005037BB">
        <w:t xml:space="preserve">) values to have a basis for comparison. I plotted the auto-correlation function (ACF) for each feature in the indicator set of variables to see how many lags to use for the time series. I ran an AD Fuller test to ensure stationarity and to make sure that the correct number of lags was three, as shown for almost all variables. I first ran a simple ARIMA model with one lag. I then ran an ARIMA model with three lags to match the peak shown in the ACF plots. I collected MSE </w:t>
      </w:r>
      <w:r w:rsidR="006E064A">
        <w:t xml:space="preserve">and the average MSE for comparison. </w:t>
      </w:r>
      <w:r w:rsidR="005037BB">
        <w:t>The second ARIMA model showed substantial improvement from the first</w:t>
      </w:r>
      <w:r w:rsidR="006E064A">
        <w:t>, shown by the decrease in MSE,</w:t>
      </w:r>
      <w:r w:rsidR="005037BB">
        <w:t xml:space="preserve"> and I decided to use three lags in the </w:t>
      </w:r>
      <w:proofErr w:type="spellStart"/>
      <w:r w:rsidR="005037BB">
        <w:t>VaR</w:t>
      </w:r>
      <w:proofErr w:type="spellEnd"/>
      <w:r w:rsidR="005037BB">
        <w:t xml:space="preserve"> model.</w:t>
      </w:r>
      <w:r w:rsidR="006E064A">
        <w:t xml:space="preserve"> I ran the </w:t>
      </w:r>
      <w:proofErr w:type="spellStart"/>
      <w:r w:rsidR="006E064A">
        <w:t>VaR</w:t>
      </w:r>
      <w:proofErr w:type="spellEnd"/>
      <w:r w:rsidR="006E064A">
        <w:t xml:space="preserve"> model to make predictions and saved the MSE as well as AIC and BIC scores as indicators of model performance. </w:t>
      </w:r>
    </w:p>
    <w:p w14:paraId="0A93278C" w14:textId="77777777" w:rsidR="006E064A" w:rsidRDefault="006E064A" w:rsidP="006E064A"/>
    <w:p w14:paraId="62135C9A" w14:textId="211A5748" w:rsidR="007B0E4F" w:rsidRPr="006E064A" w:rsidRDefault="007B0E4F" w:rsidP="006E064A">
      <w:pPr>
        <w:spacing w:line="480" w:lineRule="auto"/>
        <w:rPr>
          <w:i/>
          <w:iCs/>
        </w:rPr>
      </w:pPr>
      <w:r w:rsidRPr="006E064A">
        <w:rPr>
          <w:i/>
          <w:iCs/>
        </w:rPr>
        <w:t>Forecasting and Results</w:t>
      </w:r>
    </w:p>
    <w:p w14:paraId="6B4682FD" w14:textId="35F70921" w:rsidR="00580E5D" w:rsidRDefault="006E064A" w:rsidP="00120665">
      <w:pPr>
        <w:spacing w:line="480" w:lineRule="auto"/>
      </w:pPr>
      <w:r>
        <w:tab/>
        <w:t xml:space="preserve">The result metrics for the models show that the first two models (ARIMA1 and ARIMA2) have lower residuals, as it also appears in the MSE-scores. While the MSE-score appears much higher for the </w:t>
      </w:r>
      <w:proofErr w:type="spellStart"/>
      <w:r>
        <w:t>VaR</w:t>
      </w:r>
      <w:proofErr w:type="spellEnd"/>
      <w:r>
        <w:t xml:space="preserve"> predictor the AIC and BIC scores are quite low for the </w:t>
      </w:r>
      <w:proofErr w:type="spellStart"/>
      <w:r>
        <w:t>VaR</w:t>
      </w:r>
      <w:proofErr w:type="spellEnd"/>
      <w:r>
        <w:t xml:space="preserve"> </w:t>
      </w:r>
      <w:r>
        <w:lastRenderedPageBreak/>
        <w:t xml:space="preserve">model. The low AIC and BIC scores indicate that </w:t>
      </w:r>
      <w:r w:rsidR="00580E5D">
        <w:t>overall,</w:t>
      </w:r>
      <w:r>
        <w:t xml:space="preserve"> the </w:t>
      </w:r>
      <w:proofErr w:type="spellStart"/>
      <w:r>
        <w:t>VaR</w:t>
      </w:r>
      <w:proofErr w:type="spellEnd"/>
      <w:r>
        <w:t xml:space="preserve"> model is a better predictor for this data.</w:t>
      </w:r>
      <w:r w:rsidR="00580E5D">
        <w:t xml:space="preserve"> Below is a table of the metrics measuring the fit of the model to the data and the accuracy of the predictions, it is grouped by type of metrics with MSE first and AIC/BIC second.</w:t>
      </w:r>
    </w:p>
    <w:p w14:paraId="08C5B034" w14:textId="77777777" w:rsidR="00120665" w:rsidRPr="00EE1723" w:rsidRDefault="00120665" w:rsidP="00120665">
      <w:pPr>
        <w:spacing w:line="240" w:lineRule="auto"/>
      </w:pPr>
    </w:p>
    <w:p w14:paraId="65A53C38" w14:textId="5000C9DB" w:rsidR="00580E5D" w:rsidRDefault="00580E5D" w:rsidP="00580E5D">
      <w:pPr>
        <w:jc w:val="center"/>
        <w:rPr>
          <w:b/>
          <w:bCs/>
          <w:i/>
          <w:iCs/>
        </w:rPr>
      </w:pPr>
      <w:r>
        <w:rPr>
          <w:b/>
          <w:bCs/>
          <w:i/>
          <w:iCs/>
        </w:rPr>
        <w:t>Table of Metrics per Model</w:t>
      </w:r>
    </w:p>
    <w:p w14:paraId="1F17DF38" w14:textId="77777777" w:rsidR="00580E5D" w:rsidRPr="00580E5D" w:rsidRDefault="00580E5D" w:rsidP="00580E5D">
      <w:pPr>
        <w:jc w:val="center"/>
        <w:rPr>
          <w:i/>
          <w:iCs/>
        </w:rPr>
      </w:pPr>
    </w:p>
    <w:tbl>
      <w:tblPr>
        <w:tblStyle w:val="PlainTable4"/>
        <w:tblW w:w="0" w:type="auto"/>
        <w:tblLook w:val="04A0" w:firstRow="1" w:lastRow="0" w:firstColumn="1" w:lastColumn="0" w:noHBand="0" w:noVBand="1"/>
      </w:tblPr>
      <w:tblGrid>
        <w:gridCol w:w="3116"/>
        <w:gridCol w:w="3117"/>
        <w:gridCol w:w="3117"/>
      </w:tblGrid>
      <w:tr w:rsidR="006E064A" w14:paraId="7815ED24" w14:textId="77777777" w:rsidTr="00580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AE7E1A" w14:textId="023F6F6C" w:rsidR="006E064A" w:rsidRPr="00120665" w:rsidRDefault="006E064A" w:rsidP="00120665">
            <w:pPr>
              <w:spacing w:line="360" w:lineRule="auto"/>
              <w:rPr>
                <w:sz w:val="22"/>
                <w:szCs w:val="22"/>
              </w:rPr>
            </w:pPr>
            <w:r w:rsidRPr="00120665">
              <w:rPr>
                <w:sz w:val="22"/>
                <w:szCs w:val="22"/>
              </w:rPr>
              <w:t>Model</w:t>
            </w:r>
          </w:p>
        </w:tc>
        <w:tc>
          <w:tcPr>
            <w:tcW w:w="3117" w:type="dxa"/>
          </w:tcPr>
          <w:p w14:paraId="03288344" w14:textId="6A9DCEB0" w:rsidR="006E064A" w:rsidRPr="00120665" w:rsidRDefault="006E064A" w:rsidP="00120665">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sidRPr="00120665">
              <w:rPr>
                <w:sz w:val="22"/>
                <w:szCs w:val="22"/>
              </w:rPr>
              <w:t>Metric 1</w:t>
            </w:r>
          </w:p>
        </w:tc>
        <w:tc>
          <w:tcPr>
            <w:tcW w:w="3117" w:type="dxa"/>
          </w:tcPr>
          <w:p w14:paraId="444076AF" w14:textId="7C0E2AF7" w:rsidR="006E064A" w:rsidRPr="00120665" w:rsidRDefault="006E064A" w:rsidP="00120665">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sidRPr="00120665">
              <w:rPr>
                <w:sz w:val="22"/>
                <w:szCs w:val="22"/>
              </w:rPr>
              <w:t>Metric 2</w:t>
            </w:r>
          </w:p>
        </w:tc>
      </w:tr>
      <w:tr w:rsidR="006E064A" w14:paraId="4B572666" w14:textId="77777777" w:rsidTr="00580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6AB70CC" w14:textId="77777777" w:rsidR="006E064A" w:rsidRPr="00120665" w:rsidRDefault="006E064A" w:rsidP="00120665">
            <w:pPr>
              <w:spacing w:line="360" w:lineRule="auto"/>
              <w:rPr>
                <w:sz w:val="22"/>
                <w:szCs w:val="22"/>
              </w:rPr>
            </w:pPr>
            <w:r w:rsidRPr="00120665">
              <w:rPr>
                <w:sz w:val="22"/>
                <w:szCs w:val="22"/>
              </w:rPr>
              <w:t>Linear Regression</w:t>
            </w:r>
          </w:p>
          <w:p w14:paraId="7C377F8D" w14:textId="45895F24" w:rsidR="006E064A" w:rsidRPr="00120665" w:rsidRDefault="006E064A" w:rsidP="00120665">
            <w:pPr>
              <w:spacing w:line="360" w:lineRule="auto"/>
              <w:rPr>
                <w:sz w:val="22"/>
                <w:szCs w:val="22"/>
              </w:rPr>
            </w:pPr>
            <w:r w:rsidRPr="00120665">
              <w:rPr>
                <w:sz w:val="22"/>
                <w:szCs w:val="22"/>
              </w:rPr>
              <w:t>(without PCA)</w:t>
            </w:r>
          </w:p>
        </w:tc>
        <w:tc>
          <w:tcPr>
            <w:tcW w:w="3117" w:type="dxa"/>
          </w:tcPr>
          <w:p w14:paraId="78253FA0" w14:textId="7ED8FC08" w:rsidR="006E064A" w:rsidRPr="00120665" w:rsidRDefault="006E064A" w:rsidP="00120665">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proofErr w:type="gramStart"/>
            <w:r w:rsidRPr="00120665">
              <w:rPr>
                <w:sz w:val="22"/>
                <w:szCs w:val="22"/>
              </w:rPr>
              <w:t>MSE :</w:t>
            </w:r>
            <w:proofErr w:type="gramEnd"/>
            <w:r w:rsidRPr="00120665">
              <w:rPr>
                <w:sz w:val="22"/>
                <w:szCs w:val="22"/>
              </w:rPr>
              <w:t xml:space="preserve"> </w:t>
            </w:r>
            <w:r w:rsidR="00BF3C9F" w:rsidRPr="00BF3C9F">
              <w:rPr>
                <w:sz w:val="22"/>
                <w:szCs w:val="22"/>
              </w:rPr>
              <w:t>8809317.564591292</w:t>
            </w:r>
          </w:p>
        </w:tc>
        <w:tc>
          <w:tcPr>
            <w:tcW w:w="3117" w:type="dxa"/>
          </w:tcPr>
          <w:p w14:paraId="4806E39F" w14:textId="7E588EC0" w:rsidR="006E064A" w:rsidRPr="00120665" w:rsidRDefault="006E064A" w:rsidP="00120665">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120665">
              <w:rPr>
                <w:sz w:val="22"/>
                <w:szCs w:val="22"/>
              </w:rPr>
              <w:t>R</w:t>
            </w:r>
            <w:r w:rsidRPr="00120665">
              <w:rPr>
                <w:sz w:val="22"/>
                <w:szCs w:val="22"/>
                <w:vertAlign w:val="superscript"/>
              </w:rPr>
              <w:t>2</w:t>
            </w:r>
            <w:r w:rsidRPr="00120665">
              <w:rPr>
                <w:sz w:val="22"/>
                <w:szCs w:val="22"/>
              </w:rPr>
              <w:t xml:space="preserve">: </w:t>
            </w:r>
            <w:r w:rsidR="00BF3C9F" w:rsidRPr="00BF3C9F">
              <w:rPr>
                <w:sz w:val="22"/>
                <w:szCs w:val="22"/>
              </w:rPr>
              <w:t>-1.090373675217983</w:t>
            </w:r>
          </w:p>
        </w:tc>
      </w:tr>
      <w:tr w:rsidR="006E064A" w14:paraId="21875748" w14:textId="77777777" w:rsidTr="00580E5D">
        <w:tc>
          <w:tcPr>
            <w:cnfStyle w:val="001000000000" w:firstRow="0" w:lastRow="0" w:firstColumn="1" w:lastColumn="0" w:oddVBand="0" w:evenVBand="0" w:oddHBand="0" w:evenHBand="0" w:firstRowFirstColumn="0" w:firstRowLastColumn="0" w:lastRowFirstColumn="0" w:lastRowLastColumn="0"/>
            <w:tcW w:w="3116" w:type="dxa"/>
          </w:tcPr>
          <w:p w14:paraId="2778DCD7" w14:textId="77777777" w:rsidR="006E064A" w:rsidRPr="00120665" w:rsidRDefault="006E064A" w:rsidP="00120665">
            <w:pPr>
              <w:spacing w:line="360" w:lineRule="auto"/>
              <w:rPr>
                <w:sz w:val="22"/>
                <w:szCs w:val="22"/>
              </w:rPr>
            </w:pPr>
            <w:r w:rsidRPr="00120665">
              <w:rPr>
                <w:sz w:val="22"/>
                <w:szCs w:val="22"/>
              </w:rPr>
              <w:t>ARIMA 1</w:t>
            </w:r>
          </w:p>
          <w:p w14:paraId="6968F683" w14:textId="12B470B1" w:rsidR="006E064A" w:rsidRPr="00120665" w:rsidRDefault="006E064A" w:rsidP="00120665">
            <w:pPr>
              <w:spacing w:line="360" w:lineRule="auto"/>
              <w:rPr>
                <w:sz w:val="22"/>
                <w:szCs w:val="22"/>
              </w:rPr>
            </w:pPr>
            <w:r w:rsidRPr="00120665">
              <w:rPr>
                <w:sz w:val="22"/>
                <w:szCs w:val="22"/>
              </w:rPr>
              <w:t>(one lag)</w:t>
            </w:r>
          </w:p>
        </w:tc>
        <w:tc>
          <w:tcPr>
            <w:tcW w:w="3117" w:type="dxa"/>
          </w:tcPr>
          <w:p w14:paraId="7AC5E929" w14:textId="6078A418" w:rsidR="006E064A" w:rsidRPr="00120665" w:rsidRDefault="006E064A" w:rsidP="00120665">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120665">
              <w:rPr>
                <w:sz w:val="22"/>
                <w:szCs w:val="22"/>
              </w:rPr>
              <w:t xml:space="preserve">MSE Scores: </w:t>
            </w:r>
            <w:r w:rsidR="00BF3C9F" w:rsidRPr="00BF3C9F">
              <w:rPr>
                <w:sz w:val="22"/>
                <w:szCs w:val="22"/>
              </w:rPr>
              <w:t>[0.4920852804015535, 0.16591506808298923, 0.10058916388114512, 0.585171870603099, 0.04961969883671817]</w:t>
            </w:r>
          </w:p>
        </w:tc>
        <w:tc>
          <w:tcPr>
            <w:tcW w:w="3117" w:type="dxa"/>
          </w:tcPr>
          <w:p w14:paraId="52082986" w14:textId="29C37C23" w:rsidR="006E064A" w:rsidRPr="00120665" w:rsidRDefault="006E064A" w:rsidP="00120665">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120665">
              <w:rPr>
                <w:sz w:val="22"/>
                <w:szCs w:val="22"/>
              </w:rPr>
              <w:t xml:space="preserve">Average MSE: </w:t>
            </w:r>
            <w:r w:rsidR="00BF3C9F" w:rsidRPr="00BF3C9F">
              <w:rPr>
                <w:sz w:val="22"/>
                <w:szCs w:val="22"/>
              </w:rPr>
              <w:t>0.278676216361101</w:t>
            </w:r>
          </w:p>
          <w:p w14:paraId="158EC77A" w14:textId="77777777" w:rsidR="006E064A" w:rsidRPr="00120665" w:rsidRDefault="006E064A" w:rsidP="00120665">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p>
        </w:tc>
      </w:tr>
      <w:tr w:rsidR="006E064A" w14:paraId="7EFA446C" w14:textId="77777777" w:rsidTr="00580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104DD60" w14:textId="77777777" w:rsidR="006E064A" w:rsidRPr="00120665" w:rsidRDefault="006E064A" w:rsidP="00120665">
            <w:pPr>
              <w:spacing w:line="360" w:lineRule="auto"/>
              <w:rPr>
                <w:sz w:val="22"/>
                <w:szCs w:val="22"/>
              </w:rPr>
            </w:pPr>
            <w:r w:rsidRPr="00120665">
              <w:rPr>
                <w:sz w:val="22"/>
                <w:szCs w:val="22"/>
              </w:rPr>
              <w:t>ARIMA 2</w:t>
            </w:r>
          </w:p>
          <w:p w14:paraId="602C3554" w14:textId="63ADB640" w:rsidR="006E064A" w:rsidRPr="00120665" w:rsidRDefault="006E064A" w:rsidP="00120665">
            <w:pPr>
              <w:spacing w:line="360" w:lineRule="auto"/>
              <w:rPr>
                <w:sz w:val="22"/>
                <w:szCs w:val="22"/>
              </w:rPr>
            </w:pPr>
            <w:r w:rsidRPr="00120665">
              <w:rPr>
                <w:sz w:val="22"/>
                <w:szCs w:val="22"/>
              </w:rPr>
              <w:t>(three lags)</w:t>
            </w:r>
          </w:p>
        </w:tc>
        <w:tc>
          <w:tcPr>
            <w:tcW w:w="3117" w:type="dxa"/>
          </w:tcPr>
          <w:p w14:paraId="1B06BEFF" w14:textId="46633D11" w:rsidR="006E064A" w:rsidRPr="00120665" w:rsidRDefault="006E064A" w:rsidP="00120665">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120665">
              <w:rPr>
                <w:sz w:val="22"/>
                <w:szCs w:val="22"/>
              </w:rPr>
              <w:t xml:space="preserve">ARIMA2 MSE Scores: </w:t>
            </w:r>
            <w:r w:rsidR="00BF3C9F" w:rsidRPr="00BF3C9F">
              <w:rPr>
                <w:sz w:val="22"/>
                <w:szCs w:val="22"/>
              </w:rPr>
              <w:t>[1.0379242869687637, 0.21626883455424678, 0.11406775642131431, 0.5857232559016025, 0.05372395624812124]</w:t>
            </w:r>
          </w:p>
        </w:tc>
        <w:tc>
          <w:tcPr>
            <w:tcW w:w="3117" w:type="dxa"/>
          </w:tcPr>
          <w:p w14:paraId="6753C6D1" w14:textId="0A4CB535" w:rsidR="006E064A" w:rsidRPr="00120665" w:rsidRDefault="006E064A" w:rsidP="00120665">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120665">
              <w:rPr>
                <w:sz w:val="22"/>
                <w:szCs w:val="22"/>
              </w:rPr>
              <w:t xml:space="preserve">Average MSE: </w:t>
            </w:r>
            <w:r w:rsidR="00BF3C9F" w:rsidRPr="00BF3C9F">
              <w:rPr>
                <w:sz w:val="22"/>
                <w:szCs w:val="22"/>
              </w:rPr>
              <w:t>0.4015416180188097</w:t>
            </w:r>
          </w:p>
          <w:p w14:paraId="6CD9EA31" w14:textId="77777777" w:rsidR="006E064A" w:rsidRPr="00120665" w:rsidRDefault="006E064A" w:rsidP="00120665">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p>
        </w:tc>
      </w:tr>
      <w:tr w:rsidR="006E064A" w14:paraId="5A2EA056" w14:textId="77777777" w:rsidTr="00580E5D">
        <w:tc>
          <w:tcPr>
            <w:cnfStyle w:val="001000000000" w:firstRow="0" w:lastRow="0" w:firstColumn="1" w:lastColumn="0" w:oddVBand="0" w:evenVBand="0" w:oddHBand="0" w:evenHBand="0" w:firstRowFirstColumn="0" w:firstRowLastColumn="0" w:lastRowFirstColumn="0" w:lastRowLastColumn="0"/>
            <w:tcW w:w="3116" w:type="dxa"/>
          </w:tcPr>
          <w:p w14:paraId="621FCF5B" w14:textId="2E3425FB" w:rsidR="006E064A" w:rsidRPr="00120665" w:rsidRDefault="006E064A" w:rsidP="00120665">
            <w:pPr>
              <w:spacing w:line="360" w:lineRule="auto"/>
              <w:rPr>
                <w:sz w:val="22"/>
                <w:szCs w:val="22"/>
              </w:rPr>
            </w:pPr>
            <w:proofErr w:type="spellStart"/>
            <w:r w:rsidRPr="00120665">
              <w:rPr>
                <w:sz w:val="22"/>
                <w:szCs w:val="22"/>
              </w:rPr>
              <w:t>VaR</w:t>
            </w:r>
            <w:proofErr w:type="spellEnd"/>
            <w:r w:rsidRPr="00120665">
              <w:rPr>
                <w:sz w:val="22"/>
                <w:szCs w:val="22"/>
              </w:rPr>
              <w:t xml:space="preserve"> </w:t>
            </w:r>
          </w:p>
        </w:tc>
        <w:tc>
          <w:tcPr>
            <w:tcW w:w="3117" w:type="dxa"/>
          </w:tcPr>
          <w:p w14:paraId="7962B417" w14:textId="229F5380" w:rsidR="006E064A" w:rsidRPr="00120665" w:rsidRDefault="006E064A" w:rsidP="00120665">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120665">
              <w:rPr>
                <w:sz w:val="22"/>
                <w:szCs w:val="22"/>
              </w:rPr>
              <w:t xml:space="preserve">VAR MSE Scores: </w:t>
            </w:r>
            <w:r w:rsidR="00BF3C9F" w:rsidRPr="00BF3C9F">
              <w:rPr>
                <w:sz w:val="22"/>
                <w:szCs w:val="22"/>
              </w:rPr>
              <w:t>[354806659460.1925, 3258731.234438983, 235845996.07972065, 11479199.778941542]</w:t>
            </w:r>
          </w:p>
        </w:tc>
        <w:tc>
          <w:tcPr>
            <w:tcW w:w="3117" w:type="dxa"/>
          </w:tcPr>
          <w:p w14:paraId="5FF5F9B3" w14:textId="12E80998" w:rsidR="006E064A" w:rsidRPr="00120665" w:rsidRDefault="006E064A" w:rsidP="00120665">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120665">
              <w:rPr>
                <w:sz w:val="22"/>
                <w:szCs w:val="22"/>
              </w:rPr>
              <w:t xml:space="preserve">Average MSE: </w:t>
            </w:r>
            <w:r w:rsidR="00BF3C9F" w:rsidRPr="00BF3C9F">
              <w:rPr>
                <w:sz w:val="22"/>
                <w:szCs w:val="22"/>
              </w:rPr>
              <w:t>88764310846.8214</w:t>
            </w:r>
          </w:p>
          <w:p w14:paraId="5AA3D4FC" w14:textId="77777777" w:rsidR="006E064A" w:rsidRPr="00120665" w:rsidRDefault="006E064A" w:rsidP="00120665">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p>
        </w:tc>
      </w:tr>
      <w:tr w:rsidR="006E064A" w14:paraId="4C691E5B" w14:textId="77777777" w:rsidTr="00580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222A48" w14:textId="77777777" w:rsidR="006E064A" w:rsidRPr="00120665" w:rsidRDefault="00580E5D" w:rsidP="00120665">
            <w:pPr>
              <w:spacing w:line="360" w:lineRule="auto"/>
              <w:rPr>
                <w:b w:val="0"/>
                <w:bCs w:val="0"/>
                <w:sz w:val="22"/>
                <w:szCs w:val="22"/>
              </w:rPr>
            </w:pPr>
            <w:r w:rsidRPr="00120665">
              <w:rPr>
                <w:sz w:val="22"/>
                <w:szCs w:val="22"/>
              </w:rPr>
              <w:t>ARIMA 1</w:t>
            </w:r>
          </w:p>
          <w:p w14:paraId="49C9E672" w14:textId="1842977F" w:rsidR="00580E5D" w:rsidRPr="00120665" w:rsidRDefault="00580E5D" w:rsidP="00120665">
            <w:pPr>
              <w:spacing w:line="360" w:lineRule="auto"/>
              <w:rPr>
                <w:sz w:val="22"/>
                <w:szCs w:val="22"/>
              </w:rPr>
            </w:pPr>
            <w:r w:rsidRPr="00120665">
              <w:rPr>
                <w:sz w:val="22"/>
                <w:szCs w:val="22"/>
              </w:rPr>
              <w:t>(one lag)</w:t>
            </w:r>
          </w:p>
        </w:tc>
        <w:tc>
          <w:tcPr>
            <w:tcW w:w="3117" w:type="dxa"/>
          </w:tcPr>
          <w:p w14:paraId="64B4A3B2" w14:textId="284D84B2" w:rsidR="00580E5D" w:rsidRPr="00120665" w:rsidRDefault="00580E5D" w:rsidP="00120665">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120665">
              <w:rPr>
                <w:sz w:val="22"/>
                <w:szCs w:val="22"/>
              </w:rPr>
              <w:t xml:space="preserve">AIC: </w:t>
            </w:r>
            <w:r w:rsidR="00BF3C9F" w:rsidRPr="00BF3C9F">
              <w:rPr>
                <w:sz w:val="22"/>
                <w:szCs w:val="22"/>
              </w:rPr>
              <w:t>291.742</w:t>
            </w:r>
          </w:p>
          <w:p w14:paraId="619A9022" w14:textId="77777777" w:rsidR="006E064A" w:rsidRPr="00120665" w:rsidRDefault="006E064A" w:rsidP="00120665">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p>
        </w:tc>
        <w:tc>
          <w:tcPr>
            <w:tcW w:w="3117" w:type="dxa"/>
          </w:tcPr>
          <w:p w14:paraId="51E33C50" w14:textId="51604C95" w:rsidR="00580E5D" w:rsidRPr="00120665" w:rsidRDefault="00580E5D" w:rsidP="00120665">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120665">
              <w:rPr>
                <w:sz w:val="22"/>
                <w:szCs w:val="22"/>
              </w:rPr>
              <w:t xml:space="preserve">BIC: </w:t>
            </w:r>
            <w:r w:rsidR="00BF3C9F" w:rsidRPr="00BF3C9F">
              <w:rPr>
                <w:sz w:val="22"/>
                <w:szCs w:val="22"/>
              </w:rPr>
              <w:t>297.538</w:t>
            </w:r>
          </w:p>
          <w:p w14:paraId="019857B3" w14:textId="77777777" w:rsidR="006E064A" w:rsidRPr="00120665" w:rsidRDefault="006E064A" w:rsidP="00120665">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p>
        </w:tc>
      </w:tr>
      <w:tr w:rsidR="006E064A" w14:paraId="28F583CA" w14:textId="77777777" w:rsidTr="00580E5D">
        <w:tc>
          <w:tcPr>
            <w:cnfStyle w:val="001000000000" w:firstRow="0" w:lastRow="0" w:firstColumn="1" w:lastColumn="0" w:oddVBand="0" w:evenVBand="0" w:oddHBand="0" w:evenHBand="0" w:firstRowFirstColumn="0" w:firstRowLastColumn="0" w:lastRowFirstColumn="0" w:lastRowLastColumn="0"/>
            <w:tcW w:w="3116" w:type="dxa"/>
          </w:tcPr>
          <w:p w14:paraId="25FEC4AB" w14:textId="77777777" w:rsidR="006E064A" w:rsidRPr="00120665" w:rsidRDefault="00580E5D" w:rsidP="00120665">
            <w:pPr>
              <w:spacing w:line="360" w:lineRule="auto"/>
              <w:rPr>
                <w:b w:val="0"/>
                <w:bCs w:val="0"/>
                <w:sz w:val="22"/>
                <w:szCs w:val="22"/>
              </w:rPr>
            </w:pPr>
            <w:r w:rsidRPr="00120665">
              <w:rPr>
                <w:sz w:val="22"/>
                <w:szCs w:val="22"/>
              </w:rPr>
              <w:t>ARIMA 2</w:t>
            </w:r>
          </w:p>
          <w:p w14:paraId="77BE68F7" w14:textId="192F1663" w:rsidR="00580E5D" w:rsidRPr="00120665" w:rsidRDefault="00580E5D" w:rsidP="00120665">
            <w:pPr>
              <w:spacing w:line="360" w:lineRule="auto"/>
              <w:rPr>
                <w:sz w:val="22"/>
                <w:szCs w:val="22"/>
              </w:rPr>
            </w:pPr>
            <w:r w:rsidRPr="00120665">
              <w:rPr>
                <w:sz w:val="22"/>
                <w:szCs w:val="22"/>
              </w:rPr>
              <w:t>(three lags)</w:t>
            </w:r>
          </w:p>
        </w:tc>
        <w:tc>
          <w:tcPr>
            <w:tcW w:w="3117" w:type="dxa"/>
          </w:tcPr>
          <w:p w14:paraId="1594B9B2" w14:textId="00E0E4D8" w:rsidR="00580E5D" w:rsidRPr="00120665" w:rsidRDefault="00580E5D" w:rsidP="00120665">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120665">
              <w:rPr>
                <w:sz w:val="22"/>
                <w:szCs w:val="22"/>
              </w:rPr>
              <w:t xml:space="preserve">AIC: </w:t>
            </w:r>
            <w:r w:rsidR="00BF3C9F" w:rsidRPr="00BF3C9F">
              <w:rPr>
                <w:sz w:val="22"/>
                <w:szCs w:val="22"/>
              </w:rPr>
              <w:t>291.742</w:t>
            </w:r>
          </w:p>
          <w:p w14:paraId="5ECDC437" w14:textId="77777777" w:rsidR="006E064A" w:rsidRPr="00120665" w:rsidRDefault="006E064A" w:rsidP="00120665">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3117" w:type="dxa"/>
          </w:tcPr>
          <w:p w14:paraId="71530130" w14:textId="54BE2258" w:rsidR="00580E5D" w:rsidRPr="00120665" w:rsidRDefault="00580E5D" w:rsidP="00120665">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120665">
              <w:rPr>
                <w:sz w:val="22"/>
                <w:szCs w:val="22"/>
              </w:rPr>
              <w:t xml:space="preserve">BIC: </w:t>
            </w:r>
            <w:r w:rsidR="00BF3C9F" w:rsidRPr="00BF3C9F">
              <w:rPr>
                <w:sz w:val="22"/>
                <w:szCs w:val="22"/>
              </w:rPr>
              <w:t>297.538</w:t>
            </w:r>
          </w:p>
          <w:p w14:paraId="16ED4ED2" w14:textId="77777777" w:rsidR="006E064A" w:rsidRPr="00120665" w:rsidRDefault="006E064A" w:rsidP="00120665">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p>
        </w:tc>
      </w:tr>
      <w:tr w:rsidR="006E064A" w14:paraId="056FD2AE" w14:textId="77777777" w:rsidTr="00580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CDAA61" w14:textId="21D8E2CE" w:rsidR="006E064A" w:rsidRPr="00120665" w:rsidRDefault="00580E5D" w:rsidP="00120665">
            <w:pPr>
              <w:spacing w:line="360" w:lineRule="auto"/>
              <w:rPr>
                <w:sz w:val="22"/>
                <w:szCs w:val="22"/>
              </w:rPr>
            </w:pPr>
            <w:proofErr w:type="spellStart"/>
            <w:r w:rsidRPr="00120665">
              <w:rPr>
                <w:sz w:val="22"/>
                <w:szCs w:val="22"/>
              </w:rPr>
              <w:t>VaR</w:t>
            </w:r>
            <w:proofErr w:type="spellEnd"/>
          </w:p>
        </w:tc>
        <w:tc>
          <w:tcPr>
            <w:tcW w:w="3117" w:type="dxa"/>
          </w:tcPr>
          <w:p w14:paraId="060E4ED1" w14:textId="508761B1" w:rsidR="006E064A" w:rsidRPr="00120665" w:rsidRDefault="00580E5D" w:rsidP="00120665">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120665">
              <w:rPr>
                <w:sz w:val="22"/>
                <w:szCs w:val="22"/>
              </w:rPr>
              <w:t xml:space="preserve">AIC: -144.141    </w:t>
            </w:r>
          </w:p>
        </w:tc>
        <w:tc>
          <w:tcPr>
            <w:tcW w:w="3117" w:type="dxa"/>
          </w:tcPr>
          <w:p w14:paraId="6DF259E7" w14:textId="33ED6DD6" w:rsidR="006E064A" w:rsidRPr="00120665" w:rsidRDefault="00580E5D" w:rsidP="00120665">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120665">
              <w:rPr>
                <w:sz w:val="22"/>
                <w:szCs w:val="22"/>
              </w:rPr>
              <w:t>BIC: -132.773</w:t>
            </w:r>
          </w:p>
        </w:tc>
      </w:tr>
      <w:tr w:rsidR="006E064A" w14:paraId="40DEFD3B" w14:textId="77777777" w:rsidTr="00580E5D">
        <w:tc>
          <w:tcPr>
            <w:cnfStyle w:val="001000000000" w:firstRow="0" w:lastRow="0" w:firstColumn="1" w:lastColumn="0" w:oddVBand="0" w:evenVBand="0" w:oddHBand="0" w:evenHBand="0" w:firstRowFirstColumn="0" w:firstRowLastColumn="0" w:lastRowFirstColumn="0" w:lastRowLastColumn="0"/>
            <w:tcW w:w="3116" w:type="dxa"/>
          </w:tcPr>
          <w:p w14:paraId="2DF215EF" w14:textId="77777777" w:rsidR="006E064A" w:rsidRDefault="006E064A" w:rsidP="006E064A"/>
        </w:tc>
        <w:tc>
          <w:tcPr>
            <w:tcW w:w="3117" w:type="dxa"/>
          </w:tcPr>
          <w:p w14:paraId="3B40388F" w14:textId="77777777" w:rsidR="006E064A" w:rsidRDefault="006E064A" w:rsidP="006E064A">
            <w:pPr>
              <w:cnfStyle w:val="000000000000" w:firstRow="0" w:lastRow="0" w:firstColumn="0" w:lastColumn="0" w:oddVBand="0" w:evenVBand="0" w:oddHBand="0" w:evenHBand="0" w:firstRowFirstColumn="0" w:firstRowLastColumn="0" w:lastRowFirstColumn="0" w:lastRowLastColumn="0"/>
            </w:pPr>
          </w:p>
        </w:tc>
        <w:tc>
          <w:tcPr>
            <w:tcW w:w="3117" w:type="dxa"/>
          </w:tcPr>
          <w:p w14:paraId="29C68B69" w14:textId="77777777" w:rsidR="006E064A" w:rsidRDefault="006E064A" w:rsidP="006E064A">
            <w:pPr>
              <w:cnfStyle w:val="000000000000" w:firstRow="0" w:lastRow="0" w:firstColumn="0" w:lastColumn="0" w:oddVBand="0" w:evenVBand="0" w:oddHBand="0" w:evenHBand="0" w:firstRowFirstColumn="0" w:firstRowLastColumn="0" w:lastRowFirstColumn="0" w:lastRowLastColumn="0"/>
            </w:pPr>
          </w:p>
        </w:tc>
      </w:tr>
    </w:tbl>
    <w:p w14:paraId="530D9AA1" w14:textId="67AAD858" w:rsidR="00EE1723" w:rsidRPr="005308E3" w:rsidRDefault="00EE1723" w:rsidP="00BF3C9F">
      <w:pPr>
        <w:spacing w:line="480" w:lineRule="auto"/>
        <w:ind w:firstLine="720"/>
      </w:pPr>
      <w:r>
        <w:t xml:space="preserve">Based solely on metrics, </w:t>
      </w:r>
      <w:proofErr w:type="spellStart"/>
      <w:r>
        <w:t>VaR</w:t>
      </w:r>
      <w:proofErr w:type="spellEnd"/>
      <w:r>
        <w:t xml:space="preserve"> seems to be our best model by far. However, these results can be misleading without looking at the actual data behind them. The predicted results from the </w:t>
      </w:r>
      <w:proofErr w:type="spellStart"/>
      <w:r>
        <w:t>VaR</w:t>
      </w:r>
      <w:proofErr w:type="spellEnd"/>
      <w:r>
        <w:t xml:space="preserve"> model for overall homelessness in 2023 in California is approximately -694 people, compared to the actual value in 2023 of </w:t>
      </w:r>
      <w:r w:rsidRPr="00CD1D65">
        <w:t>136</w:t>
      </w:r>
      <w:r>
        <w:t>,</w:t>
      </w:r>
      <w:r w:rsidRPr="00CD1D65">
        <w:t>531</w:t>
      </w:r>
      <w:r>
        <w:t xml:space="preserve">. It seems very inaccurate and indeed, the average MSE for this model was </w:t>
      </w:r>
      <w:r w:rsidRPr="00F24542">
        <w:t>88</w:t>
      </w:r>
      <w:r>
        <w:t>,</w:t>
      </w:r>
      <w:r w:rsidRPr="00F24542">
        <w:t>764</w:t>
      </w:r>
      <w:r>
        <w:t>,</w:t>
      </w:r>
      <w:r w:rsidRPr="00F24542">
        <w:t>310</w:t>
      </w:r>
      <w:r>
        <w:t>,</w:t>
      </w:r>
      <w:r w:rsidRPr="00F24542">
        <w:t>846.8214</w:t>
      </w:r>
      <w:r>
        <w:t xml:space="preserve"> with a MSE of </w:t>
      </w:r>
      <w:r w:rsidRPr="00F24542">
        <w:t>15</w:t>
      </w:r>
      <w:r>
        <w:t>,</w:t>
      </w:r>
      <w:r w:rsidRPr="00F24542">
        <w:t>907</w:t>
      </w:r>
      <w:r>
        <w:t>,</w:t>
      </w:r>
      <w:r w:rsidRPr="00F24542">
        <w:t>313</w:t>
      </w:r>
      <w:r>
        <w:t>,</w:t>
      </w:r>
      <w:r w:rsidRPr="00F24542">
        <w:t>067</w:t>
      </w:r>
      <w:r>
        <w:t xml:space="preserve"> for this row. However, with data from 2007 – 2023 only, I am not sure I have enough information to smooth predictions for trends in the data that create the kind of exponential curves shown above in the non-linear graphs of overall homelessness in California or Los Angeles. In the ARIMA</w:t>
      </w:r>
      <w:r w:rsidR="005428BD">
        <w:t>1</w:t>
      </w:r>
      <w:r>
        <w:t xml:space="preserve"> model, </w:t>
      </w:r>
      <w:r w:rsidR="00256A8D">
        <w:t xml:space="preserve">technically </w:t>
      </w:r>
      <w:r>
        <w:t xml:space="preserve">a </w:t>
      </w:r>
      <w:r w:rsidR="00256A8D" w:rsidRPr="00256A8D">
        <w:t>Seasonal Autoregressive Integrated Moving Average + exogenous variables</w:t>
      </w:r>
      <w:r w:rsidR="00256A8D">
        <w:t xml:space="preserve"> (</w:t>
      </w:r>
      <w:r>
        <w:t>SARIMAX</w:t>
      </w:r>
      <w:r w:rsidR="00256A8D">
        <w:t>)</w:t>
      </w:r>
      <w:r>
        <w:t xml:space="preserve"> model</w:t>
      </w:r>
      <w:r w:rsidR="00256A8D">
        <w:t>,</w:t>
      </w:r>
      <w:r>
        <w:t xml:space="preserve"> the predicted overall homelessness for California is </w:t>
      </w:r>
      <w:r w:rsidR="00BF3C9F" w:rsidRPr="00BF3C9F">
        <w:t>102</w:t>
      </w:r>
      <w:r w:rsidR="00BF3C9F">
        <w:t>,</w:t>
      </w:r>
      <w:r w:rsidR="00BF3C9F" w:rsidRPr="00BF3C9F">
        <w:t>067</w:t>
      </w:r>
      <w:r w:rsidR="00787494">
        <w:t>. This</w:t>
      </w:r>
      <w:r>
        <w:t xml:space="preserve"> value is much closer to our actual value. It seems like the ARIMA</w:t>
      </w:r>
      <w:r w:rsidR="005428BD">
        <w:t>1</w:t>
      </w:r>
      <w:r>
        <w:t xml:space="preserve"> model might be the best predictor for our data after all</w:t>
      </w:r>
      <w:r w:rsidR="00724E37">
        <w:t xml:space="preserve"> and it has the lowest MSE score</w:t>
      </w:r>
      <w:r>
        <w:t xml:space="preserve">. </w:t>
      </w:r>
      <w:r w:rsidR="006353D5">
        <w:t>Given new data from years of collecting the model can become more precise as to how the ‘seasonality’ of years effects the curvature of the data to create this trend</w:t>
      </w:r>
      <w:r w:rsidR="00CB5349">
        <w:t>, which is observed as an exponential curve in the data</w:t>
      </w:r>
      <w:r w:rsidR="006353D5">
        <w:t xml:space="preserve">.  </w:t>
      </w:r>
    </w:p>
    <w:p w14:paraId="112F800D" w14:textId="4BF205A7" w:rsidR="00EE1723" w:rsidRDefault="00EE1723" w:rsidP="006E064A"/>
    <w:p w14:paraId="0397C643" w14:textId="77777777" w:rsidR="00454092" w:rsidRDefault="00454092" w:rsidP="009738F9"/>
    <w:p w14:paraId="6E5C057F" w14:textId="5B4BD272" w:rsidR="00454092" w:rsidRDefault="00454092">
      <w:r>
        <w:br w:type="page"/>
      </w:r>
    </w:p>
    <w:p w14:paraId="4A11B744" w14:textId="5DC47CAA" w:rsidR="00454092" w:rsidRPr="009E4A4E" w:rsidRDefault="00454092" w:rsidP="009E4A4E">
      <w:pPr>
        <w:spacing w:line="360" w:lineRule="auto"/>
        <w:rPr>
          <w:i/>
          <w:iCs/>
        </w:rPr>
      </w:pPr>
      <w:r w:rsidRPr="009E4A4E">
        <w:rPr>
          <w:i/>
          <w:iCs/>
        </w:rPr>
        <w:lastRenderedPageBreak/>
        <w:t>Bibliography</w:t>
      </w:r>
    </w:p>
    <w:p w14:paraId="45C2A486" w14:textId="752905FB" w:rsidR="00454092" w:rsidRPr="009E4A4E" w:rsidRDefault="009E4A4E" w:rsidP="009E4A4E">
      <w:pPr>
        <w:pStyle w:val="ListParagraph"/>
        <w:numPr>
          <w:ilvl w:val="0"/>
          <w:numId w:val="2"/>
        </w:numPr>
        <w:spacing w:line="360" w:lineRule="auto"/>
      </w:pPr>
      <w:r w:rsidRPr="009E4A4E">
        <w:t>Goines, David Lance. “Anatole France.” Poster accessed at [</w:t>
      </w:r>
      <w:hyperlink r:id="rId13" w:history="1">
        <w:r w:rsidRPr="009E4A4E">
          <w:rPr>
            <w:rStyle w:val="Hyperlink"/>
          </w:rPr>
          <w:t>https://www.goines.net/Gallery/gal_xtra/007_anatole_france.gif</w:t>
        </w:r>
      </w:hyperlink>
      <w:r w:rsidRPr="009E4A4E">
        <w:t>] in September 2024</w:t>
      </w:r>
      <w:r>
        <w:t>.</w:t>
      </w:r>
    </w:p>
    <w:p w14:paraId="72B292DD" w14:textId="77777777" w:rsidR="009E4A4E" w:rsidRDefault="009E4A4E" w:rsidP="009E4A4E">
      <w:pPr>
        <w:pStyle w:val="ListParagraph"/>
        <w:numPr>
          <w:ilvl w:val="0"/>
          <w:numId w:val="2"/>
        </w:numPr>
        <w:spacing w:line="360" w:lineRule="auto"/>
      </w:pPr>
      <w:r w:rsidRPr="009E4A4E">
        <w:t xml:space="preserve">Ludden, Jennifer. 06/28/2024. “The Supreme Court says cities can punish people for sleeping in public places.” </w:t>
      </w:r>
      <w:r w:rsidRPr="009E4A4E">
        <w:rPr>
          <w:i/>
          <w:iCs/>
        </w:rPr>
        <w:t>Morning Edition.</w:t>
      </w:r>
      <w:r w:rsidRPr="009E4A4E">
        <w:t xml:space="preserve"> National Public Radio Broadcast, accessed at </w:t>
      </w:r>
      <w:r w:rsidRPr="009E4A4E">
        <w:rPr>
          <w:b/>
          <w:bCs/>
        </w:rPr>
        <w:t>[</w:t>
      </w:r>
      <w:r w:rsidRPr="009E4A4E">
        <w:t>https://www.npr.org/2024/06/28/nx-s1-4992010/supreme-court-homeless-punish-sleeping-encampments] in September 2024.</w:t>
      </w:r>
    </w:p>
    <w:p w14:paraId="604F690F" w14:textId="2D88C321" w:rsidR="009E4A4E" w:rsidRPr="009E4A4E" w:rsidRDefault="009E4A4E" w:rsidP="009E4A4E">
      <w:pPr>
        <w:pStyle w:val="ListParagraph"/>
        <w:numPr>
          <w:ilvl w:val="0"/>
          <w:numId w:val="2"/>
        </w:numPr>
        <w:spacing w:line="360" w:lineRule="auto"/>
      </w:pPr>
      <w:r w:rsidRPr="009E4A4E">
        <w:t>Wikipedia article: [</w:t>
      </w:r>
      <w:hyperlink r:id="rId14" w:history="1">
        <w:r w:rsidRPr="009E4A4E">
          <w:rPr>
            <w:rStyle w:val="Hyperlink"/>
          </w:rPr>
          <w:t>https://en.wikipedia.org/wiki/Affordable_Care_Act</w:t>
        </w:r>
      </w:hyperlink>
      <w:r w:rsidRPr="009E4A4E">
        <w:t>], accessed in 2024.</w:t>
      </w:r>
    </w:p>
    <w:p w14:paraId="57B6C0D9" w14:textId="77777777" w:rsidR="009E4A4E" w:rsidRPr="009E4A4E" w:rsidRDefault="009E4A4E" w:rsidP="009E4A4E">
      <w:pPr>
        <w:spacing w:line="360" w:lineRule="auto"/>
      </w:pPr>
    </w:p>
    <w:p w14:paraId="3B23B8EC" w14:textId="47B92C3C" w:rsidR="009E4A4E" w:rsidRPr="009E4A4E" w:rsidRDefault="009E4A4E" w:rsidP="009E4A4E">
      <w:pPr>
        <w:spacing w:line="360" w:lineRule="auto"/>
        <w:ind w:left="60"/>
        <w:rPr>
          <w:i/>
          <w:iCs/>
        </w:rPr>
      </w:pPr>
      <w:r w:rsidRPr="009E4A4E">
        <w:rPr>
          <w:i/>
          <w:iCs/>
        </w:rPr>
        <w:t>Databases</w:t>
      </w:r>
    </w:p>
    <w:p w14:paraId="379FF83C" w14:textId="0CCC5706" w:rsidR="009E4A4E" w:rsidRDefault="009E4A4E" w:rsidP="009E4A4E">
      <w:pPr>
        <w:pStyle w:val="FootnoteText"/>
        <w:numPr>
          <w:ilvl w:val="0"/>
          <w:numId w:val="2"/>
        </w:numPr>
        <w:spacing w:line="360" w:lineRule="auto"/>
        <w:rPr>
          <w:sz w:val="24"/>
          <w:szCs w:val="24"/>
        </w:rPr>
      </w:pPr>
      <w:r w:rsidRPr="009E4A4E">
        <w:rPr>
          <w:sz w:val="24"/>
          <w:szCs w:val="24"/>
        </w:rPr>
        <w:t>Centers for Medicare and Medicaid Services, Office of the Actuary, National Health Statistics Group. “Table 1: Total All Payers State Estimates by State of Residence (1991 - 2020) - Personal Health Care (Millions of Dollars).” [https://www.chcf.org/publication/2023-edition-california-health-care-spending/#related-links-and-downloads]</w:t>
      </w:r>
    </w:p>
    <w:p w14:paraId="72CF6139" w14:textId="77777777" w:rsidR="009E4A4E" w:rsidRPr="009E4A4E" w:rsidRDefault="009E4A4E" w:rsidP="009E4A4E">
      <w:pPr>
        <w:pStyle w:val="FootnoteText"/>
        <w:numPr>
          <w:ilvl w:val="0"/>
          <w:numId w:val="2"/>
        </w:numPr>
        <w:spacing w:line="360" w:lineRule="auto"/>
        <w:rPr>
          <w:sz w:val="24"/>
          <w:szCs w:val="24"/>
        </w:rPr>
      </w:pPr>
      <w:r w:rsidRPr="009E4A4E">
        <w:rPr>
          <w:sz w:val="24"/>
          <w:szCs w:val="24"/>
        </w:rPr>
        <w:t>California Government dataset, https://www.dir.ca.gov/OPRL/CPI/CPICalculator/CpiCalculator.aspx, accessed 2024.</w:t>
      </w:r>
    </w:p>
    <w:p w14:paraId="4181F7BE" w14:textId="77777777" w:rsidR="009E4A4E" w:rsidRPr="009E4A4E" w:rsidRDefault="009E4A4E" w:rsidP="009E4A4E">
      <w:pPr>
        <w:pStyle w:val="FootnoteText"/>
        <w:numPr>
          <w:ilvl w:val="0"/>
          <w:numId w:val="2"/>
        </w:numPr>
        <w:spacing w:line="360" w:lineRule="auto"/>
        <w:rPr>
          <w:sz w:val="24"/>
          <w:szCs w:val="24"/>
        </w:rPr>
      </w:pPr>
      <w:r w:rsidRPr="009E4A4E">
        <w:rPr>
          <w:sz w:val="24"/>
          <w:szCs w:val="24"/>
        </w:rPr>
        <w:t>Department of Housing and Urban Development [https://www.hudexchange.info/resource/3031/pit-and-hic-data-since-2007/], accessed 2024.</w:t>
      </w:r>
    </w:p>
    <w:p w14:paraId="0A1C17F2" w14:textId="780606BE" w:rsidR="009E4A4E" w:rsidRPr="009E4A4E" w:rsidRDefault="009E4A4E" w:rsidP="009E4A4E">
      <w:pPr>
        <w:pStyle w:val="FootnoteText"/>
        <w:numPr>
          <w:ilvl w:val="0"/>
          <w:numId w:val="2"/>
        </w:numPr>
        <w:spacing w:line="360" w:lineRule="auto"/>
        <w:rPr>
          <w:sz w:val="24"/>
          <w:szCs w:val="24"/>
        </w:rPr>
      </w:pPr>
      <w:r w:rsidRPr="009E4A4E">
        <w:rPr>
          <w:sz w:val="24"/>
          <w:szCs w:val="24"/>
        </w:rPr>
        <w:t>U.S. Bureau of Labor Statistics, Unemployment Rate in California [CAUR], retrieved from FRED, Federal Reserve Bank of St. Louis; https://fred.stlouisfed.org/series/CAUR, June 2, 2024.</w:t>
      </w:r>
    </w:p>
    <w:p w14:paraId="55E8FCE1" w14:textId="6666972A" w:rsidR="009E4A4E" w:rsidRDefault="009E4A4E" w:rsidP="009E4A4E">
      <w:pPr>
        <w:pStyle w:val="FootnoteText"/>
        <w:numPr>
          <w:ilvl w:val="0"/>
          <w:numId w:val="2"/>
        </w:numPr>
        <w:spacing w:line="360" w:lineRule="auto"/>
        <w:rPr>
          <w:sz w:val="24"/>
          <w:szCs w:val="24"/>
        </w:rPr>
      </w:pPr>
      <w:r w:rsidRPr="009E4A4E">
        <w:rPr>
          <w:sz w:val="24"/>
          <w:szCs w:val="24"/>
        </w:rPr>
        <w:t>U.S. Federal Housing Finance Agency, All-Transactions House Price Index for California [CASTHPI]. Retrieved from FRED, Federal Reserve Bank of St. Louis; https://fred.stlouisfed.org/series/CASTHPI, June 2, 2024.</w:t>
      </w:r>
    </w:p>
    <w:p w14:paraId="474B7003" w14:textId="40CCE6A4" w:rsidR="009E4A4E" w:rsidRPr="009E4A4E" w:rsidRDefault="009E4A4E" w:rsidP="009E4A4E">
      <w:pPr>
        <w:pStyle w:val="FootnoteText"/>
        <w:numPr>
          <w:ilvl w:val="0"/>
          <w:numId w:val="2"/>
        </w:numPr>
        <w:spacing w:line="360" w:lineRule="auto"/>
        <w:rPr>
          <w:sz w:val="24"/>
          <w:szCs w:val="24"/>
        </w:rPr>
      </w:pPr>
      <w:r w:rsidRPr="009E4A4E">
        <w:rPr>
          <w:sz w:val="24"/>
          <w:szCs w:val="24"/>
        </w:rPr>
        <w:t>The World Bank, World Development Indicators (20</w:t>
      </w:r>
      <w:r w:rsidR="00991675">
        <w:rPr>
          <w:sz w:val="24"/>
          <w:szCs w:val="24"/>
        </w:rPr>
        <w:t>24</w:t>
      </w:r>
      <w:r w:rsidRPr="009E4A4E">
        <w:rPr>
          <w:sz w:val="24"/>
          <w:szCs w:val="24"/>
        </w:rPr>
        <w:t>). </w:t>
      </w:r>
      <w:r w:rsidR="00991675">
        <w:rPr>
          <w:i/>
          <w:iCs/>
          <w:sz w:val="24"/>
          <w:szCs w:val="24"/>
        </w:rPr>
        <w:t>US Health Indicators;</w:t>
      </w:r>
      <w:r w:rsidRPr="009E4A4E">
        <w:rPr>
          <w:i/>
          <w:iCs/>
          <w:sz w:val="24"/>
          <w:szCs w:val="24"/>
        </w:rPr>
        <w:t xml:space="preserve"> </w:t>
      </w:r>
      <w:r w:rsidR="00991675">
        <w:rPr>
          <w:i/>
          <w:iCs/>
          <w:sz w:val="24"/>
          <w:szCs w:val="24"/>
        </w:rPr>
        <w:t>Poverty and health indicators</w:t>
      </w:r>
      <w:r w:rsidR="00991675">
        <w:rPr>
          <w:sz w:val="24"/>
          <w:szCs w:val="24"/>
        </w:rPr>
        <w:t>.</w:t>
      </w:r>
      <w:r w:rsidRPr="009E4A4E">
        <w:rPr>
          <w:sz w:val="24"/>
          <w:szCs w:val="24"/>
        </w:rPr>
        <w:t xml:space="preserve"> Retrieved from </w:t>
      </w:r>
      <w:r w:rsidR="00991675">
        <w:rPr>
          <w:sz w:val="24"/>
          <w:szCs w:val="24"/>
        </w:rPr>
        <w:t>[</w:t>
      </w:r>
      <w:r w:rsidR="00991675" w:rsidRPr="00991675">
        <w:rPr>
          <w:sz w:val="24"/>
          <w:szCs w:val="24"/>
        </w:rPr>
        <w:t>https://databank.worldbank.org/source/world-development-indicators</w:t>
      </w:r>
      <w:r w:rsidR="00991675">
        <w:rPr>
          <w:sz w:val="24"/>
          <w:szCs w:val="24"/>
        </w:rPr>
        <w:t>] in 2024.</w:t>
      </w:r>
    </w:p>
    <w:p w14:paraId="384405AC" w14:textId="77777777" w:rsidR="009E4A4E" w:rsidRPr="009E4A4E" w:rsidRDefault="009E4A4E" w:rsidP="009E4A4E">
      <w:pPr>
        <w:spacing w:line="360" w:lineRule="auto"/>
      </w:pPr>
    </w:p>
    <w:sectPr w:rsidR="009E4A4E" w:rsidRPr="009E4A4E" w:rsidSect="006126BF">
      <w:footerReference w:type="even"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F6D667" w14:textId="77777777" w:rsidR="00CA14AD" w:rsidRDefault="00CA14AD" w:rsidP="006126BF">
      <w:pPr>
        <w:spacing w:after="0" w:line="240" w:lineRule="auto"/>
      </w:pPr>
      <w:r>
        <w:separator/>
      </w:r>
    </w:p>
  </w:endnote>
  <w:endnote w:type="continuationSeparator" w:id="0">
    <w:p w14:paraId="2ECB0073" w14:textId="77777777" w:rsidR="00CA14AD" w:rsidRDefault="00CA14AD" w:rsidP="00612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54355589"/>
      <w:docPartObj>
        <w:docPartGallery w:val="Page Numbers (Bottom of Page)"/>
        <w:docPartUnique/>
      </w:docPartObj>
    </w:sdtPr>
    <w:sdtContent>
      <w:p w14:paraId="2CD236C5" w14:textId="6DFE8D8D" w:rsidR="006126BF" w:rsidRDefault="006126BF" w:rsidP="00F041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48397C" w14:textId="77777777" w:rsidR="006126BF" w:rsidRDefault="006126BF" w:rsidP="006126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69389418"/>
      <w:docPartObj>
        <w:docPartGallery w:val="Page Numbers (Bottom of Page)"/>
        <w:docPartUnique/>
      </w:docPartObj>
    </w:sdtPr>
    <w:sdtContent>
      <w:p w14:paraId="47068493" w14:textId="375D4A08" w:rsidR="006126BF" w:rsidRDefault="006126BF" w:rsidP="00F0410A">
        <w:pPr>
          <w:pStyle w:val="Footer"/>
          <w:framePr w:wrap="none" w:vAnchor="text" w:hAnchor="margin" w:xAlign="right" w:y="1"/>
          <w:rPr>
            <w:rStyle w:val="PageNumber"/>
          </w:rPr>
        </w:pPr>
        <w:r w:rsidRPr="006126BF">
          <w:rPr>
            <w:rStyle w:val="PageNumber"/>
            <w:sz w:val="20"/>
            <w:szCs w:val="20"/>
          </w:rPr>
          <w:fldChar w:fldCharType="begin"/>
        </w:r>
        <w:r w:rsidRPr="006126BF">
          <w:rPr>
            <w:rStyle w:val="PageNumber"/>
            <w:sz w:val="20"/>
            <w:szCs w:val="20"/>
          </w:rPr>
          <w:instrText xml:space="preserve"> PAGE </w:instrText>
        </w:r>
        <w:r w:rsidRPr="006126BF">
          <w:rPr>
            <w:rStyle w:val="PageNumber"/>
            <w:sz w:val="20"/>
            <w:szCs w:val="20"/>
          </w:rPr>
          <w:fldChar w:fldCharType="separate"/>
        </w:r>
        <w:r w:rsidRPr="006126BF">
          <w:rPr>
            <w:rStyle w:val="PageNumber"/>
            <w:noProof/>
            <w:sz w:val="20"/>
            <w:szCs w:val="20"/>
          </w:rPr>
          <w:t>1</w:t>
        </w:r>
        <w:r w:rsidRPr="006126BF">
          <w:rPr>
            <w:rStyle w:val="PageNumber"/>
            <w:sz w:val="20"/>
            <w:szCs w:val="20"/>
          </w:rPr>
          <w:fldChar w:fldCharType="end"/>
        </w:r>
      </w:p>
    </w:sdtContent>
  </w:sdt>
  <w:p w14:paraId="3232196F" w14:textId="77777777" w:rsidR="006126BF" w:rsidRDefault="006126BF" w:rsidP="006126B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D9CC57" w14:textId="77777777" w:rsidR="00CA14AD" w:rsidRDefault="00CA14AD" w:rsidP="006126BF">
      <w:pPr>
        <w:spacing w:after="0" w:line="240" w:lineRule="auto"/>
      </w:pPr>
      <w:r>
        <w:separator/>
      </w:r>
    </w:p>
  </w:footnote>
  <w:footnote w:type="continuationSeparator" w:id="0">
    <w:p w14:paraId="31CE7367" w14:textId="77777777" w:rsidR="00CA14AD" w:rsidRDefault="00CA14AD" w:rsidP="006126BF">
      <w:pPr>
        <w:spacing w:after="0" w:line="240" w:lineRule="auto"/>
      </w:pPr>
      <w:r>
        <w:continuationSeparator/>
      </w:r>
    </w:p>
  </w:footnote>
  <w:footnote w:id="1">
    <w:p w14:paraId="2A6C1E74" w14:textId="35C5CF70" w:rsidR="00FD384F" w:rsidRPr="00FD384F" w:rsidRDefault="00FD384F">
      <w:pPr>
        <w:pStyle w:val="FootnoteText"/>
        <w:rPr>
          <w:b/>
          <w:bCs/>
        </w:rPr>
      </w:pPr>
      <w:r>
        <w:rPr>
          <w:rStyle w:val="FootnoteReference"/>
        </w:rPr>
        <w:footnoteRef/>
      </w:r>
      <w:r>
        <w:t xml:space="preserve"> Ludden, Jennifer. </w:t>
      </w:r>
      <w:r w:rsidR="00D92197">
        <w:t>06/28/</w:t>
      </w:r>
      <w:r>
        <w:t>2024. “</w:t>
      </w:r>
      <w:r w:rsidRPr="00FD384F">
        <w:t>The Supreme Court says cities can punish people for sleeping in public places.”</w:t>
      </w:r>
      <w:r>
        <w:t xml:space="preserve"> </w:t>
      </w:r>
      <w:r>
        <w:rPr>
          <w:i/>
          <w:iCs/>
        </w:rPr>
        <w:t>Morning Edition.</w:t>
      </w:r>
      <w:r>
        <w:t xml:space="preserve"> National Public Radio Broadcast, accessed at </w:t>
      </w:r>
      <w:r>
        <w:rPr>
          <w:b/>
          <w:bCs/>
        </w:rPr>
        <w:t>[</w:t>
      </w:r>
      <w:r w:rsidRPr="00FD384F">
        <w:t>https://www.npr.org/2024/06/28/nx-s1-4992010/supreme-court-homeless-punish-sleeping-encampments</w:t>
      </w:r>
      <w:r>
        <w:t>] in September 2024.</w:t>
      </w:r>
    </w:p>
  </w:footnote>
  <w:footnote w:id="2">
    <w:p w14:paraId="0816077D" w14:textId="6833B6D0" w:rsidR="002D02FE" w:rsidRDefault="002D02FE">
      <w:pPr>
        <w:pStyle w:val="FootnoteText"/>
      </w:pPr>
      <w:r>
        <w:rPr>
          <w:rStyle w:val="FootnoteReference"/>
        </w:rPr>
        <w:footnoteRef/>
      </w:r>
      <w:r>
        <w:t xml:space="preserve"> </w:t>
      </w:r>
      <w:r w:rsidRPr="009241E4">
        <w:t>Centers for Medicare and Medicaid Services, Office of the Actuary, National Health Statistics Group.</w:t>
      </w:r>
      <w:r>
        <w:t xml:space="preserve"> “</w:t>
      </w:r>
      <w:r w:rsidRPr="009241E4">
        <w:t>Table 1: Total All Payers State Estimates by State of Residence (1991 - 2020) - Personal Health Care (Millions of Dollars)</w:t>
      </w:r>
      <w:r>
        <w:t>.” [</w:t>
      </w:r>
      <w:r w:rsidRPr="002D02FE">
        <w:t>https://www.chcf.org/publication/2023-edition-california-health-care-spending/#related-links-and-downloads</w:t>
      </w:r>
      <w:r>
        <w:t>]</w:t>
      </w:r>
    </w:p>
  </w:footnote>
  <w:footnote w:id="3">
    <w:p w14:paraId="15CA2896" w14:textId="210E3B42" w:rsidR="002D02FE" w:rsidRDefault="002D02FE">
      <w:pPr>
        <w:pStyle w:val="FootnoteText"/>
      </w:pPr>
      <w:r>
        <w:rPr>
          <w:rStyle w:val="FootnoteReference"/>
        </w:rPr>
        <w:footnoteRef/>
      </w:r>
      <w:r>
        <w:t xml:space="preserve"> </w:t>
      </w:r>
      <w:r w:rsidRPr="000571A8">
        <w:t>U.S. Federal Housing Finance Agency, All-Transactions House Price Index for California [CASTHPI]</w:t>
      </w:r>
      <w:r>
        <w:t>. R</w:t>
      </w:r>
      <w:r w:rsidRPr="000571A8">
        <w:t>etrieved from FRED, Federal Reserve Bank of St. Louis; https://fred.stlouisfed.org/series/CASTHPI, </w:t>
      </w:r>
      <w:r>
        <w:t>June</w:t>
      </w:r>
      <w:r w:rsidRPr="000571A8">
        <w:t xml:space="preserve"> 2, 2024.</w:t>
      </w:r>
    </w:p>
  </w:footnote>
  <w:footnote w:id="4">
    <w:p w14:paraId="13BDA7A1" w14:textId="384FF31C" w:rsidR="005C3177" w:rsidRDefault="005C3177">
      <w:pPr>
        <w:pStyle w:val="FootnoteText"/>
      </w:pPr>
      <w:r>
        <w:rPr>
          <w:rStyle w:val="FootnoteReference"/>
        </w:rPr>
        <w:footnoteRef/>
      </w:r>
      <w:r>
        <w:t xml:space="preserve"> California Government dataset, </w:t>
      </w:r>
      <w:r w:rsidRPr="005C3177">
        <w:t>https://www.dir.ca.gov/OPRL/CPI/CPICalculator/CpiCalculator.aspx</w:t>
      </w:r>
      <w:r>
        <w:t>, accessed 2024.</w:t>
      </w:r>
    </w:p>
  </w:footnote>
  <w:footnote w:id="5">
    <w:p w14:paraId="2961E4F0" w14:textId="77C537EE" w:rsidR="005C3177" w:rsidRDefault="005C3177">
      <w:pPr>
        <w:pStyle w:val="FootnoteText"/>
      </w:pPr>
      <w:r>
        <w:rPr>
          <w:rStyle w:val="FootnoteReference"/>
        </w:rPr>
        <w:footnoteRef/>
      </w:r>
      <w:r>
        <w:t xml:space="preserve"> </w:t>
      </w:r>
      <w:r w:rsidRPr="005C3177">
        <w:t>U.S. Bureau of Labor Statistics, Unemployment Rate in California [CAUR], retrieved from FRED, Federal Reserve Bank of St. Louis; https://fred.stlouisfed.org/series/CAUR, </w:t>
      </w:r>
      <w:r>
        <w:t>June</w:t>
      </w:r>
      <w:r w:rsidRPr="005C3177">
        <w:t xml:space="preserve"> 2, 2024.</w:t>
      </w:r>
    </w:p>
  </w:footnote>
  <w:footnote w:id="6">
    <w:p w14:paraId="5159A293" w14:textId="0AEAC9EB" w:rsidR="005C3177" w:rsidRDefault="005C3177">
      <w:pPr>
        <w:pStyle w:val="FootnoteText"/>
      </w:pPr>
      <w:r>
        <w:rPr>
          <w:rStyle w:val="FootnoteReference"/>
        </w:rPr>
        <w:footnoteRef/>
      </w:r>
      <w:r>
        <w:t xml:space="preserve"> </w:t>
      </w:r>
      <w:r w:rsidR="001A7121">
        <w:t>[</w:t>
      </w:r>
      <w:hyperlink r:id="rId1" w:history="1">
        <w:r w:rsidR="001A7121" w:rsidRPr="00F0410A">
          <w:rPr>
            <w:rStyle w:val="Hyperlink"/>
          </w:rPr>
          <w:t>https://en.wikipedia.org/wiki/Affordable_Care_Act</w:t>
        </w:r>
      </w:hyperlink>
      <w:r w:rsidR="005A5124">
        <w:t>]</w:t>
      </w:r>
      <w:r>
        <w:t>, accessed in 2024.</w:t>
      </w:r>
    </w:p>
  </w:footnote>
  <w:footnote w:id="7">
    <w:p w14:paraId="0C3F8F10" w14:textId="2E5EA4C2" w:rsidR="005A5124" w:rsidRDefault="005A5124">
      <w:pPr>
        <w:pStyle w:val="FootnoteText"/>
      </w:pPr>
      <w:r>
        <w:rPr>
          <w:rStyle w:val="FootnoteReference"/>
        </w:rPr>
        <w:footnoteRef/>
      </w:r>
      <w:r>
        <w:t xml:space="preserve"> [</w:t>
      </w:r>
      <w:r w:rsidRPr="00A2642E">
        <w:t>https://www.hudexchange.info/resource/3031/pit-and-hic-data-since-2007/</w:t>
      </w:r>
      <w:r>
        <w:t>], accessed 2024.</w:t>
      </w:r>
    </w:p>
  </w:footnote>
  <w:footnote w:id="8">
    <w:p w14:paraId="050701F6" w14:textId="73BBC25E" w:rsidR="005A5124" w:rsidRDefault="005A5124" w:rsidP="005A5124">
      <w:pPr>
        <w:pStyle w:val="FootnoteText"/>
      </w:pPr>
      <w:r>
        <w:rPr>
          <w:rStyle w:val="FootnoteReference"/>
        </w:rPr>
        <w:footnoteRef/>
      </w:r>
      <w:r>
        <w:t xml:space="preserve"> [</w:t>
      </w:r>
      <w:r w:rsidRPr="00A2642E">
        <w:t>https://www.hudexchange.info/resource/3031/pit-and-hic-data-since-2007/</w:t>
      </w:r>
      <w:r>
        <w:t>], accessed 2024.</w:t>
      </w:r>
    </w:p>
    <w:p w14:paraId="7D317522" w14:textId="78E2F003" w:rsidR="005A5124" w:rsidRDefault="005A5124">
      <w:pPr>
        <w:pStyle w:val="FootnoteText"/>
      </w:pPr>
    </w:p>
  </w:footnote>
  <w:footnote w:id="9">
    <w:p w14:paraId="069A6830" w14:textId="5C1BFC65" w:rsidR="00120665" w:rsidRDefault="00120665" w:rsidP="00120665">
      <w:pPr>
        <w:pStyle w:val="FootnoteText"/>
        <w:numPr>
          <w:ilvl w:val="0"/>
          <w:numId w:val="2"/>
        </w:numPr>
      </w:pPr>
      <w:r>
        <w:rPr>
          <w:rStyle w:val="FootnoteReference"/>
        </w:rPr>
        <w:footnoteRef/>
      </w:r>
      <w:r>
        <w:t xml:space="preserve"> </w:t>
      </w:r>
      <w:r w:rsidRPr="00120665">
        <w:t>The World Bank, World Development Indicators (2024). </w:t>
      </w:r>
      <w:r w:rsidRPr="00120665">
        <w:rPr>
          <w:i/>
          <w:iCs/>
        </w:rPr>
        <w:t>US Health Indicators; Poverty and health indicators</w:t>
      </w:r>
      <w:r w:rsidRPr="00120665">
        <w:t>. Retrieved from [https://databank.worldbank.org/source/world-development-indicators] in 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96F24"/>
    <w:multiLevelType w:val="hybridMultilevel"/>
    <w:tmpl w:val="41A83B04"/>
    <w:lvl w:ilvl="0" w:tplc="F8F6AF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203BE0"/>
    <w:multiLevelType w:val="hybridMultilevel"/>
    <w:tmpl w:val="32E02FB2"/>
    <w:lvl w:ilvl="0" w:tplc="7FD6A19A">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1730566406">
    <w:abstractNumId w:val="0"/>
  </w:num>
  <w:num w:numId="2" w16cid:durableId="1814369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8F9"/>
    <w:rsid w:val="00033591"/>
    <w:rsid w:val="00044B68"/>
    <w:rsid w:val="000571A8"/>
    <w:rsid w:val="00083262"/>
    <w:rsid w:val="000D2397"/>
    <w:rsid w:val="00120665"/>
    <w:rsid w:val="001A7121"/>
    <w:rsid w:val="001F1C77"/>
    <w:rsid w:val="001F78FC"/>
    <w:rsid w:val="00256A8D"/>
    <w:rsid w:val="00277A5D"/>
    <w:rsid w:val="00280A7A"/>
    <w:rsid w:val="002D02FE"/>
    <w:rsid w:val="00370CA8"/>
    <w:rsid w:val="003915AB"/>
    <w:rsid w:val="003A0A8D"/>
    <w:rsid w:val="003E1306"/>
    <w:rsid w:val="00421B0A"/>
    <w:rsid w:val="00454092"/>
    <w:rsid w:val="00467079"/>
    <w:rsid w:val="00486746"/>
    <w:rsid w:val="005037BB"/>
    <w:rsid w:val="005308E3"/>
    <w:rsid w:val="005428BD"/>
    <w:rsid w:val="00580E5D"/>
    <w:rsid w:val="005A46B3"/>
    <w:rsid w:val="005A5124"/>
    <w:rsid w:val="005C3177"/>
    <w:rsid w:val="005D0960"/>
    <w:rsid w:val="006126BF"/>
    <w:rsid w:val="006353D5"/>
    <w:rsid w:val="0063781C"/>
    <w:rsid w:val="00680948"/>
    <w:rsid w:val="006E064A"/>
    <w:rsid w:val="00717868"/>
    <w:rsid w:val="00724E37"/>
    <w:rsid w:val="0076527D"/>
    <w:rsid w:val="00787494"/>
    <w:rsid w:val="007B0E4F"/>
    <w:rsid w:val="008079C2"/>
    <w:rsid w:val="00844C14"/>
    <w:rsid w:val="00897832"/>
    <w:rsid w:val="009241E4"/>
    <w:rsid w:val="009738F9"/>
    <w:rsid w:val="00991675"/>
    <w:rsid w:val="009E4A4E"/>
    <w:rsid w:val="00A2642E"/>
    <w:rsid w:val="00B00335"/>
    <w:rsid w:val="00B5114D"/>
    <w:rsid w:val="00B85BAC"/>
    <w:rsid w:val="00B85D98"/>
    <w:rsid w:val="00BF3C9F"/>
    <w:rsid w:val="00C949F6"/>
    <w:rsid w:val="00CA14AD"/>
    <w:rsid w:val="00CB5349"/>
    <w:rsid w:val="00CD1D65"/>
    <w:rsid w:val="00D81966"/>
    <w:rsid w:val="00D82E8C"/>
    <w:rsid w:val="00D87C92"/>
    <w:rsid w:val="00D92197"/>
    <w:rsid w:val="00D92799"/>
    <w:rsid w:val="00D94D23"/>
    <w:rsid w:val="00E86E3A"/>
    <w:rsid w:val="00EB5114"/>
    <w:rsid w:val="00EE1723"/>
    <w:rsid w:val="00F24542"/>
    <w:rsid w:val="00F35E09"/>
    <w:rsid w:val="00FD384F"/>
    <w:rsid w:val="00FD7794"/>
    <w:rsid w:val="00FF40BD"/>
    <w:rsid w:val="00FF5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FC1C9F"/>
  <w15:chartTrackingRefBased/>
  <w15:docId w15:val="{318474CE-F358-674A-BB27-AEB19C95B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8F9"/>
    <w:rPr>
      <w:rFonts w:ascii="Times New Roman" w:hAnsi="Times New Roman" w:cs="Times New Roman"/>
    </w:rPr>
  </w:style>
  <w:style w:type="paragraph" w:styleId="Heading1">
    <w:name w:val="heading 1"/>
    <w:basedOn w:val="Normal"/>
    <w:next w:val="Normal"/>
    <w:link w:val="Heading1Char"/>
    <w:uiPriority w:val="9"/>
    <w:qFormat/>
    <w:rsid w:val="009738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38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8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8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8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8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8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8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8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8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38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8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8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8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8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8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8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8F9"/>
    <w:rPr>
      <w:rFonts w:eastAsiaTheme="majorEastAsia" w:cstheme="majorBidi"/>
      <w:color w:val="272727" w:themeColor="text1" w:themeTint="D8"/>
    </w:rPr>
  </w:style>
  <w:style w:type="paragraph" w:styleId="Title">
    <w:name w:val="Title"/>
    <w:basedOn w:val="Normal"/>
    <w:next w:val="Normal"/>
    <w:link w:val="TitleChar"/>
    <w:uiPriority w:val="10"/>
    <w:qFormat/>
    <w:rsid w:val="009738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8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8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8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8F9"/>
    <w:pPr>
      <w:spacing w:before="160"/>
      <w:jc w:val="center"/>
    </w:pPr>
    <w:rPr>
      <w:i/>
      <w:iCs/>
      <w:color w:val="404040" w:themeColor="text1" w:themeTint="BF"/>
    </w:rPr>
  </w:style>
  <w:style w:type="character" w:customStyle="1" w:styleId="QuoteChar">
    <w:name w:val="Quote Char"/>
    <w:basedOn w:val="DefaultParagraphFont"/>
    <w:link w:val="Quote"/>
    <w:uiPriority w:val="29"/>
    <w:rsid w:val="009738F9"/>
    <w:rPr>
      <w:i/>
      <w:iCs/>
      <w:color w:val="404040" w:themeColor="text1" w:themeTint="BF"/>
    </w:rPr>
  </w:style>
  <w:style w:type="paragraph" w:styleId="ListParagraph">
    <w:name w:val="List Paragraph"/>
    <w:basedOn w:val="Normal"/>
    <w:uiPriority w:val="34"/>
    <w:qFormat/>
    <w:rsid w:val="009738F9"/>
    <w:pPr>
      <w:ind w:left="720"/>
      <w:contextualSpacing/>
    </w:pPr>
  </w:style>
  <w:style w:type="character" w:styleId="IntenseEmphasis">
    <w:name w:val="Intense Emphasis"/>
    <w:basedOn w:val="DefaultParagraphFont"/>
    <w:uiPriority w:val="21"/>
    <w:qFormat/>
    <w:rsid w:val="009738F9"/>
    <w:rPr>
      <w:i/>
      <w:iCs/>
      <w:color w:val="0F4761" w:themeColor="accent1" w:themeShade="BF"/>
    </w:rPr>
  </w:style>
  <w:style w:type="paragraph" w:styleId="IntenseQuote">
    <w:name w:val="Intense Quote"/>
    <w:basedOn w:val="Normal"/>
    <w:next w:val="Normal"/>
    <w:link w:val="IntenseQuoteChar"/>
    <w:uiPriority w:val="30"/>
    <w:qFormat/>
    <w:rsid w:val="009738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8F9"/>
    <w:rPr>
      <w:i/>
      <w:iCs/>
      <w:color w:val="0F4761" w:themeColor="accent1" w:themeShade="BF"/>
    </w:rPr>
  </w:style>
  <w:style w:type="character" w:styleId="IntenseReference">
    <w:name w:val="Intense Reference"/>
    <w:basedOn w:val="DefaultParagraphFont"/>
    <w:uiPriority w:val="32"/>
    <w:qFormat/>
    <w:rsid w:val="009738F9"/>
    <w:rPr>
      <w:b/>
      <w:bCs/>
      <w:smallCaps/>
      <w:color w:val="0F4761" w:themeColor="accent1" w:themeShade="BF"/>
      <w:spacing w:val="5"/>
    </w:rPr>
  </w:style>
  <w:style w:type="paragraph" w:styleId="Footer">
    <w:name w:val="footer"/>
    <w:basedOn w:val="Normal"/>
    <w:link w:val="FooterChar"/>
    <w:uiPriority w:val="99"/>
    <w:unhideWhenUsed/>
    <w:rsid w:val="00612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6BF"/>
    <w:rPr>
      <w:rFonts w:ascii="Times New Roman" w:hAnsi="Times New Roman" w:cs="Times New Roman"/>
    </w:rPr>
  </w:style>
  <w:style w:type="character" w:styleId="PageNumber">
    <w:name w:val="page number"/>
    <w:basedOn w:val="DefaultParagraphFont"/>
    <w:uiPriority w:val="99"/>
    <w:semiHidden/>
    <w:unhideWhenUsed/>
    <w:rsid w:val="006126BF"/>
  </w:style>
  <w:style w:type="paragraph" w:styleId="Header">
    <w:name w:val="header"/>
    <w:basedOn w:val="Normal"/>
    <w:link w:val="HeaderChar"/>
    <w:uiPriority w:val="99"/>
    <w:unhideWhenUsed/>
    <w:rsid w:val="00612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6BF"/>
    <w:rPr>
      <w:rFonts w:ascii="Times New Roman" w:hAnsi="Times New Roman" w:cs="Times New Roman"/>
    </w:rPr>
  </w:style>
  <w:style w:type="character" w:styleId="Hyperlink">
    <w:name w:val="Hyperlink"/>
    <w:basedOn w:val="DefaultParagraphFont"/>
    <w:uiPriority w:val="99"/>
    <w:unhideWhenUsed/>
    <w:rsid w:val="00454092"/>
    <w:rPr>
      <w:color w:val="467886" w:themeColor="hyperlink"/>
      <w:u w:val="single"/>
    </w:rPr>
  </w:style>
  <w:style w:type="character" w:styleId="UnresolvedMention">
    <w:name w:val="Unresolved Mention"/>
    <w:basedOn w:val="DefaultParagraphFont"/>
    <w:uiPriority w:val="99"/>
    <w:semiHidden/>
    <w:unhideWhenUsed/>
    <w:rsid w:val="00454092"/>
    <w:rPr>
      <w:color w:val="605E5C"/>
      <w:shd w:val="clear" w:color="auto" w:fill="E1DFDD"/>
    </w:rPr>
  </w:style>
  <w:style w:type="character" w:customStyle="1" w:styleId="mord">
    <w:name w:val="mord"/>
    <w:basedOn w:val="DefaultParagraphFont"/>
    <w:rsid w:val="001F1C77"/>
  </w:style>
  <w:style w:type="character" w:customStyle="1" w:styleId="mrel">
    <w:name w:val="mrel"/>
    <w:basedOn w:val="DefaultParagraphFont"/>
    <w:rsid w:val="001F1C77"/>
  </w:style>
  <w:style w:type="character" w:customStyle="1" w:styleId="mbin">
    <w:name w:val="mbin"/>
    <w:basedOn w:val="DefaultParagraphFont"/>
    <w:rsid w:val="001F1C77"/>
  </w:style>
  <w:style w:type="character" w:customStyle="1" w:styleId="vlist-s">
    <w:name w:val="vlist-s"/>
    <w:basedOn w:val="DefaultParagraphFont"/>
    <w:rsid w:val="001F1C77"/>
  </w:style>
  <w:style w:type="character" w:customStyle="1" w:styleId="mpunct">
    <w:name w:val="mpunct"/>
    <w:basedOn w:val="DefaultParagraphFont"/>
    <w:rsid w:val="001F1C77"/>
  </w:style>
  <w:style w:type="paragraph" w:styleId="FootnoteText">
    <w:name w:val="footnote text"/>
    <w:basedOn w:val="Normal"/>
    <w:link w:val="FootnoteTextChar"/>
    <w:uiPriority w:val="99"/>
    <w:semiHidden/>
    <w:unhideWhenUsed/>
    <w:rsid w:val="002D02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02FE"/>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2D02FE"/>
    <w:rPr>
      <w:vertAlign w:val="superscript"/>
    </w:rPr>
  </w:style>
  <w:style w:type="character" w:styleId="FollowedHyperlink">
    <w:name w:val="FollowedHyperlink"/>
    <w:basedOn w:val="DefaultParagraphFont"/>
    <w:uiPriority w:val="99"/>
    <w:semiHidden/>
    <w:unhideWhenUsed/>
    <w:rsid w:val="005A5124"/>
    <w:rPr>
      <w:color w:val="96607D" w:themeColor="followedHyperlink"/>
      <w:u w:val="single"/>
    </w:rPr>
  </w:style>
  <w:style w:type="table" w:styleId="TableGrid">
    <w:name w:val="Table Grid"/>
    <w:basedOn w:val="TableNormal"/>
    <w:uiPriority w:val="39"/>
    <w:rsid w:val="001A7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80E5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80E5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80E5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580E5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CD1D65"/>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D1D65"/>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98780">
      <w:bodyDiv w:val="1"/>
      <w:marLeft w:val="0"/>
      <w:marRight w:val="0"/>
      <w:marTop w:val="0"/>
      <w:marBottom w:val="0"/>
      <w:divBdr>
        <w:top w:val="none" w:sz="0" w:space="0" w:color="auto"/>
        <w:left w:val="none" w:sz="0" w:space="0" w:color="auto"/>
        <w:bottom w:val="none" w:sz="0" w:space="0" w:color="auto"/>
        <w:right w:val="none" w:sz="0" w:space="0" w:color="auto"/>
      </w:divBdr>
    </w:div>
    <w:div w:id="483593400">
      <w:bodyDiv w:val="1"/>
      <w:marLeft w:val="0"/>
      <w:marRight w:val="0"/>
      <w:marTop w:val="0"/>
      <w:marBottom w:val="0"/>
      <w:divBdr>
        <w:top w:val="none" w:sz="0" w:space="0" w:color="auto"/>
        <w:left w:val="none" w:sz="0" w:space="0" w:color="auto"/>
        <w:bottom w:val="none" w:sz="0" w:space="0" w:color="auto"/>
        <w:right w:val="none" w:sz="0" w:space="0" w:color="auto"/>
      </w:divBdr>
    </w:div>
    <w:div w:id="864903287">
      <w:bodyDiv w:val="1"/>
      <w:marLeft w:val="0"/>
      <w:marRight w:val="0"/>
      <w:marTop w:val="0"/>
      <w:marBottom w:val="0"/>
      <w:divBdr>
        <w:top w:val="none" w:sz="0" w:space="0" w:color="auto"/>
        <w:left w:val="none" w:sz="0" w:space="0" w:color="auto"/>
        <w:bottom w:val="none" w:sz="0" w:space="0" w:color="auto"/>
        <w:right w:val="none" w:sz="0" w:space="0" w:color="auto"/>
      </w:divBdr>
    </w:div>
    <w:div w:id="991520246">
      <w:bodyDiv w:val="1"/>
      <w:marLeft w:val="0"/>
      <w:marRight w:val="0"/>
      <w:marTop w:val="0"/>
      <w:marBottom w:val="0"/>
      <w:divBdr>
        <w:top w:val="none" w:sz="0" w:space="0" w:color="auto"/>
        <w:left w:val="none" w:sz="0" w:space="0" w:color="auto"/>
        <w:bottom w:val="none" w:sz="0" w:space="0" w:color="auto"/>
        <w:right w:val="none" w:sz="0" w:space="0" w:color="auto"/>
      </w:divBdr>
    </w:div>
    <w:div w:id="1145705008">
      <w:bodyDiv w:val="1"/>
      <w:marLeft w:val="0"/>
      <w:marRight w:val="0"/>
      <w:marTop w:val="0"/>
      <w:marBottom w:val="0"/>
      <w:divBdr>
        <w:top w:val="none" w:sz="0" w:space="0" w:color="auto"/>
        <w:left w:val="none" w:sz="0" w:space="0" w:color="auto"/>
        <w:bottom w:val="none" w:sz="0" w:space="0" w:color="auto"/>
        <w:right w:val="none" w:sz="0" w:space="0" w:color="auto"/>
      </w:divBdr>
    </w:div>
    <w:div w:id="1306198437">
      <w:bodyDiv w:val="1"/>
      <w:marLeft w:val="0"/>
      <w:marRight w:val="0"/>
      <w:marTop w:val="0"/>
      <w:marBottom w:val="0"/>
      <w:divBdr>
        <w:top w:val="none" w:sz="0" w:space="0" w:color="auto"/>
        <w:left w:val="none" w:sz="0" w:space="0" w:color="auto"/>
        <w:bottom w:val="none" w:sz="0" w:space="0" w:color="auto"/>
        <w:right w:val="none" w:sz="0" w:space="0" w:color="auto"/>
      </w:divBdr>
    </w:div>
    <w:div w:id="1655064052">
      <w:bodyDiv w:val="1"/>
      <w:marLeft w:val="0"/>
      <w:marRight w:val="0"/>
      <w:marTop w:val="0"/>
      <w:marBottom w:val="0"/>
      <w:divBdr>
        <w:top w:val="none" w:sz="0" w:space="0" w:color="auto"/>
        <w:left w:val="none" w:sz="0" w:space="0" w:color="auto"/>
        <w:bottom w:val="none" w:sz="0" w:space="0" w:color="auto"/>
        <w:right w:val="none" w:sz="0" w:space="0" w:color="auto"/>
      </w:divBdr>
    </w:div>
    <w:div w:id="1659112742">
      <w:bodyDiv w:val="1"/>
      <w:marLeft w:val="0"/>
      <w:marRight w:val="0"/>
      <w:marTop w:val="0"/>
      <w:marBottom w:val="0"/>
      <w:divBdr>
        <w:top w:val="none" w:sz="0" w:space="0" w:color="auto"/>
        <w:left w:val="none" w:sz="0" w:space="0" w:color="auto"/>
        <w:bottom w:val="none" w:sz="0" w:space="0" w:color="auto"/>
        <w:right w:val="none" w:sz="0" w:space="0" w:color="auto"/>
      </w:divBdr>
    </w:div>
    <w:div w:id="1705012268">
      <w:bodyDiv w:val="1"/>
      <w:marLeft w:val="0"/>
      <w:marRight w:val="0"/>
      <w:marTop w:val="0"/>
      <w:marBottom w:val="0"/>
      <w:divBdr>
        <w:top w:val="none" w:sz="0" w:space="0" w:color="auto"/>
        <w:left w:val="none" w:sz="0" w:space="0" w:color="auto"/>
        <w:bottom w:val="none" w:sz="0" w:space="0" w:color="auto"/>
        <w:right w:val="none" w:sz="0" w:space="0" w:color="auto"/>
      </w:divBdr>
    </w:div>
    <w:div w:id="1741126920">
      <w:bodyDiv w:val="1"/>
      <w:marLeft w:val="0"/>
      <w:marRight w:val="0"/>
      <w:marTop w:val="0"/>
      <w:marBottom w:val="0"/>
      <w:divBdr>
        <w:top w:val="none" w:sz="0" w:space="0" w:color="auto"/>
        <w:left w:val="none" w:sz="0" w:space="0" w:color="auto"/>
        <w:bottom w:val="none" w:sz="0" w:space="0" w:color="auto"/>
        <w:right w:val="none" w:sz="0" w:space="0" w:color="auto"/>
      </w:divBdr>
    </w:div>
    <w:div w:id="2009864730">
      <w:bodyDiv w:val="1"/>
      <w:marLeft w:val="0"/>
      <w:marRight w:val="0"/>
      <w:marTop w:val="0"/>
      <w:marBottom w:val="0"/>
      <w:divBdr>
        <w:top w:val="none" w:sz="0" w:space="0" w:color="auto"/>
        <w:left w:val="none" w:sz="0" w:space="0" w:color="auto"/>
        <w:bottom w:val="none" w:sz="0" w:space="0" w:color="auto"/>
        <w:right w:val="none" w:sz="0" w:space="0" w:color="auto"/>
      </w:divBdr>
    </w:div>
    <w:div w:id="206139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oines.net/Gallery/gal_xtra/007_anatole_france.gi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Affordable_Care_Ac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Affordable_Care_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2208</Words>
  <Characters>12588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Ofri Oren</dc:creator>
  <cp:keywords/>
  <dc:description/>
  <cp:lastModifiedBy>Ofri Oren</cp:lastModifiedBy>
  <cp:revision>6</cp:revision>
  <cp:lastPrinted>2024-10-11T19:22:00Z</cp:lastPrinted>
  <dcterms:created xsi:type="dcterms:W3CDTF">2024-10-11T19:22:00Z</dcterms:created>
  <dcterms:modified xsi:type="dcterms:W3CDTF">2024-11-12T19:03:00Z</dcterms:modified>
</cp:coreProperties>
</file>