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20" w:line="480"/>
        <w:jc w:val="center"/>
      </w:pPr>
      <w:r>
        <w:rPr>
          <w:rFonts w:ascii="Times New Roman" w:cs="Times New Roman" w:eastAsia="Times New Roman" w:hAnsi="Times New Roman"/>
          <w:b/>
          <w:bCs/>
          <w:sz w:val="24"/>
          <w:szCs w:val="24"/>
        </w:rPr>
        <w:t xml:space="preserve">Results</w:t>
      </w:r>
    </w:p>
    <w:p>
      <w:pPr>
        <w:spacing w:after="0" w:before="120" w:line="480"/>
      </w:pPr>
      <w:r>
        <w:rPr>
          <w:rFonts w:ascii="Times New Roman" w:cs="Times New Roman" w:eastAsia="Times New Roman" w:hAnsi="Times New Roman"/>
          <w:b/>
          <w:bCs/>
          <w:sz w:val="24"/>
          <w:szCs w:val="24"/>
        </w:rPr>
        <w:t xml:space="preserve">Descriptive Epidemiology</w:t>
      </w:r>
    </w:p>
    <w:p>
      <w:pPr>
        <w:spacing w:after="0" w:line="480"/>
        <w:jc w:val="center"/>
      </w:pPr>
      <w:r>
        <w:rPr>
          <w:rFonts w:ascii="Times New Roman" w:cs="Times New Roman" w:eastAsia="Times New Roman" w:hAnsi="Times New Roman"/>
          <w:b w:val="false"/>
          <w:bCs w:val="false"/>
          <w:i w:val="false"/>
          <w:iCs w:val="false"/>
          <w:sz w:val="24"/>
          <w:szCs w:val="24"/>
        </w:rPr>
        <w:t xml:space="preserve">Between epidemiological week 6 of 2020 and week 34 of 2026, the Nigeria Centre for Disease Control recorded 7,006 laboratory-confirmed Lassa fever cases and 1,128 associated deaths across the 37 states, an overall case-fatality rate of 16.10%. The burden was highly concentrated: the five most affected states (Ondo, Edo, Bauchi, Taraba, and Ebonyi) together accounted for 86.3% of all confirmed cases, whereas 9 states reported fewer than 5 confirmed cases over the entire period and 1 state (Osun) reported none. Confirmed case counts were strongly right-skewed (</w:t>
      </w:r>
      <w:r>
        <w:rPr>
          <w:rFonts w:ascii="Times New Roman" w:cs="Times New Roman" w:eastAsia="Times New Roman" w:hAnsi="Times New Roman"/>
          <w:b w:val="false"/>
          <w:bCs w:val="false"/>
          <w:i/>
          <w:iCs/>
          <w:sz w:val="24"/>
          <w:szCs w:val="24"/>
        </w:rPr>
        <w:t xml:space="preserve">M</w:t>
      </w:r>
      <w:r>
        <w:rPr>
          <w:rFonts w:ascii="Times New Roman" w:cs="Times New Roman" w:eastAsia="Times New Roman" w:hAnsi="Times New Roman"/>
          <w:b w:val="false"/>
          <w:bCs w:val="false"/>
          <w:i w:val="false"/>
          <w:iCs w:val="false"/>
          <w:sz w:val="24"/>
          <w:szCs w:val="24"/>
        </w:rPr>
        <w:t xml:space="preserve"> = 189.35, </w:t>
      </w:r>
      <w:r>
        <w:rPr>
          <w:rFonts w:ascii="Times New Roman" w:cs="Times New Roman" w:eastAsia="Times New Roman" w:hAnsi="Times New Roman"/>
          <w:b w:val="false"/>
          <w:bCs w:val="false"/>
          <w:i/>
          <w:iCs/>
          <w:sz w:val="24"/>
          <w:szCs w:val="24"/>
        </w:rPr>
        <w:t xml:space="preserve">SD</w:t>
      </w:r>
      <w:r>
        <w:rPr>
          <w:rFonts w:ascii="Times New Roman" w:cs="Times New Roman" w:eastAsia="Times New Roman" w:hAnsi="Times New Roman"/>
          <w:b w:val="false"/>
          <w:bCs w:val="false"/>
          <w:i w:val="false"/>
          <w:iCs w:val="false"/>
          <w:sz w:val="24"/>
          <w:szCs w:val="24"/>
        </w:rPr>
        <w:t xml:space="preserve"> = 496.87, </w:t>
      </w:r>
      <w:r>
        <w:rPr>
          <w:rFonts w:ascii="Times New Roman" w:cs="Times New Roman" w:eastAsia="Times New Roman" w:hAnsi="Times New Roman"/>
          <w:b w:val="false"/>
          <w:bCs w:val="false"/>
          <w:i/>
          <w:iCs/>
          <w:sz w:val="24"/>
          <w:szCs w:val="24"/>
        </w:rPr>
        <w:t xml:space="preserve">Mdn</w:t>
      </w:r>
      <w:r>
        <w:rPr>
          <w:rFonts w:ascii="Times New Roman" w:cs="Times New Roman" w:eastAsia="Times New Roman" w:hAnsi="Times New Roman"/>
          <w:b w:val="false"/>
          <w:bCs w:val="false"/>
          <w:i w:val="false"/>
          <w:iCs w:val="false"/>
          <w:sz w:val="24"/>
          <w:szCs w:val="24"/>
        </w:rPr>
        <w:t xml:space="preserve"> = 13.00, range 0–2,372), as were state incidence rates (</w:t>
      </w:r>
      <w:r>
        <w:rPr>
          <w:rFonts w:ascii="Times New Roman" w:cs="Times New Roman" w:eastAsia="Times New Roman" w:hAnsi="Times New Roman"/>
          <w:b w:val="false"/>
          <w:bCs w:val="false"/>
          <w:i/>
          <w:iCs/>
          <w:sz w:val="24"/>
          <w:szCs w:val="24"/>
        </w:rPr>
        <w:t xml:space="preserve">M</w:t>
      </w:r>
      <w:r>
        <w:rPr>
          <w:rFonts w:ascii="Times New Roman" w:cs="Times New Roman" w:eastAsia="Times New Roman" w:hAnsi="Times New Roman"/>
          <w:b w:val="false"/>
          <w:bCs w:val="false"/>
          <w:i w:val="false"/>
          <w:iCs w:val="false"/>
          <w:sz w:val="24"/>
          <w:szCs w:val="24"/>
        </w:rPr>
        <w:t xml:space="preserve"> = 4.39, </w:t>
      </w:r>
      <w:r>
        <w:rPr>
          <w:rFonts w:ascii="Times New Roman" w:cs="Times New Roman" w:eastAsia="Times New Roman" w:hAnsi="Times New Roman"/>
          <w:b w:val="false"/>
          <w:bCs w:val="false"/>
          <w:i/>
          <w:iCs/>
          <w:sz w:val="24"/>
          <w:szCs w:val="24"/>
        </w:rPr>
        <w:t xml:space="preserve">SD</w:t>
      </w:r>
      <w:r>
        <w:rPr>
          <w:rFonts w:ascii="Times New Roman" w:cs="Times New Roman" w:eastAsia="Times New Roman" w:hAnsi="Times New Roman"/>
          <w:b w:val="false"/>
          <w:bCs w:val="false"/>
          <w:i w:val="false"/>
          <w:iCs w:val="false"/>
          <w:sz w:val="24"/>
          <w:szCs w:val="24"/>
        </w:rPr>
        <w:t xml:space="preserve"> = 13.35, </w:t>
      </w:r>
      <w:r>
        <w:rPr>
          <w:rFonts w:ascii="Times New Roman" w:cs="Times New Roman" w:eastAsia="Times New Roman" w:hAnsi="Times New Roman"/>
          <w:b w:val="false"/>
          <w:bCs w:val="false"/>
          <w:i/>
          <w:iCs/>
          <w:sz w:val="24"/>
          <w:szCs w:val="24"/>
        </w:rPr>
        <w:t xml:space="preserve">Mdn</w:t>
      </w:r>
      <w:r>
        <w:rPr>
          <w:rFonts w:ascii="Times New Roman" w:cs="Times New Roman" w:eastAsia="Times New Roman" w:hAnsi="Times New Roman"/>
          <w:b w:val="false"/>
          <w:bCs w:val="false"/>
          <w:i w:val="false"/>
          <w:iCs w:val="false"/>
          <w:sz w:val="24"/>
          <w:szCs w:val="24"/>
        </w:rPr>
        <w:t xml:space="preserve"> = 0.31 per 100,000, range 0–70.66). Descriptive statistics for the outcome and candidate predictors are presented in Table 1.</w:t>
      </w:r>
    </w:p>
    <w:p>
      <w:pPr>
        <w:spacing w:after="0" w:before="120" w:line="480"/>
      </w:pPr>
      <w:r>
        <w:rPr>
          <w:rFonts w:ascii="Times New Roman" w:cs="Times New Roman" w:eastAsia="Times New Roman" w:hAnsi="Times New Roman"/>
          <w:b/>
          <w:bCs/>
          <w:sz w:val="24"/>
          <w:szCs w:val="24"/>
        </w:rPr>
        <w:t xml:space="preserve">Spatial Dependence in Disease Burden</w:t>
      </w:r>
    </w:p>
    <w:p>
      <w:pPr>
        <w:spacing w:after="0" w:line="480"/>
        <w:jc w:val="center"/>
      </w:pPr>
      <w:r>
        <w:rPr>
          <w:rFonts w:ascii="Times New Roman" w:cs="Times New Roman" w:eastAsia="Times New Roman" w:hAnsi="Times New Roman"/>
          <w:b w:val="false"/>
          <w:bCs w:val="false"/>
          <w:i w:val="false"/>
          <w:iCs w:val="false"/>
          <w:sz w:val="24"/>
          <w:szCs w:val="24"/>
        </w:rPr>
        <w:t xml:space="preserve">Global spatial autocorrelation was assessed with Moran's </w:t>
      </w:r>
      <w:r>
        <w:rPr>
          <w:rFonts w:ascii="Times New Roman" w:cs="Times New Roman" w:eastAsia="Times New Roman" w:hAnsi="Times New Roman"/>
          <w:b w:val="false"/>
          <w:bCs w:val="false"/>
          <w:i/>
          <w:iCs/>
          <w:sz w:val="24"/>
          <w:szCs w:val="24"/>
        </w:rPr>
        <w:t xml:space="preserve">I</w:t>
      </w:r>
      <w:r>
        <w:rPr>
          <w:rFonts w:ascii="Times New Roman" w:cs="Times New Roman" w:eastAsia="Times New Roman" w:hAnsi="Times New Roman"/>
          <w:b w:val="false"/>
          <w:bCs w:val="false"/>
          <w:i w:val="false"/>
          <w:iCs w:val="false"/>
          <w:sz w:val="24"/>
          <w:szCs w:val="24"/>
        </w:rPr>
        <w:t xml:space="preserve"> using a row-standardized queen-contiguity spatial weights matrix (mean = 4.70 neighbors; no islands). Log-transformed confirmed case counts were significantly positively autocorrelated, </w:t>
      </w:r>
      <w:r>
        <w:rPr>
          <w:rFonts w:ascii="Times New Roman" w:cs="Times New Roman" w:eastAsia="Times New Roman" w:hAnsi="Times New Roman"/>
          <w:b w:val="false"/>
          <w:bCs w:val="false"/>
          <w:i/>
          <w:iCs/>
          <w:sz w:val="24"/>
          <w:szCs w:val="24"/>
        </w:rPr>
        <w:t xml:space="preserve">I</w:t>
      </w:r>
      <w:r>
        <w:rPr>
          <w:rFonts w:ascii="Times New Roman" w:cs="Times New Roman" w:eastAsia="Times New Roman" w:hAnsi="Times New Roman"/>
          <w:b w:val="false"/>
          <w:bCs w:val="false"/>
          <w:i w:val="false"/>
          <w:iCs w:val="false"/>
          <w:sz w:val="24"/>
          <w:szCs w:val="24"/>
        </w:rPr>
        <w:t xml:space="preserve"> = .25, </w:t>
      </w:r>
      <w:r>
        <w:rPr>
          <w:rFonts w:ascii="Times New Roman" w:cs="Times New Roman" w:eastAsia="Times New Roman" w:hAnsi="Times New Roman"/>
          <w:b w:val="false"/>
          <w:bCs w:val="false"/>
          <w:i/>
          <w:iCs/>
          <w:sz w:val="24"/>
          <w:szCs w:val="24"/>
        </w:rPr>
        <w:t xml:space="preserve">z</w:t>
      </w:r>
      <w:r>
        <w:rPr>
          <w:rFonts w:ascii="Times New Roman" w:cs="Times New Roman" w:eastAsia="Times New Roman" w:hAnsi="Times New Roman"/>
          <w:b w:val="false"/>
          <w:bCs w:val="false"/>
          <w:i w:val="false"/>
          <w:iCs w:val="false"/>
          <w:sz w:val="24"/>
          <w:szCs w:val="24"/>
        </w:rPr>
        <w:t xml:space="preserve"> = 2.65, </w:t>
      </w:r>
      <w:r>
        <w:rPr>
          <w:rFonts w:ascii="Times New Roman" w:cs="Times New Roman" w:eastAsia="Times New Roman" w:hAnsi="Times New Roman"/>
          <w:b w:val="false"/>
          <w:bCs w:val="false"/>
          <w:i/>
          <w:iCs/>
          <w:sz w:val="24"/>
          <w:szCs w:val="24"/>
        </w:rPr>
        <w:t xml:space="preserve">p</w:t>
      </w:r>
      <w:r>
        <w:rPr>
          <w:rFonts w:ascii="Times New Roman" w:cs="Times New Roman" w:eastAsia="Times New Roman" w:hAnsi="Times New Roman"/>
          <w:b w:val="false"/>
          <w:bCs w:val="false"/>
          <w:i w:val="false"/>
          <w:iCs w:val="false"/>
          <w:sz w:val="24"/>
          <w:szCs w:val="24"/>
        </w:rPr>
        <w:t xml:space="preserve"> = .007, indicating that high- and low-burden states were spatially clustered rather than randomly distributed. The clustering persisted, with attenuation, for log incidence, </w:t>
      </w:r>
      <w:r>
        <w:rPr>
          <w:rFonts w:ascii="Times New Roman" w:cs="Times New Roman" w:eastAsia="Times New Roman" w:hAnsi="Times New Roman"/>
          <w:b w:val="false"/>
          <w:bCs w:val="false"/>
          <w:i/>
          <w:iCs/>
          <w:sz w:val="24"/>
          <w:szCs w:val="24"/>
        </w:rPr>
        <w:t xml:space="preserve">I</w:t>
      </w:r>
      <w:r>
        <w:rPr>
          <w:rFonts w:ascii="Times New Roman" w:cs="Times New Roman" w:eastAsia="Times New Roman" w:hAnsi="Times New Roman"/>
          <w:b w:val="false"/>
          <w:bCs w:val="false"/>
          <w:i w:val="false"/>
          <w:iCs w:val="false"/>
          <w:sz w:val="24"/>
          <w:szCs w:val="24"/>
        </w:rPr>
        <w:t xml:space="preserve"> = .19, </w:t>
      </w:r>
      <w:r>
        <w:rPr>
          <w:rFonts w:ascii="Times New Roman" w:cs="Times New Roman" w:eastAsia="Times New Roman" w:hAnsi="Times New Roman"/>
          <w:b w:val="false"/>
          <w:bCs w:val="false"/>
          <w:i/>
          <w:iCs/>
          <w:sz w:val="24"/>
          <w:szCs w:val="24"/>
        </w:rPr>
        <w:t xml:space="preserve">z</w:t>
      </w:r>
      <w:r>
        <w:rPr>
          <w:rFonts w:ascii="Times New Roman" w:cs="Times New Roman" w:eastAsia="Times New Roman" w:hAnsi="Times New Roman"/>
          <w:b w:val="false"/>
          <w:bCs w:val="false"/>
          <w:i w:val="false"/>
          <w:iCs w:val="false"/>
          <w:sz w:val="24"/>
          <w:szCs w:val="24"/>
        </w:rPr>
        <w:t xml:space="preserve"> = 2.16, </w:t>
      </w:r>
      <w:r>
        <w:rPr>
          <w:rFonts w:ascii="Times New Roman" w:cs="Times New Roman" w:eastAsia="Times New Roman" w:hAnsi="Times New Roman"/>
          <w:b w:val="false"/>
          <w:bCs w:val="false"/>
          <w:i/>
          <w:iCs/>
          <w:sz w:val="24"/>
          <w:szCs w:val="24"/>
        </w:rPr>
        <w:t xml:space="preserve">p</w:t>
      </w:r>
      <w:r>
        <w:rPr>
          <w:rFonts w:ascii="Times New Roman" w:cs="Times New Roman" w:eastAsia="Times New Roman" w:hAnsi="Times New Roman"/>
          <w:b w:val="false"/>
          <w:bCs w:val="false"/>
          <w:i w:val="false"/>
          <w:iCs w:val="false"/>
          <w:sz w:val="24"/>
          <w:szCs w:val="24"/>
        </w:rPr>
        <w:t xml:space="preserve"> = .029, and for logit-transformed test positivity, </w:t>
      </w:r>
      <w:r>
        <w:rPr>
          <w:rFonts w:ascii="Times New Roman" w:cs="Times New Roman" w:eastAsia="Times New Roman" w:hAnsi="Times New Roman"/>
          <w:b w:val="false"/>
          <w:bCs w:val="false"/>
          <w:i/>
          <w:iCs/>
          <w:sz w:val="24"/>
          <w:szCs w:val="24"/>
        </w:rPr>
        <w:t xml:space="preserve">I</w:t>
      </w:r>
      <w:r>
        <w:rPr>
          <w:rFonts w:ascii="Times New Roman" w:cs="Times New Roman" w:eastAsia="Times New Roman" w:hAnsi="Times New Roman"/>
          <w:b w:val="false"/>
          <w:bCs w:val="false"/>
          <w:i w:val="false"/>
          <w:iCs w:val="false"/>
          <w:sz w:val="24"/>
          <w:szCs w:val="24"/>
        </w:rPr>
        <w:t xml:space="preserve"> = .18, </w:t>
      </w:r>
      <w:r>
        <w:rPr>
          <w:rFonts w:ascii="Times New Roman" w:cs="Times New Roman" w:eastAsia="Times New Roman" w:hAnsi="Times New Roman"/>
          <w:b w:val="false"/>
          <w:bCs w:val="false"/>
          <w:i/>
          <w:iCs/>
          <w:sz w:val="24"/>
          <w:szCs w:val="24"/>
        </w:rPr>
        <w:t xml:space="preserve">z</w:t>
      </w:r>
      <w:r>
        <w:rPr>
          <w:rFonts w:ascii="Times New Roman" w:cs="Times New Roman" w:eastAsia="Times New Roman" w:hAnsi="Times New Roman"/>
          <w:b w:val="false"/>
          <w:bCs w:val="false"/>
          <w:i w:val="false"/>
          <w:iCs w:val="false"/>
          <w:sz w:val="24"/>
          <w:szCs w:val="24"/>
        </w:rPr>
        <w:t xml:space="preserve"> = 2.01, </w:t>
      </w:r>
      <w:r>
        <w:rPr>
          <w:rFonts w:ascii="Times New Roman" w:cs="Times New Roman" w:eastAsia="Times New Roman" w:hAnsi="Times New Roman"/>
          <w:b w:val="false"/>
          <w:bCs w:val="false"/>
          <w:i/>
          <w:iCs/>
          <w:sz w:val="24"/>
          <w:szCs w:val="24"/>
        </w:rPr>
        <w:t xml:space="preserve">p</w:t>
      </w:r>
      <w:r>
        <w:rPr>
          <w:rFonts w:ascii="Times New Roman" w:cs="Times New Roman" w:eastAsia="Times New Roman" w:hAnsi="Times New Roman"/>
          <w:b w:val="false"/>
          <w:bCs w:val="false"/>
          <w:i w:val="false"/>
          <w:iCs w:val="false"/>
          <w:sz w:val="24"/>
          <w:szCs w:val="24"/>
        </w:rPr>
        <w:t xml:space="preserve"> = .031.</w:t>
      </w:r>
    </w:p>
    <w:p>
      <w:pPr>
        <w:spacing w:after="0" w:line="480"/>
        <w:jc w:val="center"/>
      </w:pPr>
      <w:r>
        <w:rPr>
          <w:rFonts w:ascii="Times New Roman" w:cs="Times New Roman" w:eastAsia="Times New Roman" w:hAnsi="Times New Roman"/>
          <w:b w:val="false"/>
          <w:bCs w:val="false"/>
          <w:i w:val="false"/>
          <w:iCs w:val="false"/>
          <w:sz w:val="24"/>
          <w:szCs w:val="24"/>
        </w:rPr>
        <w:t xml:space="preserve">Local indicators of spatial association (local Moran's </w:t>
      </w:r>
      <w:r>
        <w:rPr>
          <w:rFonts w:ascii="Times New Roman" w:cs="Times New Roman" w:eastAsia="Times New Roman" w:hAnsi="Times New Roman"/>
          <w:b w:val="false"/>
          <w:bCs w:val="false"/>
          <w:i/>
          <w:iCs/>
          <w:sz w:val="24"/>
          <w:szCs w:val="24"/>
        </w:rPr>
        <w:t xml:space="preserve">I</w:t>
      </w:r>
      <w:r>
        <w:rPr>
          <w:rFonts w:ascii="Times New Roman" w:cs="Times New Roman" w:eastAsia="Times New Roman" w:hAnsi="Times New Roman"/>
          <w:b w:val="false"/>
          <w:bCs w:val="false"/>
          <w:i w:val="false"/>
          <w:iCs w:val="false"/>
          <w:sz w:val="24"/>
          <w:szCs w:val="24"/>
        </w:rPr>
        <w:t xml:space="preserve">, 9,999 permutations) identified a single statistically significant high–high cluster (</w:t>
      </w:r>
      <w:r>
        <w:rPr>
          <w:rFonts w:ascii="Times New Roman" w:cs="Times New Roman" w:eastAsia="Times New Roman" w:hAnsi="Times New Roman"/>
          <w:b w:val="false"/>
          <w:bCs w:val="false"/>
          <w:i/>
          <w:iCs/>
          <w:sz w:val="24"/>
          <w:szCs w:val="24"/>
        </w:rPr>
        <w:t xml:space="preserve">p</w:t>
      </w:r>
      <w:r>
        <w:rPr>
          <w:rFonts w:ascii="Times New Roman" w:cs="Times New Roman" w:eastAsia="Times New Roman" w:hAnsi="Times New Roman"/>
          <w:b w:val="false"/>
          <w:bCs w:val="false"/>
          <w:i w:val="false"/>
          <w:iCs w:val="false"/>
          <w:sz w:val="24"/>
          <w:szCs w:val="24"/>
        </w:rPr>
        <w:t xml:space="preserve"> &lt; .05) comprising a contiguous central–southern belt: Edo, Taraba, Benue, Plateau, Nasarawa, and Delta. No significant low–low cluster was detected. The choropleth of confirmed cases and the LISA cluster map are shown in Figure 1.</w:t>
      </w:r>
    </w:p>
    <w:p>
      <w:pPr>
        <w:spacing w:after="0" w:before="120" w:line="480"/>
      </w:pPr>
      <w:r>
        <w:rPr>
          <w:rFonts w:ascii="Times New Roman" w:cs="Times New Roman" w:eastAsia="Times New Roman" w:hAnsi="Times New Roman"/>
          <w:b/>
          <w:bCs/>
          <w:sz w:val="24"/>
          <w:szCs w:val="24"/>
        </w:rPr>
        <w:t xml:space="preserve">Bivariate Associations</w:t>
      </w:r>
    </w:p>
    <w:p>
      <w:pPr>
        <w:spacing w:after="0" w:line="480"/>
        <w:jc w:val="center"/>
      </w:pPr>
      <w:r>
        <w:rPr>
          <w:rFonts w:ascii="Times New Roman" w:cs="Times New Roman" w:eastAsia="Times New Roman" w:hAnsi="Times New Roman"/>
          <w:b w:val="false"/>
          <w:bCs w:val="false"/>
          <w:i w:val="false"/>
          <w:iCs w:val="false"/>
          <w:sz w:val="24"/>
          <w:szCs w:val="24"/>
        </w:rPr>
        <w:t xml:space="preserve">At the bivariate level, state incidence (log scale) was weakly and negatively correlated with latitude (</w:t>
      </w:r>
      <w:r>
        <w:rPr>
          <w:rFonts w:ascii="Times New Roman" w:cs="Times New Roman" w:eastAsia="Times New Roman" w:hAnsi="Times New Roman"/>
          <w:b w:val="false"/>
          <w:bCs w:val="false"/>
          <w:i/>
          <w:iCs/>
          <w:sz w:val="24"/>
          <w:szCs w:val="24"/>
        </w:rPr>
        <w:t xml:space="preserve">r</w:t>
      </w:r>
      <w:r>
        <w:rPr>
          <w:rFonts w:ascii="Times New Roman" w:cs="Times New Roman" w:eastAsia="Times New Roman" w:hAnsi="Times New Roman"/>
          <w:b w:val="false"/>
          <w:bCs w:val="false"/>
          <w:i w:val="false"/>
          <w:iCs w:val="false"/>
          <w:sz w:val="24"/>
          <w:szCs w:val="24"/>
        </w:rPr>
        <w:t xml:space="preserve"> = −.20), population density (</w:t>
      </w:r>
      <w:r>
        <w:rPr>
          <w:rFonts w:ascii="Times New Roman" w:cs="Times New Roman" w:eastAsia="Times New Roman" w:hAnsi="Times New Roman"/>
          <w:b w:val="false"/>
          <w:bCs w:val="false"/>
          <w:i/>
          <w:iCs/>
          <w:sz w:val="24"/>
          <w:szCs w:val="24"/>
        </w:rPr>
        <w:t xml:space="preserve">r</w:t>
      </w:r>
      <w:r>
        <w:rPr>
          <w:rFonts w:ascii="Times New Roman" w:cs="Times New Roman" w:eastAsia="Times New Roman" w:hAnsi="Times New Roman"/>
          <w:b w:val="false"/>
          <w:bCs w:val="false"/>
          <w:i w:val="false"/>
          <w:iCs w:val="false"/>
          <w:sz w:val="24"/>
          <w:szCs w:val="24"/>
        </w:rPr>
        <w:t xml:space="preserve"> = −.21), and multidimensional poverty (</w:t>
      </w:r>
      <w:r>
        <w:rPr>
          <w:rFonts w:ascii="Times New Roman" w:cs="Times New Roman" w:eastAsia="Times New Roman" w:hAnsi="Times New Roman"/>
          <w:b w:val="false"/>
          <w:bCs w:val="false"/>
          <w:i/>
          <w:iCs/>
          <w:sz w:val="24"/>
          <w:szCs w:val="24"/>
        </w:rPr>
        <w:t xml:space="preserve">r</w:t>
      </w:r>
      <w:r>
        <w:rPr>
          <w:rFonts w:ascii="Times New Roman" w:cs="Times New Roman" w:eastAsia="Times New Roman" w:hAnsi="Times New Roman"/>
          <w:b w:val="false"/>
          <w:bCs w:val="false"/>
          <w:i w:val="false"/>
          <w:iCs w:val="false"/>
          <w:sz w:val="24"/>
          <w:szCs w:val="24"/>
        </w:rPr>
        <w:t xml:space="preserve"> = −.09). These simple associations were attenuated by the strongly right-skewed outcome, which was dominated by two low-latitude southern outliers (Ondo and Edo). The predictors were themselves intercorrelated—most strongly latitude with poverty (</w:t>
      </w:r>
      <w:r>
        <w:rPr>
          <w:rFonts w:ascii="Times New Roman" w:cs="Times New Roman" w:eastAsia="Times New Roman" w:hAnsi="Times New Roman"/>
          <w:b w:val="false"/>
          <w:bCs w:val="false"/>
          <w:i/>
          <w:iCs/>
          <w:sz w:val="24"/>
          <w:szCs w:val="24"/>
        </w:rPr>
        <w:t xml:space="preserve">r</w:t>
      </w:r>
      <w:r>
        <w:rPr>
          <w:rFonts w:ascii="Times New Roman" w:cs="Times New Roman" w:eastAsia="Times New Roman" w:hAnsi="Times New Roman"/>
          <w:b w:val="false"/>
          <w:bCs w:val="false"/>
          <w:i w:val="false"/>
          <w:iCs w:val="false"/>
          <w:sz w:val="24"/>
          <w:szCs w:val="24"/>
        </w:rPr>
        <w:t xml:space="preserve"> = .89), reflecting Nigeria's north–south socioeconomic gradient, and latitude with health-facility density (</w:t>
      </w:r>
      <w:r>
        <w:rPr>
          <w:rFonts w:ascii="Times New Roman" w:cs="Times New Roman" w:eastAsia="Times New Roman" w:hAnsi="Times New Roman"/>
          <w:b w:val="false"/>
          <w:bCs w:val="false"/>
          <w:i/>
          <w:iCs/>
          <w:sz w:val="24"/>
          <w:szCs w:val="24"/>
        </w:rPr>
        <w:t xml:space="preserve">r</w:t>
      </w:r>
      <w:r>
        <w:rPr>
          <w:rFonts w:ascii="Times New Roman" w:cs="Times New Roman" w:eastAsia="Times New Roman" w:hAnsi="Times New Roman"/>
          <w:b w:val="false"/>
          <w:bCs w:val="false"/>
          <w:i w:val="false"/>
          <w:iCs w:val="false"/>
          <w:sz w:val="24"/>
          <w:szCs w:val="24"/>
        </w:rPr>
        <w:t xml:space="preserve"> = −.57)—so their independent contributions are better assessed in the multivariable models below. These bivariate patterns are displayed in Figure 2. The number of georeferenced </w:t>
      </w:r>
      <w:r>
        <w:rPr>
          <w:rFonts w:ascii="Times New Roman" w:cs="Times New Roman" w:eastAsia="Times New Roman" w:hAnsi="Times New Roman"/>
          <w:b w:val="false"/>
          <w:bCs w:val="false"/>
          <w:i/>
          <w:iCs/>
          <w:sz w:val="24"/>
          <w:szCs w:val="24"/>
        </w:rPr>
        <w:t xml:space="preserve">Mastomys natalensis</w:t>
      </w:r>
      <w:r>
        <w:rPr>
          <w:rFonts w:ascii="Times New Roman" w:cs="Times New Roman" w:eastAsia="Times New Roman" w:hAnsi="Times New Roman"/>
          <w:b w:val="false"/>
          <w:bCs w:val="false"/>
          <w:i w:val="false"/>
          <w:iCs w:val="false"/>
          <w:sz w:val="24"/>
          <w:szCs w:val="24"/>
        </w:rPr>
        <w:t xml:space="preserve"> occurrences (the primary reservoir) was uncorrelated with incidence (</w:t>
      </w:r>
      <w:r>
        <w:rPr>
          <w:rFonts w:ascii="Times New Roman" w:cs="Times New Roman" w:eastAsia="Times New Roman" w:hAnsi="Times New Roman"/>
          <w:b w:val="false"/>
          <w:bCs w:val="false"/>
          <w:i/>
          <w:iCs/>
          <w:sz w:val="24"/>
          <w:szCs w:val="24"/>
        </w:rPr>
        <w:t xml:space="preserve">r</w:t>
      </w:r>
      <w:r>
        <w:rPr>
          <w:rFonts w:ascii="Times New Roman" w:cs="Times New Roman" w:eastAsia="Times New Roman" w:hAnsi="Times New Roman"/>
          <w:b w:val="false"/>
          <w:bCs w:val="false"/>
          <w:i w:val="false"/>
          <w:iCs w:val="false"/>
          <w:sz w:val="24"/>
          <w:szCs w:val="24"/>
        </w:rPr>
        <w:t xml:space="preserve"> = −.06); because occurrence records reflect trapping effort rather than abundance (the highest-incidence state, Ondo, had zero records), this variable was retained only as a sensitivity covariate.</w:t>
      </w:r>
    </w:p>
    <w:p>
      <w:pPr>
        <w:spacing w:after="0" w:before="120" w:line="480"/>
      </w:pPr>
      <w:r>
        <w:rPr>
          <w:rFonts w:ascii="Times New Roman" w:cs="Times New Roman" w:eastAsia="Times New Roman" w:hAnsi="Times New Roman"/>
          <w:b/>
          <w:bCs/>
          <w:sz w:val="24"/>
          <w:szCs w:val="24"/>
        </w:rPr>
        <w:t xml:space="preserve">Climate Covariates and the Dimensionality of the Risk Gradient</w:t>
      </w:r>
    </w:p>
    <w:p>
      <w:pPr>
        <w:spacing w:after="0" w:line="480"/>
        <w:jc w:val="center"/>
      </w:pPr>
      <w:r>
        <w:rPr>
          <w:rFonts w:ascii="Times New Roman" w:cs="Times New Roman" w:eastAsia="Times New Roman" w:hAnsi="Times New Roman"/>
          <w:b w:val="false"/>
          <w:bCs w:val="false"/>
          <w:i w:val="false"/>
          <w:iCs w:val="false"/>
          <w:sz w:val="24"/>
          <w:szCs w:val="24"/>
        </w:rPr>
        <w:t xml:space="preserve">State-level climate normals (WorldClim 2.1, 5-arc-minute zonal means) mirrored the latitudinal gradient closely: annual rainfall ranged from 488 mm in the arid northeast (Yobe) to 3,115 mm on the southern coast (Bayelsa), and the southern high-incidence states (Ondo, Edo, Ebonyi) received 1,659–1,880 mm. Climate was, however, almost perfectly collinear with the other gradient predictors. Centroid latitude was correlated </w:t>
      </w:r>
      <w:r>
        <w:rPr>
          <w:rFonts w:ascii="Times New Roman" w:cs="Times New Roman" w:eastAsia="Times New Roman" w:hAnsi="Times New Roman"/>
          <w:b w:val="false"/>
          <w:bCs w:val="false"/>
          <w:i/>
          <w:iCs/>
          <w:sz w:val="24"/>
          <w:szCs w:val="24"/>
        </w:rPr>
        <w:t xml:space="preserve">r</w:t>
      </w:r>
      <w:r>
        <w:rPr>
          <w:rFonts w:ascii="Times New Roman" w:cs="Times New Roman" w:eastAsia="Times New Roman" w:hAnsi="Times New Roman"/>
          <w:b w:val="false"/>
          <w:bCs w:val="false"/>
          <w:i w:val="false"/>
          <w:iCs w:val="false"/>
          <w:sz w:val="24"/>
          <w:szCs w:val="24"/>
        </w:rPr>
        <w:t xml:space="preserve"> = −.92 with annual rainfall, </w:t>
      </w:r>
      <w:r>
        <w:rPr>
          <w:rFonts w:ascii="Times New Roman" w:cs="Times New Roman" w:eastAsia="Times New Roman" w:hAnsi="Times New Roman"/>
          <w:b w:val="false"/>
          <w:bCs w:val="false"/>
          <w:i/>
          <w:iCs/>
          <w:sz w:val="24"/>
          <w:szCs w:val="24"/>
        </w:rPr>
        <w:t xml:space="preserve">r</w:t>
      </w:r>
      <w:r>
        <w:rPr>
          <w:rFonts w:ascii="Times New Roman" w:cs="Times New Roman" w:eastAsia="Times New Roman" w:hAnsi="Times New Roman"/>
          <w:b w:val="false"/>
          <w:bCs w:val="false"/>
          <w:i w:val="false"/>
          <w:iCs w:val="false"/>
          <w:sz w:val="24"/>
          <w:szCs w:val="24"/>
        </w:rPr>
        <w:t xml:space="preserve"> = .95 with rainfall seasonality, </w:t>
      </w:r>
      <w:r>
        <w:rPr>
          <w:rFonts w:ascii="Times New Roman" w:cs="Times New Roman" w:eastAsia="Times New Roman" w:hAnsi="Times New Roman"/>
          <w:b w:val="false"/>
          <w:bCs w:val="false"/>
          <w:i/>
          <w:iCs/>
          <w:sz w:val="24"/>
          <w:szCs w:val="24"/>
        </w:rPr>
        <w:t xml:space="preserve">r</w:t>
      </w:r>
      <w:r>
        <w:rPr>
          <w:rFonts w:ascii="Times New Roman" w:cs="Times New Roman" w:eastAsia="Times New Roman" w:hAnsi="Times New Roman"/>
          <w:b w:val="false"/>
          <w:bCs w:val="false"/>
          <w:i w:val="false"/>
          <w:iCs w:val="false"/>
          <w:sz w:val="24"/>
          <w:szCs w:val="24"/>
        </w:rPr>
        <w:t xml:space="preserve"> = .97 with temperature seasonality, and </w:t>
      </w:r>
      <w:r>
        <w:rPr>
          <w:rFonts w:ascii="Times New Roman" w:cs="Times New Roman" w:eastAsia="Times New Roman" w:hAnsi="Times New Roman"/>
          <w:b w:val="false"/>
          <w:bCs w:val="false"/>
          <w:i/>
          <w:iCs/>
          <w:sz w:val="24"/>
          <w:szCs w:val="24"/>
        </w:rPr>
        <w:t xml:space="preserve">r</w:t>
      </w:r>
      <w:r>
        <w:rPr>
          <w:rFonts w:ascii="Times New Roman" w:cs="Times New Roman" w:eastAsia="Times New Roman" w:hAnsi="Times New Roman"/>
          <w:b w:val="false"/>
          <w:bCs w:val="false"/>
          <w:i w:val="false"/>
          <w:iCs w:val="false"/>
          <w:sz w:val="24"/>
          <w:szCs w:val="24"/>
        </w:rPr>
        <w:t xml:space="preserve"> = .89 with multidimensional poverty. Variance inflation factors in a combined model were accordingly extreme (temperature seasonality = 56.0, rainfall seasonality = 41.4, latitude = 34.8, annual rainfall = 9.3, poverty = 7.0), whereas population density was effectively orthogonal (VIF = 1.3). A principal-components analysis of the five gradient variables confirmed their redundancy: the first component alone accounted for 91.3% of their variance. Latitude, climate, and poverty therefore represent a single latent north–south axis and cannot be identified separately at this spatial scale.</w:t>
      </w:r>
    </w:p>
    <w:p>
      <w:pPr>
        <w:spacing w:after="0" w:line="480"/>
        <w:jc w:val="center"/>
      </w:pPr>
      <w:r>
        <w:rPr>
          <w:rFonts w:ascii="Times New Roman" w:cs="Times New Roman" w:eastAsia="Times New Roman" w:hAnsi="Times New Roman"/>
          <w:b w:val="false"/>
          <w:bCs w:val="false"/>
          <w:i w:val="false"/>
          <w:iCs w:val="false"/>
          <w:sz w:val="24"/>
          <w:szCs w:val="24"/>
        </w:rPr>
        <w:t xml:space="preserve">A low-collinearity model retaining one mechanistic gradient proxy (rainfall seasonality) together with the orthogonal density term reproduced the pattern cleanly and stably: incidence fell with rainfall seasonality, IRR = 0.31, 95% CI [0.17, 0.57], </w:t>
      </w:r>
      <w:r>
        <w:rPr>
          <w:rFonts w:ascii="Times New Roman" w:cs="Times New Roman" w:eastAsia="Times New Roman" w:hAnsi="Times New Roman"/>
          <w:b w:val="false"/>
          <w:bCs w:val="false"/>
          <w:i/>
          <w:iCs/>
          <w:sz w:val="24"/>
          <w:szCs w:val="24"/>
        </w:rPr>
        <w:t xml:space="preserve">p</w:t>
      </w:r>
      <w:r>
        <w:rPr>
          <w:rFonts w:ascii="Times New Roman" w:cs="Times New Roman" w:eastAsia="Times New Roman" w:hAnsi="Times New Roman"/>
          <w:b w:val="false"/>
          <w:bCs w:val="false"/>
          <w:i w:val="false"/>
          <w:iCs w:val="false"/>
          <w:sz w:val="24"/>
          <w:szCs w:val="24"/>
        </w:rPr>
        <w:t xml:space="preserve"> &lt; .001, and with population density, IRR = 0.23, 95% CI [0.11, 0.49], </w:t>
      </w:r>
      <w:r>
        <w:rPr>
          <w:rFonts w:ascii="Times New Roman" w:cs="Times New Roman" w:eastAsia="Times New Roman" w:hAnsi="Times New Roman"/>
          <w:b w:val="false"/>
          <w:bCs w:val="false"/>
          <w:i/>
          <w:iCs/>
          <w:sz w:val="24"/>
          <w:szCs w:val="24"/>
        </w:rPr>
        <w:t xml:space="preserve">p</w:t>
      </w:r>
      <w:r>
        <w:rPr>
          <w:rFonts w:ascii="Times New Roman" w:cs="Times New Roman" w:eastAsia="Times New Roman" w:hAnsi="Times New Roman"/>
          <w:b w:val="false"/>
          <w:bCs w:val="false"/>
          <w:i w:val="false"/>
          <w:iCs w:val="false"/>
          <w:sz w:val="24"/>
          <w:szCs w:val="24"/>
        </w:rPr>
        <w:t xml:space="preserve"> &lt; .001, while reservoir occurrence remained null, IRR = 1.02, 95% CI [0.56, 1.85], </w:t>
      </w:r>
      <w:r>
        <w:rPr>
          <w:rFonts w:ascii="Times New Roman" w:cs="Times New Roman" w:eastAsia="Times New Roman" w:hAnsi="Times New Roman"/>
          <w:b w:val="false"/>
          <w:bCs w:val="false"/>
          <w:i/>
          <w:iCs/>
          <w:sz w:val="24"/>
          <w:szCs w:val="24"/>
        </w:rPr>
        <w:t xml:space="preserve">p</w:t>
      </w:r>
      <w:r>
        <w:rPr>
          <w:rFonts w:ascii="Times New Roman" w:cs="Times New Roman" w:eastAsia="Times New Roman" w:hAnsi="Times New Roman"/>
          <w:b w:val="false"/>
          <w:bCs w:val="false"/>
          <w:i w:val="false"/>
          <w:iCs w:val="false"/>
          <w:sz w:val="24"/>
          <w:szCs w:val="24"/>
        </w:rPr>
        <w:t xml:space="preserve"> = .944 (Table 3). The instability of the poverty coefficient across specifications (positive when conditioned on rainfall, negative when conditioned on dry-season moisture) further indicates that it carries no risk signal independent of the gradient.</w:t>
      </w:r>
    </w:p>
    <w:p>
      <w:pPr>
        <w:spacing w:after="0" w:before="120" w:line="480"/>
      </w:pPr>
      <w:r>
        <w:rPr>
          <w:rFonts w:ascii="Times New Roman" w:cs="Times New Roman" w:eastAsia="Times New Roman" w:hAnsi="Times New Roman"/>
          <w:b/>
          <w:bCs/>
          <w:sz w:val="24"/>
          <w:szCs w:val="24"/>
        </w:rPr>
        <w:t xml:space="preserve">Negative Binomial Regression of Incidence</w:t>
      </w:r>
    </w:p>
    <w:p>
      <w:pPr>
        <w:spacing w:after="0" w:line="480"/>
        <w:jc w:val="center"/>
      </w:pPr>
      <w:r>
        <w:rPr>
          <w:rFonts w:ascii="Times New Roman" w:cs="Times New Roman" w:eastAsia="Times New Roman" w:hAnsi="Times New Roman"/>
          <w:b w:val="false"/>
          <w:bCs w:val="false"/>
          <w:i w:val="false"/>
          <w:iCs w:val="false"/>
          <w:sz w:val="24"/>
          <w:szCs w:val="24"/>
        </w:rPr>
        <w:t xml:space="preserve">Given the overdispersed count outcome, state incidence was modeled with negative binomial regression using population as the exposure (equivalent to a log-population offset); the dispersion parameter (</w:t>
      </w:r>
      <w:r>
        <w:rPr>
          <w:rFonts w:ascii="Times New Roman" w:cs="Times New Roman" w:eastAsia="Times New Roman" w:hAnsi="Times New Roman"/>
          <w:b w:val="false"/>
          <w:bCs w:val="false"/>
          <w:i/>
          <w:iCs/>
          <w:sz w:val="24"/>
          <w:szCs w:val="24"/>
        </w:rPr>
        <w:t xml:space="preserve">α</w:t>
      </w:r>
      <w:r>
        <w:rPr>
          <w:rFonts w:ascii="Times New Roman" w:cs="Times New Roman" w:eastAsia="Times New Roman" w:hAnsi="Times New Roman"/>
          <w:b w:val="false"/>
          <w:bCs w:val="false"/>
          <w:i w:val="false"/>
          <w:iCs w:val="false"/>
          <w:sz w:val="24"/>
          <w:szCs w:val="24"/>
        </w:rPr>
        <w:t xml:space="preserve">) was freely estimated. Continuous predictors were </w:t>
      </w:r>
      <w:r>
        <w:rPr>
          <w:rFonts w:ascii="Times New Roman" w:cs="Times New Roman" w:eastAsia="Times New Roman" w:hAnsi="Times New Roman"/>
          <w:b w:val="false"/>
          <w:bCs w:val="false"/>
          <w:i/>
          <w:iCs/>
          <w:sz w:val="24"/>
          <w:szCs w:val="24"/>
        </w:rPr>
        <w:t xml:space="preserve">z</w:t>
      </w:r>
      <w:r>
        <w:rPr>
          <w:rFonts w:ascii="Times New Roman" w:cs="Times New Roman" w:eastAsia="Times New Roman" w:hAnsi="Times New Roman"/>
          <w:b w:val="false"/>
          <w:bCs w:val="false"/>
          <w:i w:val="false"/>
          <w:iCs w:val="false"/>
          <w:sz w:val="24"/>
          <w:szCs w:val="24"/>
        </w:rPr>
        <w:t xml:space="preserve">-standardized, so incidence-rate ratios (IRRs) express the multiplicative change in incidence per 1 </w:t>
      </w:r>
      <w:r>
        <w:rPr>
          <w:rFonts w:ascii="Times New Roman" w:cs="Times New Roman" w:eastAsia="Times New Roman" w:hAnsi="Times New Roman"/>
          <w:b w:val="false"/>
          <w:bCs w:val="false"/>
          <w:i/>
          <w:iCs/>
          <w:sz w:val="24"/>
          <w:szCs w:val="24"/>
        </w:rPr>
        <w:t xml:space="preserve">SD</w:t>
      </w:r>
      <w:r>
        <w:rPr>
          <w:rFonts w:ascii="Times New Roman" w:cs="Times New Roman" w:eastAsia="Times New Roman" w:hAnsi="Times New Roman"/>
          <w:b w:val="false"/>
          <w:bCs w:val="false"/>
          <w:i w:val="false"/>
          <w:iCs w:val="false"/>
          <w:sz w:val="24"/>
          <w:szCs w:val="24"/>
        </w:rPr>
        <w:t xml:space="preserve"> increase. Two models are reported in Table 2. Model 1 (ecological–socioeconomic) included the hypothesized structural determinants; Model 2 additionally adjusted for surveillance effort (log suspected cases), proximity to a diagnostic laboratory, and health-facility density.</w:t>
      </w:r>
    </w:p>
    <w:p>
      <w:pPr>
        <w:spacing w:after="0" w:line="480"/>
        <w:jc w:val="center"/>
      </w:pPr>
      <w:r>
        <w:rPr>
          <w:rFonts w:ascii="Times New Roman" w:cs="Times New Roman" w:eastAsia="Times New Roman" w:hAnsi="Times New Roman"/>
          <w:b w:val="false"/>
          <w:bCs w:val="false"/>
          <w:i w:val="false"/>
          <w:iCs w:val="false"/>
          <w:sz w:val="24"/>
          <w:szCs w:val="24"/>
        </w:rPr>
        <w:t xml:space="preserve">In Model 1 (</w:t>
      </w:r>
      <w:r>
        <w:rPr>
          <w:rFonts w:ascii="Times New Roman" w:cs="Times New Roman" w:eastAsia="Times New Roman" w:hAnsi="Times New Roman"/>
          <w:b w:val="false"/>
          <w:bCs w:val="false"/>
          <w:i/>
          <w:iCs/>
          <w:sz w:val="24"/>
          <w:szCs w:val="24"/>
        </w:rPr>
        <w:t xml:space="preserve">α</w:t>
      </w:r>
      <w:r>
        <w:rPr>
          <w:rFonts w:ascii="Times New Roman" w:cs="Times New Roman" w:eastAsia="Times New Roman" w:hAnsi="Times New Roman"/>
          <w:b w:val="false"/>
          <w:bCs w:val="false"/>
          <w:i w:val="false"/>
          <w:iCs w:val="false"/>
          <w:sz w:val="24"/>
          <w:szCs w:val="24"/>
        </w:rPr>
        <w:t xml:space="preserve"> = 2.70), incidence was independently and strongly associated with latitude, IRR = 0.09, 95% CI [0.02, 0.43], </w:t>
      </w:r>
      <w:r>
        <w:rPr>
          <w:rFonts w:ascii="Times New Roman" w:cs="Times New Roman" w:eastAsia="Times New Roman" w:hAnsi="Times New Roman"/>
          <w:b w:val="false"/>
          <w:bCs w:val="false"/>
          <w:i/>
          <w:iCs/>
          <w:sz w:val="24"/>
          <w:szCs w:val="24"/>
        </w:rPr>
        <w:t xml:space="preserve">z</w:t>
      </w:r>
      <w:r>
        <w:rPr>
          <w:rFonts w:ascii="Times New Roman" w:cs="Times New Roman" w:eastAsia="Times New Roman" w:hAnsi="Times New Roman"/>
          <w:b w:val="false"/>
          <w:bCs w:val="false"/>
          <w:i w:val="false"/>
          <w:iCs w:val="false"/>
          <w:sz w:val="24"/>
          <w:szCs w:val="24"/>
        </w:rPr>
        <w:t xml:space="preserve"> = −3.02, </w:t>
      </w:r>
      <w:r>
        <w:rPr>
          <w:rFonts w:ascii="Times New Roman" w:cs="Times New Roman" w:eastAsia="Times New Roman" w:hAnsi="Times New Roman"/>
          <w:b w:val="false"/>
          <w:bCs w:val="false"/>
          <w:i/>
          <w:iCs/>
          <w:sz w:val="24"/>
          <w:szCs w:val="24"/>
        </w:rPr>
        <w:t xml:space="preserve">p</w:t>
      </w:r>
      <w:r>
        <w:rPr>
          <w:rFonts w:ascii="Times New Roman" w:cs="Times New Roman" w:eastAsia="Times New Roman" w:hAnsi="Times New Roman"/>
          <w:b w:val="false"/>
          <w:bCs w:val="false"/>
          <w:i w:val="false"/>
          <w:iCs w:val="false"/>
          <w:sz w:val="24"/>
          <w:szCs w:val="24"/>
        </w:rPr>
        <w:t xml:space="preserve"> = .003, and with population density, IRR = 0.30, 95% CI [0.12, 0.78], </w:t>
      </w:r>
      <w:r>
        <w:rPr>
          <w:rFonts w:ascii="Times New Roman" w:cs="Times New Roman" w:eastAsia="Times New Roman" w:hAnsi="Times New Roman"/>
          <w:b w:val="false"/>
          <w:bCs w:val="false"/>
          <w:i/>
          <w:iCs/>
          <w:sz w:val="24"/>
          <w:szCs w:val="24"/>
        </w:rPr>
        <w:t xml:space="preserve">z</w:t>
      </w:r>
      <w:r>
        <w:rPr>
          <w:rFonts w:ascii="Times New Roman" w:cs="Times New Roman" w:eastAsia="Times New Roman" w:hAnsi="Times New Roman"/>
          <w:b w:val="false"/>
          <w:bCs w:val="false"/>
          <w:i w:val="false"/>
          <w:iCs w:val="false"/>
          <w:sz w:val="24"/>
          <w:szCs w:val="24"/>
        </w:rPr>
        <w:t xml:space="preserve"> = −2.46, </w:t>
      </w:r>
      <w:r>
        <w:rPr>
          <w:rFonts w:ascii="Times New Roman" w:cs="Times New Roman" w:eastAsia="Times New Roman" w:hAnsi="Times New Roman"/>
          <w:b w:val="false"/>
          <w:bCs w:val="false"/>
          <w:i/>
          <w:iCs/>
          <w:sz w:val="24"/>
          <w:szCs w:val="24"/>
        </w:rPr>
        <w:t xml:space="preserve">p</w:t>
      </w:r>
      <w:r>
        <w:rPr>
          <w:rFonts w:ascii="Times New Roman" w:cs="Times New Roman" w:eastAsia="Times New Roman" w:hAnsi="Times New Roman"/>
          <w:b w:val="false"/>
          <w:bCs w:val="false"/>
          <w:i w:val="false"/>
          <w:iCs w:val="false"/>
          <w:sz w:val="24"/>
          <w:szCs w:val="24"/>
        </w:rPr>
        <w:t xml:space="preserve"> = .014: each standard-deviation increase in latitude or in log population density corresponded to a roughly 91% and 70% lower incidence, respectively. Multidimensional poverty showed a positive but non-significant association once the north–south gradient was accounted for, IRR = 2.51, 95% CI [0.68, 9.18], </w:t>
      </w:r>
      <w:r>
        <w:rPr>
          <w:rFonts w:ascii="Times New Roman" w:cs="Times New Roman" w:eastAsia="Times New Roman" w:hAnsi="Times New Roman"/>
          <w:b w:val="false"/>
          <w:bCs w:val="false"/>
          <w:i/>
          <w:iCs/>
          <w:sz w:val="24"/>
          <w:szCs w:val="24"/>
        </w:rPr>
        <w:t xml:space="preserve">z</w:t>
      </w:r>
      <w:r>
        <w:rPr>
          <w:rFonts w:ascii="Times New Roman" w:cs="Times New Roman" w:eastAsia="Times New Roman" w:hAnsi="Times New Roman"/>
          <w:b w:val="false"/>
          <w:bCs w:val="false"/>
          <w:i w:val="false"/>
          <w:iCs w:val="false"/>
          <w:sz w:val="24"/>
          <w:szCs w:val="24"/>
        </w:rPr>
        <w:t xml:space="preserve"> = 1.39, </w:t>
      </w:r>
      <w:r>
        <w:rPr>
          <w:rFonts w:ascii="Times New Roman" w:cs="Times New Roman" w:eastAsia="Times New Roman" w:hAnsi="Times New Roman"/>
          <w:b w:val="false"/>
          <w:bCs w:val="false"/>
          <w:i/>
          <w:iCs/>
          <w:sz w:val="24"/>
          <w:szCs w:val="24"/>
        </w:rPr>
        <w:t xml:space="preserve">p</w:t>
      </w:r>
      <w:r>
        <w:rPr>
          <w:rFonts w:ascii="Times New Roman" w:cs="Times New Roman" w:eastAsia="Times New Roman" w:hAnsi="Times New Roman"/>
          <w:b w:val="false"/>
          <w:bCs w:val="false"/>
          <w:i w:val="false"/>
          <w:iCs w:val="false"/>
          <w:sz w:val="24"/>
          <w:szCs w:val="24"/>
        </w:rPr>
        <w:t xml:space="preserve"> = .166, and reservoir occurrence was null, IRR = 1.03, 95% CI [0.61, 1.76], </w:t>
      </w:r>
      <w:r>
        <w:rPr>
          <w:rFonts w:ascii="Times New Roman" w:cs="Times New Roman" w:eastAsia="Times New Roman" w:hAnsi="Times New Roman"/>
          <w:b w:val="false"/>
          <w:bCs w:val="false"/>
          <w:i/>
          <w:iCs/>
          <w:sz w:val="24"/>
          <w:szCs w:val="24"/>
        </w:rPr>
        <w:t xml:space="preserve">p</w:t>
      </w:r>
      <w:r>
        <w:rPr>
          <w:rFonts w:ascii="Times New Roman" w:cs="Times New Roman" w:eastAsia="Times New Roman" w:hAnsi="Times New Roman"/>
          <w:b w:val="false"/>
          <w:bCs w:val="false"/>
          <w:i w:val="false"/>
          <w:iCs w:val="false"/>
          <w:sz w:val="24"/>
          <w:szCs w:val="24"/>
        </w:rPr>
        <w:t xml:space="preserve"> = .909.</w:t>
      </w:r>
    </w:p>
    <w:p>
      <w:pPr>
        <w:spacing w:after="0" w:line="480"/>
        <w:jc w:val="center"/>
      </w:pPr>
      <w:r>
        <w:rPr>
          <w:rFonts w:ascii="Times New Roman" w:cs="Times New Roman" w:eastAsia="Times New Roman" w:hAnsi="Times New Roman"/>
          <w:b w:val="false"/>
          <w:bCs w:val="false"/>
          <w:i w:val="false"/>
          <w:iCs w:val="false"/>
          <w:sz w:val="24"/>
          <w:szCs w:val="24"/>
        </w:rPr>
        <w:t xml:space="preserve">In Model 2 (</w:t>
      </w:r>
      <w:r>
        <w:rPr>
          <w:rFonts w:ascii="Times New Roman" w:cs="Times New Roman" w:eastAsia="Times New Roman" w:hAnsi="Times New Roman"/>
          <w:b w:val="false"/>
          <w:bCs w:val="false"/>
          <w:i/>
          <w:iCs/>
          <w:sz w:val="24"/>
          <w:szCs w:val="24"/>
        </w:rPr>
        <w:t xml:space="preserve">α</w:t>
      </w:r>
      <w:r>
        <w:rPr>
          <w:rFonts w:ascii="Times New Roman" w:cs="Times New Roman" w:eastAsia="Times New Roman" w:hAnsi="Times New Roman"/>
          <w:b w:val="false"/>
          <w:bCs w:val="false"/>
          <w:i w:val="false"/>
          <w:iCs w:val="false"/>
          <w:sz w:val="24"/>
          <w:szCs w:val="24"/>
        </w:rPr>
        <w:t xml:space="preserve"> = 0.19), surveillance effort dominated: log suspected cases was by far the strongest correlate of confirmed incidence, IRR = 8.14, 95% CI [6.36, 10.41], </w:t>
      </w:r>
      <w:r>
        <w:rPr>
          <w:rFonts w:ascii="Times New Roman" w:cs="Times New Roman" w:eastAsia="Times New Roman" w:hAnsi="Times New Roman"/>
          <w:b w:val="false"/>
          <w:bCs w:val="false"/>
          <w:i/>
          <w:iCs/>
          <w:sz w:val="24"/>
          <w:szCs w:val="24"/>
        </w:rPr>
        <w:t xml:space="preserve">z</w:t>
      </w:r>
      <w:r>
        <w:rPr>
          <w:rFonts w:ascii="Times New Roman" w:cs="Times New Roman" w:eastAsia="Times New Roman" w:hAnsi="Times New Roman"/>
          <w:b w:val="false"/>
          <w:bCs w:val="false"/>
          <w:i w:val="false"/>
          <w:iCs w:val="false"/>
          <w:sz w:val="24"/>
          <w:szCs w:val="24"/>
        </w:rPr>
        <w:t xml:space="preserve"> = 16.69, </w:t>
      </w:r>
      <w:r>
        <w:rPr>
          <w:rFonts w:ascii="Times New Roman" w:cs="Times New Roman" w:eastAsia="Times New Roman" w:hAnsi="Times New Roman"/>
          <w:b w:val="false"/>
          <w:bCs w:val="false"/>
          <w:i/>
          <w:iCs/>
          <w:sz w:val="24"/>
          <w:szCs w:val="24"/>
        </w:rPr>
        <w:t xml:space="preserve">p</w:t>
      </w:r>
      <w:r>
        <w:rPr>
          <w:rFonts w:ascii="Times New Roman" w:cs="Times New Roman" w:eastAsia="Times New Roman" w:hAnsi="Times New Roman"/>
          <w:b w:val="false"/>
          <w:bCs w:val="false"/>
          <w:i w:val="false"/>
          <w:iCs w:val="false"/>
          <w:sz w:val="24"/>
          <w:szCs w:val="24"/>
        </w:rPr>
        <w:t xml:space="preserve"> &lt; .001. Two further detection-related covariates were significant—distance to the nearest diagnostic laboratory, IRR = 1.60, 95% CI [1.19, 2.16], </w:t>
      </w:r>
      <w:r>
        <w:rPr>
          <w:rFonts w:ascii="Times New Roman" w:cs="Times New Roman" w:eastAsia="Times New Roman" w:hAnsi="Times New Roman"/>
          <w:b w:val="false"/>
          <w:bCs w:val="false"/>
          <w:i/>
          <w:iCs/>
          <w:sz w:val="24"/>
          <w:szCs w:val="24"/>
        </w:rPr>
        <w:t xml:space="preserve">p</w:t>
      </w:r>
      <w:r>
        <w:rPr>
          <w:rFonts w:ascii="Times New Roman" w:cs="Times New Roman" w:eastAsia="Times New Roman" w:hAnsi="Times New Roman"/>
          <w:b w:val="false"/>
          <w:bCs w:val="false"/>
          <w:i w:val="false"/>
          <w:iCs w:val="false"/>
          <w:sz w:val="24"/>
          <w:szCs w:val="24"/>
        </w:rPr>
        <w:t xml:space="preserve"> = .002, and health-facility density, IRR = 1.43, 95% CI [1.11, 1.84], </w:t>
      </w:r>
      <w:r>
        <w:rPr>
          <w:rFonts w:ascii="Times New Roman" w:cs="Times New Roman" w:eastAsia="Times New Roman" w:hAnsi="Times New Roman"/>
          <w:b w:val="false"/>
          <w:bCs w:val="false"/>
          <w:i/>
          <w:iCs/>
          <w:sz w:val="24"/>
          <w:szCs w:val="24"/>
        </w:rPr>
        <w:t xml:space="preserve">p</w:t>
      </w:r>
      <w:r>
        <w:rPr>
          <w:rFonts w:ascii="Times New Roman" w:cs="Times New Roman" w:eastAsia="Times New Roman" w:hAnsi="Times New Roman"/>
          <w:b w:val="false"/>
          <w:bCs w:val="false"/>
          <w:i w:val="false"/>
          <w:iCs w:val="false"/>
          <w:sz w:val="24"/>
          <w:szCs w:val="24"/>
        </w:rPr>
        <w:t xml:space="preserve"> = .005—whereas latitude (</w:t>
      </w:r>
      <w:r>
        <w:rPr>
          <w:rFonts w:ascii="Times New Roman" w:cs="Times New Roman" w:eastAsia="Times New Roman" w:hAnsi="Times New Roman"/>
          <w:b w:val="false"/>
          <w:bCs w:val="false"/>
          <w:i/>
          <w:iCs/>
          <w:sz w:val="24"/>
          <w:szCs w:val="24"/>
        </w:rPr>
        <w:t xml:space="preserve">p</w:t>
      </w:r>
      <w:r>
        <w:rPr>
          <w:rFonts w:ascii="Times New Roman" w:cs="Times New Roman" w:eastAsia="Times New Roman" w:hAnsi="Times New Roman"/>
          <w:b w:val="false"/>
          <w:bCs w:val="false"/>
          <w:i w:val="false"/>
          <w:iCs w:val="false"/>
          <w:sz w:val="24"/>
          <w:szCs w:val="24"/>
        </w:rPr>
        <w:t xml:space="preserve"> = .111), population density (</w:t>
      </w:r>
      <w:r>
        <w:rPr>
          <w:rFonts w:ascii="Times New Roman" w:cs="Times New Roman" w:eastAsia="Times New Roman" w:hAnsi="Times New Roman"/>
          <w:b w:val="false"/>
          <w:bCs w:val="false"/>
          <w:i/>
          <w:iCs/>
          <w:sz w:val="24"/>
          <w:szCs w:val="24"/>
        </w:rPr>
        <w:t xml:space="preserve">p</w:t>
      </w:r>
      <w:r>
        <w:rPr>
          <w:rFonts w:ascii="Times New Roman" w:cs="Times New Roman" w:eastAsia="Times New Roman" w:hAnsi="Times New Roman"/>
          <w:b w:val="false"/>
          <w:bCs w:val="false"/>
          <w:i w:val="false"/>
          <w:iCs w:val="false"/>
          <w:sz w:val="24"/>
          <w:szCs w:val="24"/>
        </w:rPr>
        <w:t xml:space="preserve"> = .069), poverty (</w:t>
      </w:r>
      <w:r>
        <w:rPr>
          <w:rFonts w:ascii="Times New Roman" w:cs="Times New Roman" w:eastAsia="Times New Roman" w:hAnsi="Times New Roman"/>
          <w:b w:val="false"/>
          <w:bCs w:val="false"/>
          <w:i/>
          <w:iCs/>
          <w:sz w:val="24"/>
          <w:szCs w:val="24"/>
        </w:rPr>
        <w:t xml:space="preserve">p</w:t>
      </w:r>
      <w:r>
        <w:rPr>
          <w:rFonts w:ascii="Times New Roman" w:cs="Times New Roman" w:eastAsia="Times New Roman" w:hAnsi="Times New Roman"/>
          <w:b w:val="false"/>
          <w:bCs w:val="false"/>
          <w:i w:val="false"/>
          <w:iCs w:val="false"/>
          <w:sz w:val="24"/>
          <w:szCs w:val="24"/>
        </w:rPr>
        <w:t xml:space="preserve"> = .631), and reservoir occurrence (</w:t>
      </w:r>
      <w:r>
        <w:rPr>
          <w:rFonts w:ascii="Times New Roman" w:cs="Times New Roman" w:eastAsia="Times New Roman" w:hAnsi="Times New Roman"/>
          <w:b w:val="false"/>
          <w:bCs w:val="false"/>
          <w:i/>
          <w:iCs/>
          <w:sz w:val="24"/>
          <w:szCs w:val="24"/>
        </w:rPr>
        <w:t xml:space="preserve">p</w:t>
      </w:r>
      <w:r>
        <w:rPr>
          <w:rFonts w:ascii="Times New Roman" w:cs="Times New Roman" w:eastAsia="Times New Roman" w:hAnsi="Times New Roman"/>
          <w:b w:val="false"/>
          <w:bCs w:val="false"/>
          <w:i w:val="false"/>
          <w:iCs w:val="false"/>
          <w:sz w:val="24"/>
          <w:szCs w:val="24"/>
        </w:rPr>
        <w:t xml:space="preserve"> = .228) were no longer statistically significant. Model 2 provided a substantially better fit than Model 1 (AIC = 297.2 vs. 395.2; McFadden </w:t>
      </w:r>
      <w:r>
        <w:rPr>
          <w:rFonts w:ascii="Times New Roman" w:cs="Times New Roman" w:eastAsia="Times New Roman" w:hAnsi="Times New Roman"/>
          <w:b w:val="false"/>
          <w:bCs w:val="false"/>
          <w:i/>
          <w:iCs/>
          <w:sz w:val="24"/>
          <w:szCs w:val="24"/>
        </w:rPr>
        <w:t xml:space="preserve">R²</w:t>
      </w:r>
      <w:r>
        <w:rPr>
          <w:rFonts w:ascii="Times New Roman" w:cs="Times New Roman" w:eastAsia="Times New Roman" w:hAnsi="Times New Roman"/>
          <w:b w:val="false"/>
          <w:bCs w:val="false"/>
          <w:i w:val="false"/>
          <w:iCs w:val="false"/>
          <w:sz w:val="24"/>
          <w:szCs w:val="24"/>
        </w:rPr>
        <w:t xml:space="preserve"> = .30 vs. .05), consistent with detected cases being governed heavily by where and how intensively surveillance was conducted.</w:t>
      </w:r>
    </w:p>
    <w:p>
      <w:pPr>
        <w:spacing w:after="0" w:before="120" w:line="480"/>
      </w:pPr>
      <w:r>
        <w:rPr>
          <w:rFonts w:ascii="Times New Roman" w:cs="Times New Roman" w:eastAsia="Times New Roman" w:hAnsi="Times New Roman"/>
          <w:b/>
          <w:bCs/>
          <w:sz w:val="24"/>
          <w:szCs w:val="24"/>
        </w:rPr>
        <w:t xml:space="preserve">Bayesian Spatial (BYM) Model</w:t>
      </w:r>
    </w:p>
    <w:p>
      <w:pPr>
        <w:spacing w:after="0" w:line="480"/>
        <w:jc w:val="center"/>
      </w:pPr>
      <w:r>
        <w:rPr>
          <w:rFonts w:ascii="Times New Roman" w:cs="Times New Roman" w:eastAsia="Times New Roman" w:hAnsi="Times New Roman"/>
          <w:b w:val="false"/>
          <w:bCs w:val="false"/>
          <w:i w:val="false"/>
          <w:iCs w:val="false"/>
          <w:sz w:val="24"/>
          <w:szCs w:val="24"/>
        </w:rPr>
        <w:t xml:space="preserve">Because the spatial-econometric diagnostics above test only for residual linear-Gaussian dependence, we additionally fitted the disease-mapping standard: a Bayesian hierarchical negative binomial model with a log-population offset, the two separable fixed effects (rainfall seasonality and log population density), and two area random effects—a spatially structured intrinsic conditional autoregressive (ICAR) term on the queen adjacency graph and an unstructured independent term (Besag–York–Mollié specification). The model was estimated by Hamiltonian Monte Carlo (4 chains, 1,500 post-warmup draws each; maximum R-hat = 1.01).</w:t>
      </w:r>
    </w:p>
    <w:p>
      <w:pPr>
        <w:spacing w:after="0" w:line="480"/>
        <w:jc w:val="center"/>
      </w:pPr>
      <w:r>
        <w:rPr>
          <w:rFonts w:ascii="Times New Roman" w:cs="Times New Roman" w:eastAsia="Times New Roman" w:hAnsi="Times New Roman"/>
          <w:b w:val="false"/>
          <w:bCs w:val="false"/>
          <w:i w:val="false"/>
          <w:iCs w:val="false"/>
          <w:sz w:val="24"/>
          <w:szCs w:val="24"/>
        </w:rPr>
        <w:t xml:space="preserve">The fixed-effect gradients were retained, with high posterior probability of a protective direction: incidence decreased with rainfall seasonality (IRR = 0.45, 95% credible interval [0.18, 1.06]; posterior </w:t>
      </w:r>
      <w:r>
        <w:rPr>
          <w:rFonts w:ascii="Times New Roman" w:cs="Times New Roman" w:eastAsia="Times New Roman" w:hAnsi="Times New Roman"/>
          <w:b w:val="false"/>
          <w:bCs w:val="false"/>
          <w:i/>
          <w:iCs/>
          <w:sz w:val="24"/>
          <w:szCs w:val="24"/>
        </w:rPr>
        <w:t xml:space="preserve">P</w:t>
      </w:r>
      <w:r>
        <w:rPr>
          <w:rFonts w:ascii="Times New Roman" w:cs="Times New Roman" w:eastAsia="Times New Roman" w:hAnsi="Times New Roman"/>
          <w:b w:val="false"/>
          <w:bCs w:val="false"/>
          <w:i w:val="false"/>
          <w:iCs w:val="false"/>
          <w:sz w:val="24"/>
          <w:szCs w:val="24"/>
        </w:rPr>
        <w:t xml:space="preserve">(IRR &lt; 1) = .97) and with population density (IRR = 0.56, 95% CrI [0.28, 1.11]; </w:t>
      </w:r>
      <w:r>
        <w:rPr>
          <w:rFonts w:ascii="Times New Roman" w:cs="Times New Roman" w:eastAsia="Times New Roman" w:hAnsi="Times New Roman"/>
          <w:b w:val="false"/>
          <w:bCs w:val="false"/>
          <w:i/>
          <w:iCs/>
          <w:sz w:val="24"/>
          <w:szCs w:val="24"/>
        </w:rPr>
        <w:t xml:space="preserve">P</w:t>
      </w:r>
      <w:r>
        <w:rPr>
          <w:rFonts w:ascii="Times New Roman" w:cs="Times New Roman" w:eastAsia="Times New Roman" w:hAnsi="Times New Roman"/>
          <w:b w:val="false"/>
          <w:bCs w:val="false"/>
          <w:i w:val="false"/>
          <w:iCs w:val="false"/>
          <w:sz w:val="24"/>
          <w:szCs w:val="24"/>
        </w:rPr>
        <w:t xml:space="preserve">(IRR &lt; 1) = .95). The structured random effect accounted for an estimated 22% of the residual area-level variance (spatial fraction </w:t>
      </w:r>
      <w:r>
        <w:rPr>
          <w:rFonts w:ascii="Times New Roman" w:cs="Times New Roman" w:eastAsia="Times New Roman" w:hAnsi="Times New Roman"/>
          <w:b w:val="false"/>
          <w:bCs w:val="false"/>
          <w:i/>
          <w:iCs/>
          <w:sz w:val="24"/>
          <w:szCs w:val="24"/>
        </w:rPr>
        <w:t xml:space="preserve">φ</w:t>
      </w:r>
      <w:r>
        <w:rPr>
          <w:rFonts w:ascii="Times New Roman" w:cs="Times New Roman" w:eastAsia="Times New Roman" w:hAnsi="Times New Roman"/>
          <w:b w:val="false"/>
          <w:bCs w:val="false"/>
          <w:i w:val="false"/>
          <w:iCs w:val="false"/>
          <w:sz w:val="24"/>
          <w:szCs w:val="24"/>
        </w:rPr>
        <w:t xml:space="preserve"> = 0.22, 95% CrI [0.00, 0.85]); the wide interval, spanning zero, indicates that the spatial and unstructured components cannot be reliably separated with only 37 areas. Consistent with this, leave-one-out cross-validation did not favor the spatial model over an otherwise identical non-spatial model (ΔELPD = −1.0, </w:t>
      </w:r>
      <w:r>
        <w:rPr>
          <w:rFonts w:ascii="Times New Roman" w:cs="Times New Roman" w:eastAsia="Times New Roman" w:hAnsi="Times New Roman"/>
          <w:b w:val="false"/>
          <w:bCs w:val="false"/>
          <w:i/>
          <w:iCs/>
          <w:sz w:val="24"/>
          <w:szCs w:val="24"/>
        </w:rPr>
        <w:t xml:space="preserve">SE</w:t>
      </w:r>
      <w:r>
        <w:rPr>
          <w:rFonts w:ascii="Times New Roman" w:cs="Times New Roman" w:eastAsia="Times New Roman" w:hAnsi="Times New Roman"/>
          <w:b w:val="false"/>
          <w:bCs w:val="false"/>
          <w:i w:val="false"/>
          <w:iCs w:val="false"/>
          <w:sz w:val="24"/>
          <w:szCs w:val="24"/>
        </w:rPr>
        <w:t xml:space="preserve"> = 0.8). Nonetheless, the smoothed residual spatial relative-risk surface (Figure 4) localized a coherent central–eastern high-risk belt that persisted after adjustment for climate and density—Edo (RR = 3.98), Bauchi (3.74), Ebonyi (2.96), Taraba (2.68), Plateau (2.61), and Ondo (2.50)—with the lowest residual risk in the south-west (Osun, Ogun, Kwara). The spatial regression is therefore estimable and informative for hypothesis generation, but a definitive spatial signal is not identifiable at state resolution and would require local-government-area (</w:t>
      </w:r>
      <w:r>
        <w:rPr>
          <w:rFonts w:ascii="Times New Roman" w:cs="Times New Roman" w:eastAsia="Times New Roman" w:hAnsi="Times New Roman"/>
          <w:b w:val="false"/>
          <w:bCs w:val="false"/>
          <w:i/>
          <w:iCs/>
          <w:sz w:val="24"/>
          <w:szCs w:val="24"/>
        </w:rPr>
        <w:t xml:space="preserve">n</w:t>
      </w:r>
      <w:r>
        <w:rPr>
          <w:rFonts w:ascii="Times New Roman" w:cs="Times New Roman" w:eastAsia="Times New Roman" w:hAnsi="Times New Roman"/>
          <w:b w:val="false"/>
          <w:bCs w:val="false"/>
          <w:i w:val="false"/>
          <w:iCs w:val="false"/>
          <w:sz w:val="24"/>
          <w:szCs w:val="24"/>
        </w:rPr>
        <w:t xml:space="preserve"> = 774) data.</w:t>
      </w:r>
    </w:p>
    <w:p>
      <w:pPr>
        <w:spacing w:after="0" w:before="120" w:line="480"/>
      </w:pPr>
      <w:r>
        <w:rPr>
          <w:rFonts w:ascii="Times New Roman" w:cs="Times New Roman" w:eastAsia="Times New Roman" w:hAnsi="Times New Roman"/>
          <w:b/>
          <w:bCs/>
          <w:sz w:val="24"/>
          <w:szCs w:val="24"/>
        </w:rPr>
        <w:t xml:space="preserve">Model Adequacy and Residual Spatial Structure</w:t>
      </w:r>
    </w:p>
    <w:p>
      <w:pPr>
        <w:spacing w:after="0" w:line="480"/>
        <w:jc w:val="center"/>
      </w:pPr>
      <w:r>
        <w:rPr>
          <w:rFonts w:ascii="Times New Roman" w:cs="Times New Roman" w:eastAsia="Times New Roman" w:hAnsi="Times New Roman"/>
          <w:b w:val="false"/>
          <w:bCs w:val="false"/>
          <w:i w:val="false"/>
          <w:iCs w:val="false"/>
          <w:sz w:val="24"/>
          <w:szCs w:val="24"/>
        </w:rPr>
        <w:t xml:space="preserve">To confirm that the covariates captured the observed spatial clustering, an ordinary least squares model of log incidence on the full predictor set was examined for residual autocorrelation. The model explained most of the variance, </w:t>
      </w:r>
      <w:r>
        <w:rPr>
          <w:rFonts w:ascii="Times New Roman" w:cs="Times New Roman" w:eastAsia="Times New Roman" w:hAnsi="Times New Roman"/>
          <w:b w:val="false"/>
          <w:bCs w:val="false"/>
          <w:i/>
          <w:iCs/>
          <w:sz w:val="24"/>
          <w:szCs w:val="24"/>
        </w:rPr>
        <w:t xml:space="preserve">R²</w:t>
      </w:r>
      <w:r>
        <w:rPr>
          <w:rFonts w:ascii="Times New Roman" w:cs="Times New Roman" w:eastAsia="Times New Roman" w:hAnsi="Times New Roman"/>
          <w:b w:val="false"/>
          <w:bCs w:val="false"/>
          <w:i w:val="false"/>
          <w:iCs w:val="false"/>
          <w:sz w:val="24"/>
          <w:szCs w:val="24"/>
        </w:rPr>
        <w:t xml:space="preserve"> = .88, adjusted </w:t>
      </w:r>
      <w:r>
        <w:rPr>
          <w:rFonts w:ascii="Times New Roman" w:cs="Times New Roman" w:eastAsia="Times New Roman" w:hAnsi="Times New Roman"/>
          <w:b w:val="false"/>
          <w:bCs w:val="false"/>
          <w:i/>
          <w:iCs/>
          <w:sz w:val="24"/>
          <w:szCs w:val="24"/>
        </w:rPr>
        <w:t xml:space="preserve">R²</w:t>
      </w:r>
      <w:r>
        <w:rPr>
          <w:rFonts w:ascii="Times New Roman" w:cs="Times New Roman" w:eastAsia="Times New Roman" w:hAnsi="Times New Roman"/>
          <w:b w:val="false"/>
          <w:bCs w:val="false"/>
          <w:i w:val="false"/>
          <w:iCs w:val="false"/>
          <w:sz w:val="24"/>
          <w:szCs w:val="24"/>
        </w:rPr>
        <w:t xml:space="preserve"> = .85, </w:t>
      </w:r>
      <w:r>
        <w:rPr>
          <w:rFonts w:ascii="Times New Roman" w:cs="Times New Roman" w:eastAsia="Times New Roman" w:hAnsi="Times New Roman"/>
          <w:b w:val="false"/>
          <w:bCs w:val="false"/>
          <w:i/>
          <w:iCs/>
          <w:sz w:val="24"/>
          <w:szCs w:val="24"/>
        </w:rPr>
        <w:t xml:space="preserve">F</w:t>
      </w:r>
      <w:r>
        <w:rPr>
          <w:rFonts w:ascii="Times New Roman" w:cs="Times New Roman" w:eastAsia="Times New Roman" w:hAnsi="Times New Roman"/>
          <w:b w:val="false"/>
          <w:bCs w:val="false"/>
          <w:i w:val="false"/>
          <w:iCs w:val="false"/>
          <w:sz w:val="24"/>
          <w:szCs w:val="24"/>
        </w:rPr>
        <w:t xml:space="preserve">(7, 29) = 31.17, </w:t>
      </w:r>
      <w:r>
        <w:rPr>
          <w:rFonts w:ascii="Times New Roman" w:cs="Times New Roman" w:eastAsia="Times New Roman" w:hAnsi="Times New Roman"/>
          <w:b w:val="false"/>
          <w:bCs w:val="false"/>
          <w:i/>
          <w:iCs/>
          <w:sz w:val="24"/>
          <w:szCs w:val="24"/>
        </w:rPr>
        <w:t xml:space="preserve">p</w:t>
      </w:r>
      <w:r>
        <w:rPr>
          <w:rFonts w:ascii="Times New Roman" w:cs="Times New Roman" w:eastAsia="Times New Roman" w:hAnsi="Times New Roman"/>
          <w:b w:val="false"/>
          <w:bCs w:val="false"/>
          <w:i w:val="false"/>
          <w:iCs w:val="false"/>
          <w:sz w:val="24"/>
          <w:szCs w:val="24"/>
        </w:rPr>
        <w:t xml:space="preserve"> &lt; .001, and its residuals exhibited no remaining spatial dependence (residual Moran's </w:t>
      </w:r>
      <w:r>
        <w:rPr>
          <w:rFonts w:ascii="Times New Roman" w:cs="Times New Roman" w:eastAsia="Times New Roman" w:hAnsi="Times New Roman"/>
          <w:b w:val="false"/>
          <w:bCs w:val="false"/>
          <w:i/>
          <w:iCs/>
          <w:sz w:val="24"/>
          <w:szCs w:val="24"/>
        </w:rPr>
        <w:t xml:space="preserve">I</w:t>
      </w:r>
      <w:r>
        <w:rPr>
          <w:rFonts w:ascii="Times New Roman" w:cs="Times New Roman" w:eastAsia="Times New Roman" w:hAnsi="Times New Roman"/>
          <w:b w:val="false"/>
          <w:bCs w:val="false"/>
          <w:i w:val="false"/>
          <w:iCs w:val="false"/>
          <w:sz w:val="24"/>
          <w:szCs w:val="24"/>
        </w:rPr>
        <w:t xml:space="preserve"> = −.02, </w:t>
      </w:r>
      <w:r>
        <w:rPr>
          <w:rFonts w:ascii="Times New Roman" w:cs="Times New Roman" w:eastAsia="Times New Roman" w:hAnsi="Times New Roman"/>
          <w:b w:val="false"/>
          <w:bCs w:val="false"/>
          <w:i/>
          <w:iCs/>
          <w:sz w:val="24"/>
          <w:szCs w:val="24"/>
        </w:rPr>
        <w:t xml:space="preserve">z</w:t>
      </w:r>
      <w:r>
        <w:rPr>
          <w:rFonts w:ascii="Times New Roman" w:cs="Times New Roman" w:eastAsia="Times New Roman" w:hAnsi="Times New Roman"/>
          <w:b w:val="false"/>
          <w:bCs w:val="false"/>
          <w:i w:val="false"/>
          <w:iCs w:val="false"/>
          <w:sz w:val="24"/>
          <w:szCs w:val="24"/>
        </w:rPr>
        <w:t xml:space="preserve"> = 0.82, </w:t>
      </w:r>
      <w:r>
        <w:rPr>
          <w:rFonts w:ascii="Times New Roman" w:cs="Times New Roman" w:eastAsia="Times New Roman" w:hAnsi="Times New Roman"/>
          <w:b w:val="false"/>
          <w:bCs w:val="false"/>
          <w:i/>
          <w:iCs/>
          <w:sz w:val="24"/>
          <w:szCs w:val="24"/>
        </w:rPr>
        <w:t xml:space="preserve">p</w:t>
      </w:r>
      <w:r>
        <w:rPr>
          <w:rFonts w:ascii="Times New Roman" w:cs="Times New Roman" w:eastAsia="Times New Roman" w:hAnsi="Times New Roman"/>
          <w:b w:val="false"/>
          <w:bCs w:val="false"/>
          <w:i w:val="false"/>
          <w:iCs w:val="false"/>
          <w:sz w:val="24"/>
          <w:szCs w:val="24"/>
        </w:rPr>
        <w:t xml:space="preserve"> = .41). Lagrange multiplier tests were non-significant for both a spatial lag (</w:t>
      </w:r>
      <w:r>
        <w:rPr>
          <w:rFonts w:ascii="Times New Roman" w:cs="Times New Roman" w:eastAsia="Times New Roman" w:hAnsi="Times New Roman"/>
          <w:b w:val="false"/>
          <w:bCs w:val="false"/>
          <w:i/>
          <w:iCs/>
          <w:sz w:val="24"/>
          <w:szCs w:val="24"/>
        </w:rPr>
        <w:t xml:space="preserve">p</w:t>
      </w:r>
      <w:r>
        <w:rPr>
          <w:rFonts w:ascii="Times New Roman" w:cs="Times New Roman" w:eastAsia="Times New Roman" w:hAnsi="Times New Roman"/>
          <w:b w:val="false"/>
          <w:bCs w:val="false"/>
          <w:i w:val="false"/>
          <w:iCs w:val="false"/>
          <w:sz w:val="24"/>
          <w:szCs w:val="24"/>
        </w:rPr>
        <w:t xml:space="preserve"> = .095; robust </w:t>
      </w:r>
      <w:r>
        <w:rPr>
          <w:rFonts w:ascii="Times New Roman" w:cs="Times New Roman" w:eastAsia="Times New Roman" w:hAnsi="Times New Roman"/>
          <w:b w:val="false"/>
          <w:bCs w:val="false"/>
          <w:i/>
          <w:iCs/>
          <w:sz w:val="24"/>
          <w:szCs w:val="24"/>
        </w:rPr>
        <w:t xml:space="preserve">p</w:t>
      </w:r>
      <w:r>
        <w:rPr>
          <w:rFonts w:ascii="Times New Roman" w:cs="Times New Roman" w:eastAsia="Times New Roman" w:hAnsi="Times New Roman"/>
          <w:b w:val="false"/>
          <w:bCs w:val="false"/>
          <w:i w:val="false"/>
          <w:iCs w:val="false"/>
          <w:sz w:val="24"/>
          <w:szCs w:val="24"/>
        </w:rPr>
        <w:t xml:space="preserve"> = .060) and a spatial error process (</w:t>
      </w:r>
      <w:r>
        <w:rPr>
          <w:rFonts w:ascii="Times New Roman" w:cs="Times New Roman" w:eastAsia="Times New Roman" w:hAnsi="Times New Roman"/>
          <w:b w:val="false"/>
          <w:bCs w:val="false"/>
          <w:i/>
          <w:iCs/>
          <w:sz w:val="24"/>
          <w:szCs w:val="24"/>
        </w:rPr>
        <w:t xml:space="preserve">p</w:t>
      </w:r>
      <w:r>
        <w:rPr>
          <w:rFonts w:ascii="Times New Roman" w:cs="Times New Roman" w:eastAsia="Times New Roman" w:hAnsi="Times New Roman"/>
          <w:b w:val="false"/>
          <w:bCs w:val="false"/>
          <w:i w:val="false"/>
          <w:iCs w:val="false"/>
          <w:sz w:val="24"/>
          <w:szCs w:val="24"/>
        </w:rPr>
        <w:t xml:space="preserve"> = .85; robust </w:t>
      </w:r>
      <w:r>
        <w:rPr>
          <w:rFonts w:ascii="Times New Roman" w:cs="Times New Roman" w:eastAsia="Times New Roman" w:hAnsi="Times New Roman"/>
          <w:b w:val="false"/>
          <w:bCs w:val="false"/>
          <w:i/>
          <w:iCs/>
          <w:sz w:val="24"/>
          <w:szCs w:val="24"/>
        </w:rPr>
        <w:t xml:space="preserve">p</w:t>
      </w:r>
      <w:r>
        <w:rPr>
          <w:rFonts w:ascii="Times New Roman" w:cs="Times New Roman" w:eastAsia="Times New Roman" w:hAnsi="Times New Roman"/>
          <w:b w:val="false"/>
          <w:bCs w:val="false"/>
          <w:i w:val="false"/>
          <w:iCs w:val="false"/>
          <w:sz w:val="24"/>
          <w:szCs w:val="24"/>
        </w:rPr>
        <w:t xml:space="preserve"> = .38). Spatial lag and spatial error maximum-likelihood models yielded small, negatively signed autoregressive parameters (</w:t>
      </w:r>
      <w:r>
        <w:rPr>
          <w:rFonts w:ascii="Times New Roman" w:cs="Times New Roman" w:eastAsia="Times New Roman" w:hAnsi="Times New Roman"/>
          <w:b w:val="false"/>
          <w:bCs w:val="false"/>
          <w:i/>
          <w:iCs/>
          <w:sz w:val="24"/>
          <w:szCs w:val="24"/>
        </w:rPr>
        <w:t xml:space="preserve">ρ</w:t>
      </w:r>
      <w:r>
        <w:rPr>
          <w:rFonts w:ascii="Times New Roman" w:cs="Times New Roman" w:eastAsia="Times New Roman" w:hAnsi="Times New Roman"/>
          <w:b w:val="false"/>
          <w:bCs w:val="false"/>
          <w:i w:val="false"/>
          <w:iCs w:val="false"/>
          <w:sz w:val="24"/>
          <w:szCs w:val="24"/>
        </w:rPr>
        <w:t xml:space="preserve"> = −.28; </w:t>
      </w:r>
      <w:r>
        <w:rPr>
          <w:rFonts w:ascii="Times New Roman" w:cs="Times New Roman" w:eastAsia="Times New Roman" w:hAnsi="Times New Roman"/>
          <w:b w:val="false"/>
          <w:bCs w:val="false"/>
          <w:i/>
          <w:iCs/>
          <w:sz w:val="24"/>
          <w:szCs w:val="24"/>
        </w:rPr>
        <w:t xml:space="preserve">λ</w:t>
      </w:r>
      <w:r>
        <w:rPr>
          <w:rFonts w:ascii="Times New Roman" w:cs="Times New Roman" w:eastAsia="Times New Roman" w:hAnsi="Times New Roman"/>
          <w:b w:val="false"/>
          <w:bCs w:val="false"/>
          <w:i w:val="false"/>
          <w:iCs w:val="false"/>
          <w:sz w:val="24"/>
          <w:szCs w:val="24"/>
        </w:rPr>
        <w:t xml:space="preserve"> = −.07) and did not materially improve fit over the non-spatial specification (lag AIC = 43.6, error AIC = 45.2, OLS AIC = 45.3). A non-spatial negative binomial model was therefore retained as adequate at this spatial scale. The relationship between confirmed and suspected cases that underlies Model 2 is illustrated in Figure 3.</w:t>
      </w:r>
    </w:p>
    <w:p>
      <w:pPr>
        <w:spacing w:before="240" w:line="480"/>
      </w:pPr>
      <w:r>
        <w:rPr>
          <w:rFonts w:ascii="Times New Roman" w:cs="Times New Roman" w:eastAsia="Times New Roman" w:hAnsi="Times New Roman"/>
          <w:b/>
          <w:bCs/>
          <w:sz w:val="24"/>
          <w:szCs w:val="24"/>
        </w:rPr>
        <w:t xml:space="preserve">Table 1</w:t>
      </w:r>
    </w:p>
    <w:p>
      <w:pPr>
        <w:spacing w:line="480"/>
      </w:pPr>
      <w:r>
        <w:rPr>
          <w:rFonts w:ascii="Times New Roman" w:cs="Times New Roman" w:eastAsia="Times New Roman" w:hAnsi="Times New Roman"/>
          <w:i/>
          <w:iCs/>
          <w:sz w:val="24"/>
          <w:szCs w:val="24"/>
        </w:rPr>
        <w:t xml:space="preserve">Descriptive Statistics for Lassa Fever Burden and Candidate State-Level Predictors (N = 37 States)</w:t>
      </w:r>
    </w:p>
    <w:tbl>
      <w:tblPr>
        <w:tblW w:type="dxa" w:w="9360"/>
        <w:tblBorders>
          <w:top w:val="single" w:color="000000" w:sz="4"/>
          <w:left w:val="none" w:color="FFFFFF" w:sz="0"/>
          <w:bottom w:val="single" w:color="000000" w:sz="4"/>
          <w:right w:val="none" w:color="FFFFFF" w:sz="0"/>
          <w:insideH w:val="none" w:color="FFFFFF" w:sz="0"/>
          <w:insideV w:val="none" w:color="FFFFFF" w:sz="0"/>
        </w:tblBorders>
      </w:tblPr>
      <w:tblGrid>
        <w:gridCol w:w="3360"/>
        <w:gridCol w:w="1300"/>
        <w:gridCol w:w="1150"/>
        <w:gridCol w:w="1150"/>
        <w:gridCol w:w="1200"/>
        <w:gridCol w:w="1200"/>
      </w:tblGrid>
      <w:tr>
        <w:trPr>
          <w:tblHeader/>
        </w:trPr>
        <w:tc>
          <w:tcPr>
            <w:tcW w:type="dxa" w:w="3360"/>
            <w:tcBorders>
              <w:top w:val="none" w:color="FFFFFF" w:sz="0"/>
              <w:left w:val="none" w:color="FFFFFF" w:sz="0"/>
              <w:bottom w:val="single" w:color="000000" w:sz="4"/>
              <w:right w:val="none" w:color="FFFFFF" w:sz="0"/>
            </w:tcBorders>
            <w:tcMar>
              <w:top w:type="dxa" w:w="20"/>
              <w:left w:type="dxa" w:w="80"/>
              <w:bottom w:type="dxa" w:w="20"/>
              <w:right w:type="dxa" w:w="80"/>
            </w:tcMar>
          </w:tcPr>
          <w:p>
            <w:pPr>
              <w:spacing w:after="20" w:before="20" w:line="240"/>
              <w:jc w:val="left"/>
            </w:pPr>
            <w:r>
              <w:rPr>
                <w:rFonts w:ascii="Times New Roman" w:cs="Times New Roman" w:eastAsia="Times New Roman" w:hAnsi="Times New Roman"/>
                <w:b w:val="false"/>
                <w:bCs w:val="false"/>
                <w:i w:val="false"/>
                <w:iCs w:val="false"/>
                <w:sz w:val="24"/>
                <w:szCs w:val="24"/>
              </w:rPr>
              <w:t xml:space="preserve">Variable</w:t>
            </w:r>
          </w:p>
        </w:tc>
        <w:tc>
          <w:tcPr>
            <w:tcW w:type="dxa" w:w="1300"/>
            <w:tcBorders>
              <w:top w:val="none" w:color="FFFFFF" w:sz="0"/>
              <w:left w:val="none" w:color="FFFFFF" w:sz="0"/>
              <w:bottom w:val="single" w:color="000000" w:sz="4"/>
              <w:right w:val="none" w:color="FFFFFF" w:sz="0"/>
            </w:tcBorders>
            <w:tcMar>
              <w:top w:type="dxa" w:w="20"/>
              <w:left w:type="dxa" w:w="80"/>
              <w:bottom w:type="dxa" w:w="20"/>
              <w:right w:type="dxa" w:w="80"/>
            </w:tcMar>
          </w:tcPr>
          <w:p>
            <w:pPr>
              <w:spacing w:after="20" w:before="20" w:line="240"/>
              <w:jc w:val="center"/>
            </w:pPr>
            <w:r>
              <w:rPr>
                <w:rFonts w:ascii="Times New Roman" w:cs="Times New Roman" w:eastAsia="Times New Roman" w:hAnsi="Times New Roman"/>
                <w:b w:val="false"/>
                <w:bCs w:val="false"/>
                <w:i/>
                <w:iCs/>
                <w:sz w:val="24"/>
                <w:szCs w:val="24"/>
              </w:rPr>
              <w:t xml:space="preserve">M</w:t>
            </w:r>
          </w:p>
        </w:tc>
        <w:tc>
          <w:tcPr>
            <w:tcW w:type="dxa" w:w="1150"/>
            <w:tcBorders>
              <w:top w:val="none" w:color="FFFFFF" w:sz="0"/>
              <w:left w:val="none" w:color="FFFFFF" w:sz="0"/>
              <w:bottom w:val="single" w:color="000000" w:sz="4"/>
              <w:right w:val="none" w:color="FFFFFF" w:sz="0"/>
            </w:tcBorders>
            <w:tcMar>
              <w:top w:type="dxa" w:w="20"/>
              <w:left w:type="dxa" w:w="80"/>
              <w:bottom w:type="dxa" w:w="20"/>
              <w:right w:type="dxa" w:w="80"/>
            </w:tcMar>
          </w:tcPr>
          <w:p>
            <w:pPr>
              <w:spacing w:after="20" w:before="20" w:line="240"/>
              <w:jc w:val="center"/>
            </w:pPr>
            <w:r>
              <w:rPr>
                <w:rFonts w:ascii="Times New Roman" w:cs="Times New Roman" w:eastAsia="Times New Roman" w:hAnsi="Times New Roman"/>
                <w:b w:val="false"/>
                <w:bCs w:val="false"/>
                <w:i/>
                <w:iCs/>
                <w:sz w:val="24"/>
                <w:szCs w:val="24"/>
              </w:rPr>
              <w:t xml:space="preserve">SD</w:t>
            </w:r>
          </w:p>
        </w:tc>
        <w:tc>
          <w:tcPr>
            <w:tcW w:type="dxa" w:w="1150"/>
            <w:tcBorders>
              <w:top w:val="none" w:color="FFFFFF" w:sz="0"/>
              <w:left w:val="none" w:color="FFFFFF" w:sz="0"/>
              <w:bottom w:val="single" w:color="000000" w:sz="4"/>
              <w:right w:val="none" w:color="FFFFFF" w:sz="0"/>
            </w:tcBorders>
            <w:tcMar>
              <w:top w:type="dxa" w:w="20"/>
              <w:left w:type="dxa" w:w="80"/>
              <w:bottom w:type="dxa" w:w="20"/>
              <w:right w:type="dxa" w:w="80"/>
            </w:tcMar>
          </w:tcPr>
          <w:p>
            <w:pPr>
              <w:spacing w:after="20" w:before="20" w:line="240"/>
              <w:jc w:val="center"/>
            </w:pPr>
            <w:r>
              <w:rPr>
                <w:rFonts w:ascii="Times New Roman" w:cs="Times New Roman" w:eastAsia="Times New Roman" w:hAnsi="Times New Roman"/>
                <w:b w:val="false"/>
                <w:bCs w:val="false"/>
                <w:i/>
                <w:iCs/>
                <w:sz w:val="24"/>
                <w:szCs w:val="24"/>
              </w:rPr>
              <w:t xml:space="preserve">Mdn</w:t>
            </w:r>
          </w:p>
        </w:tc>
        <w:tc>
          <w:tcPr>
            <w:tcW w:type="dxa" w:w="1200"/>
            <w:tcBorders>
              <w:top w:val="none" w:color="FFFFFF" w:sz="0"/>
              <w:left w:val="none" w:color="FFFFFF" w:sz="0"/>
              <w:bottom w:val="single" w:color="000000" w:sz="4"/>
              <w:right w:val="none" w:color="FFFFFF" w:sz="0"/>
            </w:tcBorders>
            <w:tcMar>
              <w:top w:type="dxa" w:w="20"/>
              <w:left w:type="dxa" w:w="80"/>
              <w:bottom w:type="dxa" w:w="20"/>
              <w:right w:type="dxa" w:w="80"/>
            </w:tcMar>
          </w:tcPr>
          <w:p>
            <w:pPr>
              <w:spacing w:after="20" w:before="20" w:line="240"/>
              <w:jc w:val="center"/>
            </w:pPr>
            <w:r>
              <w:rPr>
                <w:rFonts w:ascii="Times New Roman" w:cs="Times New Roman" w:eastAsia="Times New Roman" w:hAnsi="Times New Roman"/>
                <w:b w:val="false"/>
                <w:bCs w:val="false"/>
                <w:i/>
                <w:iCs/>
                <w:sz w:val="24"/>
                <w:szCs w:val="24"/>
              </w:rPr>
              <w:t xml:space="preserve">Min</w:t>
            </w:r>
          </w:p>
        </w:tc>
        <w:tc>
          <w:tcPr>
            <w:tcW w:type="dxa" w:w="1200"/>
            <w:tcBorders>
              <w:top w:val="none" w:color="FFFFFF" w:sz="0"/>
              <w:left w:val="none" w:color="FFFFFF" w:sz="0"/>
              <w:bottom w:val="single" w:color="000000" w:sz="4"/>
              <w:right w:val="none" w:color="FFFFFF" w:sz="0"/>
            </w:tcBorders>
            <w:tcMar>
              <w:top w:type="dxa" w:w="20"/>
              <w:left w:type="dxa" w:w="80"/>
              <w:bottom w:type="dxa" w:w="20"/>
              <w:right w:type="dxa" w:w="80"/>
            </w:tcMar>
          </w:tcPr>
          <w:p>
            <w:pPr>
              <w:spacing w:after="20" w:before="20" w:line="240"/>
              <w:jc w:val="center"/>
            </w:pPr>
            <w:r>
              <w:rPr>
                <w:rFonts w:ascii="Times New Roman" w:cs="Times New Roman" w:eastAsia="Times New Roman" w:hAnsi="Times New Roman"/>
                <w:b w:val="false"/>
                <w:bCs w:val="false"/>
                <w:i/>
                <w:iCs/>
                <w:sz w:val="24"/>
                <w:szCs w:val="24"/>
              </w:rPr>
              <w:t xml:space="preserve">Max</w:t>
            </w:r>
          </w:p>
        </w:tc>
      </w:tr>
      <w:tr>
        <w:tc>
          <w:tcPr>
            <w:tcW w:type="dxa" w:w="3360"/>
            <w:tcBorders>
              <w:top w:val="none" w:color="FFFFFF" w:sz="0"/>
              <w:left w:val="none" w:color="FFFFFF" w:sz="0"/>
              <w:bottom w:val="none" w:color="FFFFFF" w:sz="0"/>
              <w:right w:val="none" w:color="FFFFFF" w:sz="0"/>
            </w:tcBorders>
            <w:tcMar>
              <w:top w:type="dxa" w:w="20"/>
              <w:left w:type="dxa" w:w="80"/>
              <w:bottom w:type="dxa" w:w="20"/>
              <w:right w:type="dxa" w:w="80"/>
            </w:tcMar>
          </w:tcPr>
          <w:p>
            <w:pPr>
              <w:spacing w:after="20" w:before="20" w:line="240"/>
              <w:jc w:val="left"/>
            </w:pPr>
            <w:r>
              <w:rPr>
                <w:rFonts w:ascii="Times New Roman" w:cs="Times New Roman" w:eastAsia="Times New Roman" w:hAnsi="Times New Roman"/>
                <w:b w:val="false"/>
                <w:bCs w:val="false"/>
                <w:i w:val="false"/>
                <w:iCs w:val="false"/>
                <w:sz w:val="24"/>
                <w:szCs w:val="24"/>
              </w:rPr>
              <w:t xml:space="preserve">Confirmed cases (cumulative)</w:t>
            </w:r>
          </w:p>
        </w:tc>
        <w:tc>
          <w:tcPr>
            <w:tcW w:type="dxa" w:w="1300"/>
            <w:tcBorders>
              <w:top w:val="none" w:color="FFFFFF" w:sz="0"/>
              <w:left w:val="none" w:color="FFFFFF" w:sz="0"/>
              <w:bottom w:val="none" w:color="FFFFFF" w:sz="0"/>
              <w:right w:val="none" w:color="FFFFFF" w:sz="0"/>
            </w:tcBorders>
            <w:tcMar>
              <w:top w:type="dxa" w:w="20"/>
              <w:left w:type="dxa" w:w="80"/>
              <w:bottom w:type="dxa" w:w="20"/>
              <w:right w:type="dxa" w:w="80"/>
            </w:tcMar>
          </w:tcPr>
          <w:p>
            <w:pPr>
              <w:spacing w:after="20" w:before="20" w:line="240"/>
              <w:jc w:val="center"/>
            </w:pPr>
            <w:r>
              <w:rPr>
                <w:rFonts w:ascii="Times New Roman" w:cs="Times New Roman" w:eastAsia="Times New Roman" w:hAnsi="Times New Roman"/>
                <w:b w:val="false"/>
                <w:bCs w:val="false"/>
                <w:i w:val="false"/>
                <w:iCs w:val="false"/>
                <w:sz w:val="24"/>
                <w:szCs w:val="24"/>
              </w:rPr>
              <w:t xml:space="preserve">189.35</w:t>
            </w:r>
          </w:p>
        </w:tc>
        <w:tc>
          <w:tcPr>
            <w:tcW w:type="dxa" w:w="1150"/>
            <w:tcBorders>
              <w:top w:val="none" w:color="FFFFFF" w:sz="0"/>
              <w:left w:val="none" w:color="FFFFFF" w:sz="0"/>
              <w:bottom w:val="none" w:color="FFFFFF" w:sz="0"/>
              <w:right w:val="none" w:color="FFFFFF" w:sz="0"/>
            </w:tcBorders>
            <w:tcMar>
              <w:top w:type="dxa" w:w="20"/>
              <w:left w:type="dxa" w:w="80"/>
              <w:bottom w:type="dxa" w:w="20"/>
              <w:right w:type="dxa" w:w="80"/>
            </w:tcMar>
          </w:tcPr>
          <w:p>
            <w:pPr>
              <w:spacing w:after="20" w:before="20" w:line="240"/>
              <w:jc w:val="center"/>
            </w:pPr>
            <w:r>
              <w:rPr>
                <w:rFonts w:ascii="Times New Roman" w:cs="Times New Roman" w:eastAsia="Times New Roman" w:hAnsi="Times New Roman"/>
                <w:b w:val="false"/>
                <w:bCs w:val="false"/>
                <w:i w:val="false"/>
                <w:iCs w:val="false"/>
                <w:sz w:val="24"/>
                <w:szCs w:val="24"/>
              </w:rPr>
              <w:t xml:space="preserve">496.87</w:t>
            </w:r>
          </w:p>
        </w:tc>
        <w:tc>
          <w:tcPr>
            <w:tcW w:type="dxa" w:w="1150"/>
            <w:tcBorders>
              <w:top w:val="none" w:color="FFFFFF" w:sz="0"/>
              <w:left w:val="none" w:color="FFFFFF" w:sz="0"/>
              <w:bottom w:val="none" w:color="FFFFFF" w:sz="0"/>
              <w:right w:val="none" w:color="FFFFFF" w:sz="0"/>
            </w:tcBorders>
            <w:tcMar>
              <w:top w:type="dxa" w:w="20"/>
              <w:left w:type="dxa" w:w="80"/>
              <w:bottom w:type="dxa" w:w="20"/>
              <w:right w:type="dxa" w:w="80"/>
            </w:tcMar>
          </w:tcPr>
          <w:p>
            <w:pPr>
              <w:spacing w:after="20" w:before="20" w:line="240"/>
              <w:jc w:val="center"/>
            </w:pPr>
            <w:r>
              <w:rPr>
                <w:rFonts w:ascii="Times New Roman" w:cs="Times New Roman" w:eastAsia="Times New Roman" w:hAnsi="Times New Roman"/>
                <w:b w:val="false"/>
                <w:bCs w:val="false"/>
                <w:i w:val="false"/>
                <w:iCs w:val="false"/>
                <w:sz w:val="24"/>
                <w:szCs w:val="24"/>
              </w:rPr>
              <w:t xml:space="preserve">13.00</w:t>
            </w:r>
          </w:p>
        </w:tc>
        <w:tc>
          <w:tcPr>
            <w:tcW w:type="dxa" w:w="1200"/>
            <w:tcBorders>
              <w:top w:val="none" w:color="FFFFFF" w:sz="0"/>
              <w:left w:val="none" w:color="FFFFFF" w:sz="0"/>
              <w:bottom w:val="none" w:color="FFFFFF" w:sz="0"/>
              <w:right w:val="none" w:color="FFFFFF" w:sz="0"/>
            </w:tcBorders>
            <w:tcMar>
              <w:top w:type="dxa" w:w="20"/>
              <w:left w:type="dxa" w:w="80"/>
              <w:bottom w:type="dxa" w:w="20"/>
              <w:right w:type="dxa" w:w="80"/>
            </w:tcMar>
          </w:tcPr>
          <w:p>
            <w:pPr>
              <w:spacing w:after="20" w:before="20" w:line="240"/>
              <w:jc w:val="center"/>
            </w:pPr>
            <w:r>
              <w:rPr>
                <w:rFonts w:ascii="Times New Roman" w:cs="Times New Roman" w:eastAsia="Times New Roman" w:hAnsi="Times New Roman"/>
                <w:b w:val="false"/>
                <w:bCs w:val="false"/>
                <w:i w:val="false"/>
                <w:iCs w:val="false"/>
                <w:sz w:val="24"/>
                <w:szCs w:val="24"/>
              </w:rPr>
              <w:t xml:space="preserve">0</w:t>
            </w:r>
          </w:p>
        </w:tc>
        <w:tc>
          <w:tcPr>
            <w:tcW w:type="dxa" w:w="1200"/>
            <w:tcBorders>
              <w:top w:val="none" w:color="FFFFFF" w:sz="0"/>
              <w:left w:val="none" w:color="FFFFFF" w:sz="0"/>
              <w:bottom w:val="none" w:color="FFFFFF" w:sz="0"/>
              <w:right w:val="none" w:color="FFFFFF" w:sz="0"/>
            </w:tcBorders>
            <w:tcMar>
              <w:top w:type="dxa" w:w="20"/>
              <w:left w:type="dxa" w:w="80"/>
              <w:bottom w:type="dxa" w:w="20"/>
              <w:right w:type="dxa" w:w="80"/>
            </w:tcMar>
          </w:tcPr>
          <w:p>
            <w:pPr>
              <w:spacing w:after="20" w:before="20" w:line="240"/>
              <w:jc w:val="center"/>
            </w:pPr>
            <w:r>
              <w:rPr>
                <w:rFonts w:ascii="Times New Roman" w:cs="Times New Roman" w:eastAsia="Times New Roman" w:hAnsi="Times New Roman"/>
                <w:b w:val="false"/>
                <w:bCs w:val="false"/>
                <w:i w:val="false"/>
                <w:iCs w:val="false"/>
                <w:sz w:val="24"/>
                <w:szCs w:val="24"/>
              </w:rPr>
              <w:t xml:space="preserve">2,372</w:t>
            </w:r>
          </w:p>
        </w:tc>
      </w:tr>
      <w:tr>
        <w:tc>
          <w:tcPr>
            <w:tcW w:type="dxa" w:w="3360"/>
            <w:tcBorders>
              <w:top w:val="none" w:color="FFFFFF" w:sz="0"/>
              <w:left w:val="none" w:color="FFFFFF" w:sz="0"/>
              <w:bottom w:val="none" w:color="FFFFFF" w:sz="0"/>
              <w:right w:val="none" w:color="FFFFFF" w:sz="0"/>
            </w:tcBorders>
            <w:tcMar>
              <w:top w:type="dxa" w:w="20"/>
              <w:left w:type="dxa" w:w="80"/>
              <w:bottom w:type="dxa" w:w="20"/>
              <w:right w:type="dxa" w:w="80"/>
            </w:tcMar>
          </w:tcPr>
          <w:p>
            <w:pPr>
              <w:spacing w:after="20" w:before="20" w:line="240"/>
              <w:jc w:val="left"/>
            </w:pPr>
            <w:r>
              <w:rPr>
                <w:rFonts w:ascii="Times New Roman" w:cs="Times New Roman" w:eastAsia="Times New Roman" w:hAnsi="Times New Roman"/>
                <w:b w:val="false"/>
                <w:bCs w:val="false"/>
                <w:i w:val="false"/>
                <w:iCs w:val="false"/>
                <w:sz w:val="24"/>
                <w:szCs w:val="24"/>
              </w:rPr>
              <w:t xml:space="preserve">Incidence (per 100,000)</w:t>
            </w:r>
          </w:p>
        </w:tc>
        <w:tc>
          <w:tcPr>
            <w:tcW w:type="dxa" w:w="1300"/>
            <w:tcBorders>
              <w:top w:val="none" w:color="FFFFFF" w:sz="0"/>
              <w:left w:val="none" w:color="FFFFFF" w:sz="0"/>
              <w:bottom w:val="none" w:color="FFFFFF" w:sz="0"/>
              <w:right w:val="none" w:color="FFFFFF" w:sz="0"/>
            </w:tcBorders>
            <w:tcMar>
              <w:top w:type="dxa" w:w="20"/>
              <w:left w:type="dxa" w:w="80"/>
              <w:bottom w:type="dxa" w:w="20"/>
              <w:right w:type="dxa" w:w="80"/>
            </w:tcMar>
          </w:tcPr>
          <w:p>
            <w:pPr>
              <w:spacing w:after="20" w:before="20" w:line="240"/>
              <w:jc w:val="center"/>
            </w:pPr>
            <w:r>
              <w:rPr>
                <w:rFonts w:ascii="Times New Roman" w:cs="Times New Roman" w:eastAsia="Times New Roman" w:hAnsi="Times New Roman"/>
                <w:b w:val="false"/>
                <w:bCs w:val="false"/>
                <w:i w:val="false"/>
                <w:iCs w:val="false"/>
                <w:sz w:val="24"/>
                <w:szCs w:val="24"/>
              </w:rPr>
              <w:t xml:space="preserve">4.39</w:t>
            </w:r>
          </w:p>
        </w:tc>
        <w:tc>
          <w:tcPr>
            <w:tcW w:type="dxa" w:w="1150"/>
            <w:tcBorders>
              <w:top w:val="none" w:color="FFFFFF" w:sz="0"/>
              <w:left w:val="none" w:color="FFFFFF" w:sz="0"/>
              <w:bottom w:val="none" w:color="FFFFFF" w:sz="0"/>
              <w:right w:val="none" w:color="FFFFFF" w:sz="0"/>
            </w:tcBorders>
            <w:tcMar>
              <w:top w:type="dxa" w:w="20"/>
              <w:left w:type="dxa" w:w="80"/>
              <w:bottom w:type="dxa" w:w="20"/>
              <w:right w:type="dxa" w:w="80"/>
            </w:tcMar>
          </w:tcPr>
          <w:p>
            <w:pPr>
              <w:spacing w:after="20" w:before="20" w:line="240"/>
              <w:jc w:val="center"/>
            </w:pPr>
            <w:r>
              <w:rPr>
                <w:rFonts w:ascii="Times New Roman" w:cs="Times New Roman" w:eastAsia="Times New Roman" w:hAnsi="Times New Roman"/>
                <w:b w:val="false"/>
                <w:bCs w:val="false"/>
                <w:i w:val="false"/>
                <w:iCs w:val="false"/>
                <w:sz w:val="24"/>
                <w:szCs w:val="24"/>
              </w:rPr>
              <w:t xml:space="preserve">13.35</w:t>
            </w:r>
          </w:p>
        </w:tc>
        <w:tc>
          <w:tcPr>
            <w:tcW w:type="dxa" w:w="1150"/>
            <w:tcBorders>
              <w:top w:val="none" w:color="FFFFFF" w:sz="0"/>
              <w:left w:val="none" w:color="FFFFFF" w:sz="0"/>
              <w:bottom w:val="none" w:color="FFFFFF" w:sz="0"/>
              <w:right w:val="none" w:color="FFFFFF" w:sz="0"/>
            </w:tcBorders>
            <w:tcMar>
              <w:top w:type="dxa" w:w="20"/>
              <w:left w:type="dxa" w:w="80"/>
              <w:bottom w:type="dxa" w:w="20"/>
              <w:right w:type="dxa" w:w="80"/>
            </w:tcMar>
          </w:tcPr>
          <w:p>
            <w:pPr>
              <w:spacing w:after="20" w:before="20" w:line="240"/>
              <w:jc w:val="center"/>
            </w:pPr>
            <w:r>
              <w:rPr>
                <w:rFonts w:ascii="Times New Roman" w:cs="Times New Roman" w:eastAsia="Times New Roman" w:hAnsi="Times New Roman"/>
                <w:b w:val="false"/>
                <w:bCs w:val="false"/>
                <w:i w:val="false"/>
                <w:iCs w:val="false"/>
                <w:sz w:val="24"/>
                <w:szCs w:val="24"/>
              </w:rPr>
              <w:t xml:space="preserve">0.31</w:t>
            </w:r>
          </w:p>
        </w:tc>
        <w:tc>
          <w:tcPr>
            <w:tcW w:type="dxa" w:w="1200"/>
            <w:tcBorders>
              <w:top w:val="none" w:color="FFFFFF" w:sz="0"/>
              <w:left w:val="none" w:color="FFFFFF" w:sz="0"/>
              <w:bottom w:val="none" w:color="FFFFFF" w:sz="0"/>
              <w:right w:val="none" w:color="FFFFFF" w:sz="0"/>
            </w:tcBorders>
            <w:tcMar>
              <w:top w:type="dxa" w:w="20"/>
              <w:left w:type="dxa" w:w="80"/>
              <w:bottom w:type="dxa" w:w="20"/>
              <w:right w:type="dxa" w:w="80"/>
            </w:tcMar>
          </w:tcPr>
          <w:p>
            <w:pPr>
              <w:spacing w:after="20" w:before="20" w:line="240"/>
              <w:jc w:val="center"/>
            </w:pPr>
            <w:r>
              <w:rPr>
                <w:rFonts w:ascii="Times New Roman" w:cs="Times New Roman" w:eastAsia="Times New Roman" w:hAnsi="Times New Roman"/>
                <w:b w:val="false"/>
                <w:bCs w:val="false"/>
                <w:i w:val="false"/>
                <w:iCs w:val="false"/>
                <w:sz w:val="24"/>
                <w:szCs w:val="24"/>
              </w:rPr>
              <w:t xml:space="preserve">0.00</w:t>
            </w:r>
          </w:p>
        </w:tc>
        <w:tc>
          <w:tcPr>
            <w:tcW w:type="dxa" w:w="1200"/>
            <w:tcBorders>
              <w:top w:val="none" w:color="FFFFFF" w:sz="0"/>
              <w:left w:val="none" w:color="FFFFFF" w:sz="0"/>
              <w:bottom w:val="none" w:color="FFFFFF" w:sz="0"/>
              <w:right w:val="none" w:color="FFFFFF" w:sz="0"/>
            </w:tcBorders>
            <w:tcMar>
              <w:top w:type="dxa" w:w="20"/>
              <w:left w:type="dxa" w:w="80"/>
              <w:bottom w:type="dxa" w:w="20"/>
              <w:right w:type="dxa" w:w="80"/>
            </w:tcMar>
          </w:tcPr>
          <w:p>
            <w:pPr>
              <w:spacing w:after="20" w:before="20" w:line="240"/>
              <w:jc w:val="center"/>
            </w:pPr>
            <w:r>
              <w:rPr>
                <w:rFonts w:ascii="Times New Roman" w:cs="Times New Roman" w:eastAsia="Times New Roman" w:hAnsi="Times New Roman"/>
                <w:b w:val="false"/>
                <w:bCs w:val="false"/>
                <w:i w:val="false"/>
                <w:iCs w:val="false"/>
                <w:sz w:val="24"/>
                <w:szCs w:val="24"/>
              </w:rPr>
              <w:t xml:space="preserve">70.66</w:t>
            </w:r>
          </w:p>
        </w:tc>
      </w:tr>
      <w:tr>
        <w:tc>
          <w:tcPr>
            <w:tcW w:type="dxa" w:w="3360"/>
            <w:tcBorders>
              <w:top w:val="none" w:color="FFFFFF" w:sz="0"/>
              <w:left w:val="none" w:color="FFFFFF" w:sz="0"/>
              <w:bottom w:val="none" w:color="FFFFFF" w:sz="0"/>
              <w:right w:val="none" w:color="FFFFFF" w:sz="0"/>
            </w:tcBorders>
            <w:tcMar>
              <w:top w:type="dxa" w:w="20"/>
              <w:left w:type="dxa" w:w="80"/>
              <w:bottom w:type="dxa" w:w="20"/>
              <w:right w:type="dxa" w:w="80"/>
            </w:tcMar>
          </w:tcPr>
          <w:p>
            <w:pPr>
              <w:spacing w:after="20" w:before="20" w:line="240"/>
              <w:jc w:val="left"/>
            </w:pPr>
            <w:r>
              <w:rPr>
                <w:rFonts w:ascii="Times New Roman" w:cs="Times New Roman" w:eastAsia="Times New Roman" w:hAnsi="Times New Roman"/>
                <w:b w:val="false"/>
                <w:bCs w:val="false"/>
                <w:i w:val="false"/>
                <w:iCs w:val="false"/>
                <w:sz w:val="24"/>
                <w:szCs w:val="24"/>
              </w:rPr>
              <w:t xml:space="preserve">Test positivity (%)</w:t>
            </w:r>
          </w:p>
        </w:tc>
        <w:tc>
          <w:tcPr>
            <w:tcW w:type="dxa" w:w="1300"/>
            <w:tcBorders>
              <w:top w:val="none" w:color="FFFFFF" w:sz="0"/>
              <w:left w:val="none" w:color="FFFFFF" w:sz="0"/>
              <w:bottom w:val="none" w:color="FFFFFF" w:sz="0"/>
              <w:right w:val="none" w:color="FFFFFF" w:sz="0"/>
            </w:tcBorders>
            <w:tcMar>
              <w:top w:type="dxa" w:w="20"/>
              <w:left w:type="dxa" w:w="80"/>
              <w:bottom w:type="dxa" w:w="20"/>
              <w:right w:type="dxa" w:w="80"/>
            </w:tcMar>
          </w:tcPr>
          <w:p>
            <w:pPr>
              <w:spacing w:after="20" w:before="20" w:line="240"/>
              <w:jc w:val="center"/>
            </w:pPr>
            <w:r>
              <w:rPr>
                <w:rFonts w:ascii="Times New Roman" w:cs="Times New Roman" w:eastAsia="Times New Roman" w:hAnsi="Times New Roman"/>
                <w:b w:val="false"/>
                <w:bCs w:val="false"/>
                <w:i w:val="false"/>
                <w:iCs w:val="false"/>
                <w:sz w:val="24"/>
                <w:szCs w:val="24"/>
              </w:rPr>
              <w:t xml:space="preserve">9.22</w:t>
            </w:r>
          </w:p>
        </w:tc>
        <w:tc>
          <w:tcPr>
            <w:tcW w:type="dxa" w:w="1150"/>
            <w:tcBorders>
              <w:top w:val="none" w:color="FFFFFF" w:sz="0"/>
              <w:left w:val="none" w:color="FFFFFF" w:sz="0"/>
              <w:bottom w:val="none" w:color="FFFFFF" w:sz="0"/>
              <w:right w:val="none" w:color="FFFFFF" w:sz="0"/>
            </w:tcBorders>
            <w:tcMar>
              <w:top w:type="dxa" w:w="20"/>
              <w:left w:type="dxa" w:w="80"/>
              <w:bottom w:type="dxa" w:w="20"/>
              <w:right w:type="dxa" w:w="80"/>
            </w:tcMar>
          </w:tcPr>
          <w:p>
            <w:pPr>
              <w:spacing w:after="20" w:before="20" w:line="240"/>
              <w:jc w:val="center"/>
            </w:pPr>
            <w:r>
              <w:rPr>
                <w:rFonts w:ascii="Times New Roman" w:cs="Times New Roman" w:eastAsia="Times New Roman" w:hAnsi="Times New Roman"/>
                <w:b w:val="false"/>
                <w:bCs w:val="false"/>
                <w:i w:val="false"/>
                <w:iCs w:val="false"/>
                <w:sz w:val="24"/>
                <w:szCs w:val="24"/>
              </w:rPr>
              <w:t xml:space="preserve">7.29</w:t>
            </w:r>
          </w:p>
        </w:tc>
        <w:tc>
          <w:tcPr>
            <w:tcW w:type="dxa" w:w="1150"/>
            <w:tcBorders>
              <w:top w:val="none" w:color="FFFFFF" w:sz="0"/>
              <w:left w:val="none" w:color="FFFFFF" w:sz="0"/>
              <w:bottom w:val="none" w:color="FFFFFF" w:sz="0"/>
              <w:right w:val="none" w:color="FFFFFF" w:sz="0"/>
            </w:tcBorders>
            <w:tcMar>
              <w:top w:type="dxa" w:w="20"/>
              <w:left w:type="dxa" w:w="80"/>
              <w:bottom w:type="dxa" w:w="20"/>
              <w:right w:type="dxa" w:w="80"/>
            </w:tcMar>
          </w:tcPr>
          <w:p>
            <w:pPr>
              <w:spacing w:after="20" w:before="20" w:line="240"/>
              <w:jc w:val="center"/>
            </w:pPr>
            <w:r>
              <w:rPr>
                <w:rFonts w:ascii="Times New Roman" w:cs="Times New Roman" w:eastAsia="Times New Roman" w:hAnsi="Times New Roman"/>
                <w:b w:val="false"/>
                <w:bCs w:val="false"/>
                <w:i w:val="false"/>
                <w:iCs w:val="false"/>
                <w:sz w:val="24"/>
                <w:szCs w:val="24"/>
              </w:rPr>
              <w:t xml:space="preserve">8.92</w:t>
            </w:r>
          </w:p>
        </w:tc>
        <w:tc>
          <w:tcPr>
            <w:tcW w:type="dxa" w:w="1200"/>
            <w:tcBorders>
              <w:top w:val="none" w:color="FFFFFF" w:sz="0"/>
              <w:left w:val="none" w:color="FFFFFF" w:sz="0"/>
              <w:bottom w:val="none" w:color="FFFFFF" w:sz="0"/>
              <w:right w:val="none" w:color="FFFFFF" w:sz="0"/>
            </w:tcBorders>
            <w:tcMar>
              <w:top w:type="dxa" w:w="20"/>
              <w:left w:type="dxa" w:w="80"/>
              <w:bottom w:type="dxa" w:w="20"/>
              <w:right w:type="dxa" w:w="80"/>
            </w:tcMar>
          </w:tcPr>
          <w:p>
            <w:pPr>
              <w:spacing w:after="20" w:before="20" w:line="240"/>
              <w:jc w:val="center"/>
            </w:pPr>
            <w:r>
              <w:rPr>
                <w:rFonts w:ascii="Times New Roman" w:cs="Times New Roman" w:eastAsia="Times New Roman" w:hAnsi="Times New Roman"/>
                <w:b w:val="false"/>
                <w:bCs w:val="false"/>
                <w:i w:val="false"/>
                <w:iCs w:val="false"/>
                <w:sz w:val="24"/>
                <w:szCs w:val="24"/>
              </w:rPr>
              <w:t xml:space="preserve">0.00</w:t>
            </w:r>
          </w:p>
        </w:tc>
        <w:tc>
          <w:tcPr>
            <w:tcW w:type="dxa" w:w="1200"/>
            <w:tcBorders>
              <w:top w:val="none" w:color="FFFFFF" w:sz="0"/>
              <w:left w:val="none" w:color="FFFFFF" w:sz="0"/>
              <w:bottom w:val="none" w:color="FFFFFF" w:sz="0"/>
              <w:right w:val="none" w:color="FFFFFF" w:sz="0"/>
            </w:tcBorders>
            <w:tcMar>
              <w:top w:type="dxa" w:w="20"/>
              <w:left w:type="dxa" w:w="80"/>
              <w:bottom w:type="dxa" w:w="20"/>
              <w:right w:type="dxa" w:w="80"/>
            </w:tcMar>
          </w:tcPr>
          <w:p>
            <w:pPr>
              <w:spacing w:after="20" w:before="20" w:line="240"/>
              <w:jc w:val="center"/>
            </w:pPr>
            <w:r>
              <w:rPr>
                <w:rFonts w:ascii="Times New Roman" w:cs="Times New Roman" w:eastAsia="Times New Roman" w:hAnsi="Times New Roman"/>
                <w:b w:val="false"/>
                <w:bCs w:val="false"/>
                <w:i w:val="false"/>
                <w:iCs w:val="false"/>
                <w:sz w:val="24"/>
                <w:szCs w:val="24"/>
              </w:rPr>
              <w:t xml:space="preserve">35.31</w:t>
            </w:r>
          </w:p>
        </w:tc>
      </w:tr>
      <w:tr>
        <w:tc>
          <w:tcPr>
            <w:tcW w:type="dxa" w:w="3360"/>
            <w:tcBorders>
              <w:top w:val="none" w:color="FFFFFF" w:sz="0"/>
              <w:left w:val="none" w:color="FFFFFF" w:sz="0"/>
              <w:bottom w:val="none" w:color="FFFFFF" w:sz="0"/>
              <w:right w:val="none" w:color="FFFFFF" w:sz="0"/>
            </w:tcBorders>
            <w:tcMar>
              <w:top w:type="dxa" w:w="20"/>
              <w:left w:type="dxa" w:w="80"/>
              <w:bottom w:type="dxa" w:w="20"/>
              <w:right w:type="dxa" w:w="80"/>
            </w:tcMar>
          </w:tcPr>
          <w:p>
            <w:pPr>
              <w:spacing w:after="20" w:before="20" w:line="240"/>
              <w:jc w:val="left"/>
            </w:pPr>
            <w:r>
              <w:rPr>
                <w:rFonts w:ascii="Times New Roman" w:cs="Times New Roman" w:eastAsia="Times New Roman" w:hAnsi="Times New Roman"/>
                <w:b w:val="false"/>
                <w:bCs w:val="false"/>
                <w:i w:val="false"/>
                <w:iCs w:val="false"/>
                <w:sz w:val="24"/>
                <w:szCs w:val="24"/>
              </w:rPr>
              <w:t xml:space="preserve">Deaths</w:t>
            </w:r>
          </w:p>
        </w:tc>
        <w:tc>
          <w:tcPr>
            <w:tcW w:type="dxa" w:w="1300"/>
            <w:tcBorders>
              <w:top w:val="none" w:color="FFFFFF" w:sz="0"/>
              <w:left w:val="none" w:color="FFFFFF" w:sz="0"/>
              <w:bottom w:val="none" w:color="FFFFFF" w:sz="0"/>
              <w:right w:val="none" w:color="FFFFFF" w:sz="0"/>
            </w:tcBorders>
            <w:tcMar>
              <w:top w:type="dxa" w:w="20"/>
              <w:left w:type="dxa" w:w="80"/>
              <w:bottom w:type="dxa" w:w="20"/>
              <w:right w:type="dxa" w:w="80"/>
            </w:tcMar>
          </w:tcPr>
          <w:p>
            <w:pPr>
              <w:spacing w:after="20" w:before="20" w:line="240"/>
              <w:jc w:val="center"/>
            </w:pPr>
            <w:r>
              <w:rPr>
                <w:rFonts w:ascii="Times New Roman" w:cs="Times New Roman" w:eastAsia="Times New Roman" w:hAnsi="Times New Roman"/>
                <w:b w:val="false"/>
                <w:bCs w:val="false"/>
                <w:i w:val="false"/>
                <w:iCs w:val="false"/>
                <w:sz w:val="24"/>
                <w:szCs w:val="24"/>
              </w:rPr>
              <w:t xml:space="preserve">30.49</w:t>
            </w:r>
          </w:p>
        </w:tc>
        <w:tc>
          <w:tcPr>
            <w:tcW w:type="dxa" w:w="1150"/>
            <w:tcBorders>
              <w:top w:val="none" w:color="FFFFFF" w:sz="0"/>
              <w:left w:val="none" w:color="FFFFFF" w:sz="0"/>
              <w:bottom w:val="none" w:color="FFFFFF" w:sz="0"/>
              <w:right w:val="none" w:color="FFFFFF" w:sz="0"/>
            </w:tcBorders>
            <w:tcMar>
              <w:top w:type="dxa" w:w="20"/>
              <w:left w:type="dxa" w:w="80"/>
              <w:bottom w:type="dxa" w:w="20"/>
              <w:right w:type="dxa" w:w="80"/>
            </w:tcMar>
          </w:tcPr>
          <w:p>
            <w:pPr>
              <w:spacing w:after="20" w:before="20" w:line="240"/>
              <w:jc w:val="center"/>
            </w:pPr>
            <w:r>
              <w:rPr>
                <w:rFonts w:ascii="Times New Roman" w:cs="Times New Roman" w:eastAsia="Times New Roman" w:hAnsi="Times New Roman"/>
                <w:b w:val="false"/>
                <w:bCs w:val="false"/>
                <w:i w:val="false"/>
                <w:iCs w:val="false"/>
                <w:sz w:val="24"/>
                <w:szCs w:val="24"/>
              </w:rPr>
              <w:t xml:space="preserve">66.67</w:t>
            </w:r>
          </w:p>
        </w:tc>
        <w:tc>
          <w:tcPr>
            <w:tcW w:type="dxa" w:w="1150"/>
            <w:tcBorders>
              <w:top w:val="none" w:color="FFFFFF" w:sz="0"/>
              <w:left w:val="none" w:color="FFFFFF" w:sz="0"/>
              <w:bottom w:val="none" w:color="FFFFFF" w:sz="0"/>
              <w:right w:val="none" w:color="FFFFFF" w:sz="0"/>
            </w:tcBorders>
            <w:tcMar>
              <w:top w:type="dxa" w:w="20"/>
              <w:left w:type="dxa" w:w="80"/>
              <w:bottom w:type="dxa" w:w="20"/>
              <w:right w:type="dxa" w:w="80"/>
            </w:tcMar>
          </w:tcPr>
          <w:p>
            <w:pPr>
              <w:spacing w:after="20" w:before="20" w:line="240"/>
              <w:jc w:val="center"/>
            </w:pPr>
            <w:r>
              <w:rPr>
                <w:rFonts w:ascii="Times New Roman" w:cs="Times New Roman" w:eastAsia="Times New Roman" w:hAnsi="Times New Roman"/>
                <w:b w:val="false"/>
                <w:bCs w:val="false"/>
                <w:i w:val="false"/>
                <w:iCs w:val="false"/>
                <w:sz w:val="24"/>
                <w:szCs w:val="24"/>
              </w:rPr>
              <w:t xml:space="preserve">3.00</w:t>
            </w:r>
          </w:p>
        </w:tc>
        <w:tc>
          <w:tcPr>
            <w:tcW w:type="dxa" w:w="1200"/>
            <w:tcBorders>
              <w:top w:val="none" w:color="FFFFFF" w:sz="0"/>
              <w:left w:val="none" w:color="FFFFFF" w:sz="0"/>
              <w:bottom w:val="none" w:color="FFFFFF" w:sz="0"/>
              <w:right w:val="none" w:color="FFFFFF" w:sz="0"/>
            </w:tcBorders>
            <w:tcMar>
              <w:top w:type="dxa" w:w="20"/>
              <w:left w:type="dxa" w:w="80"/>
              <w:bottom w:type="dxa" w:w="20"/>
              <w:right w:type="dxa" w:w="80"/>
            </w:tcMar>
          </w:tcPr>
          <w:p>
            <w:pPr>
              <w:spacing w:after="20" w:before="20" w:line="240"/>
              <w:jc w:val="center"/>
            </w:pPr>
            <w:r>
              <w:rPr>
                <w:rFonts w:ascii="Times New Roman" w:cs="Times New Roman" w:eastAsia="Times New Roman" w:hAnsi="Times New Roman"/>
                <w:b w:val="false"/>
                <w:bCs w:val="false"/>
                <w:i w:val="false"/>
                <w:iCs w:val="false"/>
                <w:sz w:val="24"/>
                <w:szCs w:val="24"/>
              </w:rPr>
              <w:t xml:space="preserve">0</w:t>
            </w:r>
          </w:p>
        </w:tc>
        <w:tc>
          <w:tcPr>
            <w:tcW w:type="dxa" w:w="1200"/>
            <w:tcBorders>
              <w:top w:val="none" w:color="FFFFFF" w:sz="0"/>
              <w:left w:val="none" w:color="FFFFFF" w:sz="0"/>
              <w:bottom w:val="none" w:color="FFFFFF" w:sz="0"/>
              <w:right w:val="none" w:color="FFFFFF" w:sz="0"/>
            </w:tcBorders>
            <w:tcMar>
              <w:top w:type="dxa" w:w="20"/>
              <w:left w:type="dxa" w:w="80"/>
              <w:bottom w:type="dxa" w:w="20"/>
              <w:right w:type="dxa" w:w="80"/>
            </w:tcMar>
          </w:tcPr>
          <w:p>
            <w:pPr>
              <w:spacing w:after="20" w:before="20" w:line="240"/>
              <w:jc w:val="center"/>
            </w:pPr>
            <w:r>
              <w:rPr>
                <w:rFonts w:ascii="Times New Roman" w:cs="Times New Roman" w:eastAsia="Times New Roman" w:hAnsi="Times New Roman"/>
                <w:b w:val="false"/>
                <w:bCs w:val="false"/>
                <w:i w:val="false"/>
                <w:iCs w:val="false"/>
                <w:sz w:val="24"/>
                <w:szCs w:val="24"/>
              </w:rPr>
              <w:t xml:space="preserve">294</w:t>
            </w:r>
          </w:p>
        </w:tc>
      </w:tr>
      <w:tr>
        <w:tc>
          <w:tcPr>
            <w:tcW w:type="dxa" w:w="3360"/>
            <w:tcBorders>
              <w:top w:val="none" w:color="FFFFFF" w:sz="0"/>
              <w:left w:val="none" w:color="FFFFFF" w:sz="0"/>
              <w:bottom w:val="none" w:color="FFFFFF" w:sz="0"/>
              <w:right w:val="none" w:color="FFFFFF" w:sz="0"/>
            </w:tcBorders>
            <w:tcMar>
              <w:top w:type="dxa" w:w="20"/>
              <w:left w:type="dxa" w:w="80"/>
              <w:bottom w:type="dxa" w:w="20"/>
              <w:right w:type="dxa" w:w="80"/>
            </w:tcMar>
          </w:tcPr>
          <w:p>
            <w:pPr>
              <w:spacing w:after="20" w:before="20" w:line="240"/>
              <w:jc w:val="left"/>
            </w:pPr>
            <w:r>
              <w:rPr>
                <w:rFonts w:ascii="Times New Roman" w:cs="Times New Roman" w:eastAsia="Times New Roman" w:hAnsi="Times New Roman"/>
                <w:b w:val="false"/>
                <w:bCs w:val="false"/>
                <w:i w:val="false"/>
                <w:iCs w:val="false"/>
                <w:sz w:val="24"/>
                <w:szCs w:val="24"/>
              </w:rPr>
              <w:t xml:space="preserve">Case-fatality rate (%)</w:t>
            </w:r>
          </w:p>
        </w:tc>
        <w:tc>
          <w:tcPr>
            <w:tcW w:type="dxa" w:w="1300"/>
            <w:tcBorders>
              <w:top w:val="none" w:color="FFFFFF" w:sz="0"/>
              <w:left w:val="none" w:color="FFFFFF" w:sz="0"/>
              <w:bottom w:val="none" w:color="FFFFFF" w:sz="0"/>
              <w:right w:val="none" w:color="FFFFFF" w:sz="0"/>
            </w:tcBorders>
            <w:tcMar>
              <w:top w:type="dxa" w:w="20"/>
              <w:left w:type="dxa" w:w="80"/>
              <w:bottom w:type="dxa" w:w="20"/>
              <w:right w:type="dxa" w:w="80"/>
            </w:tcMar>
          </w:tcPr>
          <w:p>
            <w:pPr>
              <w:spacing w:after="20" w:before="20" w:line="240"/>
              <w:jc w:val="center"/>
            </w:pPr>
            <w:r>
              <w:rPr>
                <w:rFonts w:ascii="Times New Roman" w:cs="Times New Roman" w:eastAsia="Times New Roman" w:hAnsi="Times New Roman"/>
                <w:b w:val="false"/>
                <w:bCs w:val="false"/>
                <w:i w:val="false"/>
                <w:iCs w:val="false"/>
                <w:sz w:val="24"/>
                <w:szCs w:val="24"/>
              </w:rPr>
              <w:t xml:space="preserve">23.15</w:t>
            </w:r>
          </w:p>
        </w:tc>
        <w:tc>
          <w:tcPr>
            <w:tcW w:type="dxa" w:w="1150"/>
            <w:tcBorders>
              <w:top w:val="none" w:color="FFFFFF" w:sz="0"/>
              <w:left w:val="none" w:color="FFFFFF" w:sz="0"/>
              <w:bottom w:val="none" w:color="FFFFFF" w:sz="0"/>
              <w:right w:val="none" w:color="FFFFFF" w:sz="0"/>
            </w:tcBorders>
            <w:tcMar>
              <w:top w:type="dxa" w:w="20"/>
              <w:left w:type="dxa" w:w="80"/>
              <w:bottom w:type="dxa" w:w="20"/>
              <w:right w:type="dxa" w:w="80"/>
            </w:tcMar>
          </w:tcPr>
          <w:p>
            <w:pPr>
              <w:spacing w:after="20" w:before="20" w:line="240"/>
              <w:jc w:val="center"/>
            </w:pPr>
            <w:r>
              <w:rPr>
                <w:rFonts w:ascii="Times New Roman" w:cs="Times New Roman" w:eastAsia="Times New Roman" w:hAnsi="Times New Roman"/>
                <w:b w:val="false"/>
                <w:bCs w:val="false"/>
                <w:i w:val="false"/>
                <w:iCs w:val="false"/>
                <w:sz w:val="24"/>
                <w:szCs w:val="24"/>
              </w:rPr>
              <w:t xml:space="preserve">21.95</w:t>
            </w:r>
          </w:p>
        </w:tc>
        <w:tc>
          <w:tcPr>
            <w:tcW w:type="dxa" w:w="1150"/>
            <w:tcBorders>
              <w:top w:val="none" w:color="FFFFFF" w:sz="0"/>
              <w:left w:val="none" w:color="FFFFFF" w:sz="0"/>
              <w:bottom w:val="none" w:color="FFFFFF" w:sz="0"/>
              <w:right w:val="none" w:color="FFFFFF" w:sz="0"/>
            </w:tcBorders>
            <w:tcMar>
              <w:top w:type="dxa" w:w="20"/>
              <w:left w:type="dxa" w:w="80"/>
              <w:bottom w:type="dxa" w:w="20"/>
              <w:right w:type="dxa" w:w="80"/>
            </w:tcMar>
          </w:tcPr>
          <w:p>
            <w:pPr>
              <w:spacing w:after="20" w:before="20" w:line="240"/>
              <w:jc w:val="center"/>
            </w:pPr>
            <w:r>
              <w:rPr>
                <w:rFonts w:ascii="Times New Roman" w:cs="Times New Roman" w:eastAsia="Times New Roman" w:hAnsi="Times New Roman"/>
                <w:b w:val="false"/>
                <w:bCs w:val="false"/>
                <w:i w:val="false"/>
                <w:iCs w:val="false"/>
                <w:sz w:val="24"/>
                <w:szCs w:val="24"/>
              </w:rPr>
              <w:t xml:space="preserve">18.61</w:t>
            </w:r>
          </w:p>
        </w:tc>
        <w:tc>
          <w:tcPr>
            <w:tcW w:type="dxa" w:w="1200"/>
            <w:tcBorders>
              <w:top w:val="none" w:color="FFFFFF" w:sz="0"/>
              <w:left w:val="none" w:color="FFFFFF" w:sz="0"/>
              <w:bottom w:val="none" w:color="FFFFFF" w:sz="0"/>
              <w:right w:val="none" w:color="FFFFFF" w:sz="0"/>
            </w:tcBorders>
            <w:tcMar>
              <w:top w:type="dxa" w:w="20"/>
              <w:left w:type="dxa" w:w="80"/>
              <w:bottom w:type="dxa" w:w="20"/>
              <w:right w:type="dxa" w:w="80"/>
            </w:tcMar>
          </w:tcPr>
          <w:p>
            <w:pPr>
              <w:spacing w:after="20" w:before="20" w:line="240"/>
              <w:jc w:val="center"/>
            </w:pPr>
            <w:r>
              <w:rPr>
                <w:rFonts w:ascii="Times New Roman" w:cs="Times New Roman" w:eastAsia="Times New Roman" w:hAnsi="Times New Roman"/>
                <w:b w:val="false"/>
                <w:bCs w:val="false"/>
                <w:i w:val="false"/>
                <w:iCs w:val="false"/>
                <w:sz w:val="24"/>
                <w:szCs w:val="24"/>
              </w:rPr>
              <w:t xml:space="preserve">0.00</w:t>
            </w:r>
          </w:p>
        </w:tc>
        <w:tc>
          <w:tcPr>
            <w:tcW w:type="dxa" w:w="1200"/>
            <w:tcBorders>
              <w:top w:val="none" w:color="FFFFFF" w:sz="0"/>
              <w:left w:val="none" w:color="FFFFFF" w:sz="0"/>
              <w:bottom w:val="none" w:color="FFFFFF" w:sz="0"/>
              <w:right w:val="none" w:color="FFFFFF" w:sz="0"/>
            </w:tcBorders>
            <w:tcMar>
              <w:top w:type="dxa" w:w="20"/>
              <w:left w:type="dxa" w:w="80"/>
              <w:bottom w:type="dxa" w:w="20"/>
              <w:right w:type="dxa" w:w="80"/>
            </w:tcMar>
          </w:tcPr>
          <w:p>
            <w:pPr>
              <w:spacing w:after="20" w:before="20" w:line="240"/>
              <w:jc w:val="center"/>
            </w:pPr>
            <w:r>
              <w:rPr>
                <w:rFonts w:ascii="Times New Roman" w:cs="Times New Roman" w:eastAsia="Times New Roman" w:hAnsi="Times New Roman"/>
                <w:b w:val="false"/>
                <w:bCs w:val="false"/>
                <w:i w:val="false"/>
                <w:iCs w:val="false"/>
                <w:sz w:val="24"/>
                <w:szCs w:val="24"/>
              </w:rPr>
              <w:t xml:space="preserve">100.00</w:t>
            </w:r>
          </w:p>
        </w:tc>
      </w:tr>
      <w:tr>
        <w:tc>
          <w:tcPr>
            <w:tcW w:type="dxa" w:w="3360"/>
            <w:tcBorders>
              <w:top w:val="none" w:color="FFFFFF" w:sz="0"/>
              <w:left w:val="none" w:color="FFFFFF" w:sz="0"/>
              <w:bottom w:val="none" w:color="FFFFFF" w:sz="0"/>
              <w:right w:val="none" w:color="FFFFFF" w:sz="0"/>
            </w:tcBorders>
            <w:tcMar>
              <w:top w:type="dxa" w:w="20"/>
              <w:left w:type="dxa" w:w="80"/>
              <w:bottom w:type="dxa" w:w="20"/>
              <w:right w:type="dxa" w:w="80"/>
            </w:tcMar>
          </w:tcPr>
          <w:p>
            <w:pPr>
              <w:spacing w:after="20" w:before="20" w:line="240"/>
              <w:jc w:val="left"/>
            </w:pPr>
            <w:r>
              <w:rPr>
                <w:rFonts w:ascii="Times New Roman" w:cs="Times New Roman" w:eastAsia="Times New Roman" w:hAnsi="Times New Roman"/>
                <w:b w:val="false"/>
                <w:bCs w:val="false"/>
                <w:i w:val="false"/>
                <w:iCs w:val="false"/>
                <w:sz w:val="24"/>
                <w:szCs w:val="24"/>
              </w:rPr>
              <w:t xml:space="preserve">Population (millions)</w:t>
            </w:r>
          </w:p>
        </w:tc>
        <w:tc>
          <w:tcPr>
            <w:tcW w:type="dxa" w:w="1300"/>
            <w:tcBorders>
              <w:top w:val="none" w:color="FFFFFF" w:sz="0"/>
              <w:left w:val="none" w:color="FFFFFF" w:sz="0"/>
              <w:bottom w:val="none" w:color="FFFFFF" w:sz="0"/>
              <w:right w:val="none" w:color="FFFFFF" w:sz="0"/>
            </w:tcBorders>
            <w:tcMar>
              <w:top w:type="dxa" w:w="20"/>
              <w:left w:type="dxa" w:w="80"/>
              <w:bottom w:type="dxa" w:w="20"/>
              <w:right w:type="dxa" w:w="80"/>
            </w:tcMar>
          </w:tcPr>
          <w:p>
            <w:pPr>
              <w:spacing w:after="20" w:before="20" w:line="240"/>
              <w:jc w:val="center"/>
            </w:pPr>
            <w:r>
              <w:rPr>
                <w:rFonts w:ascii="Times New Roman" w:cs="Times New Roman" w:eastAsia="Times New Roman" w:hAnsi="Times New Roman"/>
                <w:b w:val="false"/>
                <w:bCs w:val="false"/>
                <w:i w:val="false"/>
                <w:iCs w:val="false"/>
                <w:sz w:val="24"/>
                <w:szCs w:val="24"/>
              </w:rPr>
              <w:t xml:space="preserve">5.86</w:t>
            </w:r>
          </w:p>
        </w:tc>
        <w:tc>
          <w:tcPr>
            <w:tcW w:type="dxa" w:w="1150"/>
            <w:tcBorders>
              <w:top w:val="none" w:color="FFFFFF" w:sz="0"/>
              <w:left w:val="none" w:color="FFFFFF" w:sz="0"/>
              <w:bottom w:val="none" w:color="FFFFFF" w:sz="0"/>
              <w:right w:val="none" w:color="FFFFFF" w:sz="0"/>
            </w:tcBorders>
            <w:tcMar>
              <w:top w:type="dxa" w:w="20"/>
              <w:left w:type="dxa" w:w="80"/>
              <w:bottom w:type="dxa" w:w="20"/>
              <w:right w:type="dxa" w:w="80"/>
            </w:tcMar>
          </w:tcPr>
          <w:p>
            <w:pPr>
              <w:spacing w:after="20" w:before="20" w:line="240"/>
              <w:jc w:val="center"/>
            </w:pPr>
            <w:r>
              <w:rPr>
                <w:rFonts w:ascii="Times New Roman" w:cs="Times New Roman" w:eastAsia="Times New Roman" w:hAnsi="Times New Roman"/>
                <w:b w:val="false"/>
                <w:bCs w:val="false"/>
                <w:i w:val="false"/>
                <w:iCs w:val="false"/>
                <w:sz w:val="24"/>
                <w:szCs w:val="24"/>
              </w:rPr>
              <w:t xml:space="preserve">3.11</w:t>
            </w:r>
          </w:p>
        </w:tc>
        <w:tc>
          <w:tcPr>
            <w:tcW w:type="dxa" w:w="1150"/>
            <w:tcBorders>
              <w:top w:val="none" w:color="FFFFFF" w:sz="0"/>
              <w:left w:val="none" w:color="FFFFFF" w:sz="0"/>
              <w:bottom w:val="none" w:color="FFFFFF" w:sz="0"/>
              <w:right w:val="none" w:color="FFFFFF" w:sz="0"/>
            </w:tcBorders>
            <w:tcMar>
              <w:top w:type="dxa" w:w="20"/>
              <w:left w:type="dxa" w:w="80"/>
              <w:bottom w:type="dxa" w:w="20"/>
              <w:right w:type="dxa" w:w="80"/>
            </w:tcMar>
          </w:tcPr>
          <w:p>
            <w:pPr>
              <w:spacing w:after="20" w:before="20" w:line="240"/>
              <w:jc w:val="center"/>
            </w:pPr>
            <w:r>
              <w:rPr>
                <w:rFonts w:ascii="Times New Roman" w:cs="Times New Roman" w:eastAsia="Times New Roman" w:hAnsi="Times New Roman"/>
                <w:b w:val="false"/>
                <w:bCs w:val="false"/>
                <w:i w:val="false"/>
                <w:iCs w:val="false"/>
                <w:sz w:val="24"/>
                <w:szCs w:val="24"/>
              </w:rPr>
              <w:t xml:space="preserve">5.08</w:t>
            </w:r>
          </w:p>
        </w:tc>
        <w:tc>
          <w:tcPr>
            <w:tcW w:type="dxa" w:w="1200"/>
            <w:tcBorders>
              <w:top w:val="none" w:color="FFFFFF" w:sz="0"/>
              <w:left w:val="none" w:color="FFFFFF" w:sz="0"/>
              <w:bottom w:val="none" w:color="FFFFFF" w:sz="0"/>
              <w:right w:val="none" w:color="FFFFFF" w:sz="0"/>
            </w:tcBorders>
            <w:tcMar>
              <w:top w:type="dxa" w:w="20"/>
              <w:left w:type="dxa" w:w="80"/>
              <w:bottom w:type="dxa" w:w="20"/>
              <w:right w:type="dxa" w:w="80"/>
            </w:tcMar>
          </w:tcPr>
          <w:p>
            <w:pPr>
              <w:spacing w:after="20" w:before="20" w:line="240"/>
              <w:jc w:val="center"/>
            </w:pPr>
            <w:r>
              <w:rPr>
                <w:rFonts w:ascii="Times New Roman" w:cs="Times New Roman" w:eastAsia="Times New Roman" w:hAnsi="Times New Roman"/>
                <w:b w:val="false"/>
                <w:bCs w:val="false"/>
                <w:i w:val="false"/>
                <w:iCs w:val="false"/>
                <w:sz w:val="24"/>
                <w:szCs w:val="24"/>
              </w:rPr>
              <w:t xml:space="preserve">1.08</w:t>
            </w:r>
          </w:p>
        </w:tc>
        <w:tc>
          <w:tcPr>
            <w:tcW w:type="dxa" w:w="1200"/>
            <w:tcBorders>
              <w:top w:val="none" w:color="FFFFFF" w:sz="0"/>
              <w:left w:val="none" w:color="FFFFFF" w:sz="0"/>
              <w:bottom w:val="none" w:color="FFFFFF" w:sz="0"/>
              <w:right w:val="none" w:color="FFFFFF" w:sz="0"/>
            </w:tcBorders>
            <w:tcMar>
              <w:top w:type="dxa" w:w="20"/>
              <w:left w:type="dxa" w:w="80"/>
              <w:bottom w:type="dxa" w:w="20"/>
              <w:right w:type="dxa" w:w="80"/>
            </w:tcMar>
          </w:tcPr>
          <w:p>
            <w:pPr>
              <w:spacing w:after="20" w:before="20" w:line="240"/>
              <w:jc w:val="center"/>
            </w:pPr>
            <w:r>
              <w:rPr>
                <w:rFonts w:ascii="Times New Roman" w:cs="Times New Roman" w:eastAsia="Times New Roman" w:hAnsi="Times New Roman"/>
                <w:b w:val="false"/>
                <w:bCs w:val="false"/>
                <w:i w:val="false"/>
                <w:iCs w:val="false"/>
                <w:sz w:val="24"/>
                <w:szCs w:val="24"/>
              </w:rPr>
              <w:t xml:space="preserve">17.62</w:t>
            </w:r>
          </w:p>
        </w:tc>
      </w:tr>
      <w:tr>
        <w:tc>
          <w:tcPr>
            <w:tcW w:type="dxa" w:w="3360"/>
            <w:tcBorders>
              <w:top w:val="none" w:color="FFFFFF" w:sz="0"/>
              <w:left w:val="none" w:color="FFFFFF" w:sz="0"/>
              <w:bottom w:val="none" w:color="FFFFFF" w:sz="0"/>
              <w:right w:val="none" w:color="FFFFFF" w:sz="0"/>
            </w:tcBorders>
            <w:tcMar>
              <w:top w:type="dxa" w:w="20"/>
              <w:left w:type="dxa" w:w="80"/>
              <w:bottom w:type="dxa" w:w="20"/>
              <w:right w:type="dxa" w:w="80"/>
            </w:tcMar>
          </w:tcPr>
          <w:p>
            <w:pPr>
              <w:spacing w:after="20" w:before="20" w:line="240"/>
              <w:jc w:val="left"/>
            </w:pPr>
            <w:r>
              <w:rPr>
                <w:rFonts w:ascii="Times New Roman" w:cs="Times New Roman" w:eastAsia="Times New Roman" w:hAnsi="Times New Roman"/>
                <w:b w:val="false"/>
                <w:bCs w:val="false"/>
                <w:i w:val="false"/>
                <w:iCs w:val="false"/>
                <w:sz w:val="24"/>
                <w:szCs w:val="24"/>
              </w:rPr>
              <w:t xml:space="preserve">Population density (per km²)</w:t>
            </w:r>
          </w:p>
        </w:tc>
        <w:tc>
          <w:tcPr>
            <w:tcW w:type="dxa" w:w="1300"/>
            <w:tcBorders>
              <w:top w:val="none" w:color="FFFFFF" w:sz="0"/>
              <w:left w:val="none" w:color="FFFFFF" w:sz="0"/>
              <w:bottom w:val="none" w:color="FFFFFF" w:sz="0"/>
              <w:right w:val="none" w:color="FFFFFF" w:sz="0"/>
            </w:tcBorders>
            <w:tcMar>
              <w:top w:type="dxa" w:w="20"/>
              <w:left w:type="dxa" w:w="80"/>
              <w:bottom w:type="dxa" w:w="20"/>
              <w:right w:type="dxa" w:w="80"/>
            </w:tcMar>
          </w:tcPr>
          <w:p>
            <w:pPr>
              <w:spacing w:after="20" w:before="20" w:line="240"/>
              <w:jc w:val="center"/>
            </w:pPr>
            <w:r>
              <w:rPr>
                <w:rFonts w:ascii="Times New Roman" w:cs="Times New Roman" w:eastAsia="Times New Roman" w:hAnsi="Times New Roman"/>
                <w:b w:val="false"/>
                <w:bCs w:val="false"/>
                <w:i w:val="false"/>
                <w:iCs w:val="false"/>
                <w:sz w:val="24"/>
                <w:szCs w:val="24"/>
              </w:rPr>
              <w:t xml:space="preserve">408.24</w:t>
            </w:r>
          </w:p>
        </w:tc>
        <w:tc>
          <w:tcPr>
            <w:tcW w:type="dxa" w:w="1150"/>
            <w:tcBorders>
              <w:top w:val="none" w:color="FFFFFF" w:sz="0"/>
              <w:left w:val="none" w:color="FFFFFF" w:sz="0"/>
              <w:bottom w:val="none" w:color="FFFFFF" w:sz="0"/>
              <w:right w:val="none" w:color="FFFFFF" w:sz="0"/>
            </w:tcBorders>
            <w:tcMar>
              <w:top w:type="dxa" w:w="20"/>
              <w:left w:type="dxa" w:w="80"/>
              <w:bottom w:type="dxa" w:w="20"/>
              <w:right w:type="dxa" w:w="80"/>
            </w:tcMar>
          </w:tcPr>
          <w:p>
            <w:pPr>
              <w:spacing w:after="20" w:before="20" w:line="240"/>
              <w:jc w:val="center"/>
            </w:pPr>
            <w:r>
              <w:rPr>
                <w:rFonts w:ascii="Times New Roman" w:cs="Times New Roman" w:eastAsia="Times New Roman" w:hAnsi="Times New Roman"/>
                <w:b w:val="false"/>
                <w:bCs w:val="false"/>
                <w:i w:val="false"/>
                <w:iCs w:val="false"/>
                <w:sz w:val="24"/>
                <w:szCs w:val="24"/>
              </w:rPr>
              <w:t xml:space="preserve">466.03</w:t>
            </w:r>
          </w:p>
        </w:tc>
        <w:tc>
          <w:tcPr>
            <w:tcW w:type="dxa" w:w="1150"/>
            <w:tcBorders>
              <w:top w:val="none" w:color="FFFFFF" w:sz="0"/>
              <w:left w:val="none" w:color="FFFFFF" w:sz="0"/>
              <w:bottom w:val="none" w:color="FFFFFF" w:sz="0"/>
              <w:right w:val="none" w:color="FFFFFF" w:sz="0"/>
            </w:tcBorders>
            <w:tcMar>
              <w:top w:type="dxa" w:w="20"/>
              <w:left w:type="dxa" w:w="80"/>
              <w:bottom w:type="dxa" w:w="20"/>
              <w:right w:type="dxa" w:w="80"/>
            </w:tcMar>
          </w:tcPr>
          <w:p>
            <w:pPr>
              <w:spacing w:after="20" w:before="20" w:line="240"/>
              <w:jc w:val="center"/>
            </w:pPr>
            <w:r>
              <w:rPr>
                <w:rFonts w:ascii="Times New Roman" w:cs="Times New Roman" w:eastAsia="Times New Roman" w:hAnsi="Times New Roman"/>
                <w:b w:val="false"/>
                <w:bCs w:val="false"/>
                <w:i w:val="false"/>
                <w:iCs w:val="false"/>
                <w:sz w:val="24"/>
                <w:szCs w:val="24"/>
              </w:rPr>
              <w:t xml:space="preserve">244.00</w:t>
            </w:r>
          </w:p>
        </w:tc>
        <w:tc>
          <w:tcPr>
            <w:tcW w:type="dxa" w:w="1200"/>
            <w:tcBorders>
              <w:top w:val="none" w:color="FFFFFF" w:sz="0"/>
              <w:left w:val="none" w:color="FFFFFF" w:sz="0"/>
              <w:bottom w:val="none" w:color="FFFFFF" w:sz="0"/>
              <w:right w:val="none" w:color="FFFFFF" w:sz="0"/>
            </w:tcBorders>
            <w:tcMar>
              <w:top w:type="dxa" w:w="20"/>
              <w:left w:type="dxa" w:w="80"/>
              <w:bottom w:type="dxa" w:w="20"/>
              <w:right w:type="dxa" w:w="80"/>
            </w:tcMar>
          </w:tcPr>
          <w:p>
            <w:pPr>
              <w:spacing w:after="20" w:before="20" w:line="240"/>
              <w:jc w:val="center"/>
            </w:pPr>
            <w:r>
              <w:rPr>
                <w:rFonts w:ascii="Times New Roman" w:cs="Times New Roman" w:eastAsia="Times New Roman" w:hAnsi="Times New Roman"/>
                <w:b w:val="false"/>
                <w:bCs w:val="false"/>
                <w:i w:val="false"/>
                <w:iCs w:val="false"/>
                <w:sz w:val="24"/>
                <w:szCs w:val="24"/>
              </w:rPr>
              <w:t xml:space="preserve">84.50</w:t>
            </w:r>
          </w:p>
        </w:tc>
        <w:tc>
          <w:tcPr>
            <w:tcW w:type="dxa" w:w="1200"/>
            <w:tcBorders>
              <w:top w:val="none" w:color="FFFFFF" w:sz="0"/>
              <w:left w:val="none" w:color="FFFFFF" w:sz="0"/>
              <w:bottom w:val="none" w:color="FFFFFF" w:sz="0"/>
              <w:right w:val="none" w:color="FFFFFF" w:sz="0"/>
            </w:tcBorders>
            <w:tcMar>
              <w:top w:type="dxa" w:w="20"/>
              <w:left w:type="dxa" w:w="80"/>
              <w:bottom w:type="dxa" w:w="20"/>
              <w:right w:type="dxa" w:w="80"/>
            </w:tcMar>
          </w:tcPr>
          <w:p>
            <w:pPr>
              <w:spacing w:after="20" w:before="20" w:line="240"/>
              <w:jc w:val="center"/>
            </w:pPr>
            <w:r>
              <w:rPr>
                <w:rFonts w:ascii="Times New Roman" w:cs="Times New Roman" w:eastAsia="Times New Roman" w:hAnsi="Times New Roman"/>
                <w:b w:val="false"/>
                <w:bCs w:val="false"/>
                <w:i w:val="false"/>
                <w:iCs w:val="false"/>
                <w:sz w:val="24"/>
                <w:szCs w:val="24"/>
              </w:rPr>
              <w:t xml:space="preserve">2,676.00</w:t>
            </w:r>
          </w:p>
        </w:tc>
      </w:tr>
      <w:tr>
        <w:tc>
          <w:tcPr>
            <w:tcW w:type="dxa" w:w="3360"/>
            <w:tcBorders>
              <w:top w:val="none" w:color="FFFFFF" w:sz="0"/>
              <w:left w:val="none" w:color="FFFFFF" w:sz="0"/>
              <w:bottom w:val="none" w:color="FFFFFF" w:sz="0"/>
              <w:right w:val="none" w:color="FFFFFF" w:sz="0"/>
            </w:tcBorders>
            <w:tcMar>
              <w:top w:type="dxa" w:w="20"/>
              <w:left w:type="dxa" w:w="80"/>
              <w:bottom w:type="dxa" w:w="20"/>
              <w:right w:type="dxa" w:w="80"/>
            </w:tcMar>
          </w:tcPr>
          <w:p>
            <w:pPr>
              <w:spacing w:after="20" w:before="20" w:line="240"/>
              <w:jc w:val="left"/>
            </w:pPr>
            <w:r>
              <w:rPr>
                <w:rFonts w:ascii="Times New Roman" w:cs="Times New Roman" w:eastAsia="Times New Roman" w:hAnsi="Times New Roman"/>
                <w:b w:val="false"/>
                <w:bCs w:val="false"/>
                <w:i w:val="false"/>
                <w:iCs w:val="false"/>
                <w:sz w:val="24"/>
                <w:szCs w:val="24"/>
              </w:rPr>
              <w:t xml:space="preserve">Multidimensional Poverty Index</w:t>
            </w:r>
          </w:p>
        </w:tc>
        <w:tc>
          <w:tcPr>
            <w:tcW w:type="dxa" w:w="1300"/>
            <w:tcBorders>
              <w:top w:val="none" w:color="FFFFFF" w:sz="0"/>
              <w:left w:val="none" w:color="FFFFFF" w:sz="0"/>
              <w:bottom w:val="none" w:color="FFFFFF" w:sz="0"/>
              <w:right w:val="none" w:color="FFFFFF" w:sz="0"/>
            </w:tcBorders>
            <w:tcMar>
              <w:top w:type="dxa" w:w="20"/>
              <w:left w:type="dxa" w:w="80"/>
              <w:bottom w:type="dxa" w:w="20"/>
              <w:right w:type="dxa" w:w="80"/>
            </w:tcMar>
          </w:tcPr>
          <w:p>
            <w:pPr>
              <w:spacing w:after="20" w:before="20" w:line="240"/>
              <w:jc w:val="center"/>
            </w:pPr>
            <w:r>
              <w:rPr>
                <w:rFonts w:ascii="Times New Roman" w:cs="Times New Roman" w:eastAsia="Times New Roman" w:hAnsi="Times New Roman"/>
                <w:b w:val="false"/>
                <w:bCs w:val="false"/>
                <w:i w:val="false"/>
                <w:iCs w:val="false"/>
                <w:sz w:val="24"/>
                <w:szCs w:val="24"/>
              </w:rPr>
              <w:t xml:space="preserve">0.16</w:t>
            </w:r>
          </w:p>
        </w:tc>
        <w:tc>
          <w:tcPr>
            <w:tcW w:type="dxa" w:w="1150"/>
            <w:tcBorders>
              <w:top w:val="none" w:color="FFFFFF" w:sz="0"/>
              <w:left w:val="none" w:color="FFFFFF" w:sz="0"/>
              <w:bottom w:val="none" w:color="FFFFFF" w:sz="0"/>
              <w:right w:val="none" w:color="FFFFFF" w:sz="0"/>
            </w:tcBorders>
            <w:tcMar>
              <w:top w:type="dxa" w:w="20"/>
              <w:left w:type="dxa" w:w="80"/>
              <w:bottom w:type="dxa" w:w="20"/>
              <w:right w:type="dxa" w:w="80"/>
            </w:tcMar>
          </w:tcPr>
          <w:p>
            <w:pPr>
              <w:spacing w:after="20" w:before="20" w:line="240"/>
              <w:jc w:val="center"/>
            </w:pPr>
            <w:r>
              <w:rPr>
                <w:rFonts w:ascii="Times New Roman" w:cs="Times New Roman" w:eastAsia="Times New Roman" w:hAnsi="Times New Roman"/>
                <w:b w:val="false"/>
                <w:bCs w:val="false"/>
                <w:i w:val="false"/>
                <w:iCs w:val="false"/>
                <w:sz w:val="24"/>
                <w:szCs w:val="24"/>
              </w:rPr>
              <w:t xml:space="preserve">0.15</w:t>
            </w:r>
          </w:p>
        </w:tc>
        <w:tc>
          <w:tcPr>
            <w:tcW w:type="dxa" w:w="1150"/>
            <w:tcBorders>
              <w:top w:val="none" w:color="FFFFFF" w:sz="0"/>
              <w:left w:val="none" w:color="FFFFFF" w:sz="0"/>
              <w:bottom w:val="none" w:color="FFFFFF" w:sz="0"/>
              <w:right w:val="none" w:color="FFFFFF" w:sz="0"/>
            </w:tcBorders>
            <w:tcMar>
              <w:top w:type="dxa" w:w="20"/>
              <w:left w:type="dxa" w:w="80"/>
              <w:bottom w:type="dxa" w:w="20"/>
              <w:right w:type="dxa" w:w="80"/>
            </w:tcMar>
          </w:tcPr>
          <w:p>
            <w:pPr>
              <w:spacing w:after="20" w:before="20" w:line="240"/>
              <w:jc w:val="center"/>
            </w:pPr>
            <w:r>
              <w:rPr>
                <w:rFonts w:ascii="Times New Roman" w:cs="Times New Roman" w:eastAsia="Times New Roman" w:hAnsi="Times New Roman"/>
                <w:b w:val="false"/>
                <w:bCs w:val="false"/>
                <w:i w:val="false"/>
                <w:iCs w:val="false"/>
                <w:sz w:val="24"/>
                <w:szCs w:val="24"/>
              </w:rPr>
              <w:t xml:space="preserve">0.09</w:t>
            </w:r>
          </w:p>
        </w:tc>
        <w:tc>
          <w:tcPr>
            <w:tcW w:type="dxa" w:w="1200"/>
            <w:tcBorders>
              <w:top w:val="none" w:color="FFFFFF" w:sz="0"/>
              <w:left w:val="none" w:color="FFFFFF" w:sz="0"/>
              <w:bottom w:val="none" w:color="FFFFFF" w:sz="0"/>
              <w:right w:val="none" w:color="FFFFFF" w:sz="0"/>
            </w:tcBorders>
            <w:tcMar>
              <w:top w:type="dxa" w:w="20"/>
              <w:left w:type="dxa" w:w="80"/>
              <w:bottom w:type="dxa" w:w="20"/>
              <w:right w:type="dxa" w:w="80"/>
            </w:tcMar>
          </w:tcPr>
          <w:p>
            <w:pPr>
              <w:spacing w:after="20" w:before="20" w:line="240"/>
              <w:jc w:val="center"/>
            </w:pPr>
            <w:r>
              <w:rPr>
                <w:rFonts w:ascii="Times New Roman" w:cs="Times New Roman" w:eastAsia="Times New Roman" w:hAnsi="Times New Roman"/>
                <w:b w:val="false"/>
                <w:bCs w:val="false"/>
                <w:i w:val="false"/>
                <w:iCs w:val="false"/>
                <w:sz w:val="24"/>
                <w:szCs w:val="24"/>
              </w:rPr>
              <w:t xml:space="preserve">0.00</w:t>
            </w:r>
          </w:p>
        </w:tc>
        <w:tc>
          <w:tcPr>
            <w:tcW w:type="dxa" w:w="1200"/>
            <w:tcBorders>
              <w:top w:val="none" w:color="FFFFFF" w:sz="0"/>
              <w:left w:val="none" w:color="FFFFFF" w:sz="0"/>
              <w:bottom w:val="none" w:color="FFFFFF" w:sz="0"/>
              <w:right w:val="none" w:color="FFFFFF" w:sz="0"/>
            </w:tcBorders>
            <w:tcMar>
              <w:top w:type="dxa" w:w="20"/>
              <w:left w:type="dxa" w:w="80"/>
              <w:bottom w:type="dxa" w:w="20"/>
              <w:right w:type="dxa" w:w="80"/>
            </w:tcMar>
          </w:tcPr>
          <w:p>
            <w:pPr>
              <w:spacing w:after="20" w:before="20" w:line="240"/>
              <w:jc w:val="center"/>
            </w:pPr>
            <w:r>
              <w:rPr>
                <w:rFonts w:ascii="Times New Roman" w:cs="Times New Roman" w:eastAsia="Times New Roman" w:hAnsi="Times New Roman"/>
                <w:b w:val="false"/>
                <w:bCs w:val="false"/>
                <w:i w:val="false"/>
                <w:iCs w:val="false"/>
                <w:sz w:val="24"/>
                <w:szCs w:val="24"/>
              </w:rPr>
              <w:t xml:space="preserve">0.44</w:t>
            </w:r>
          </w:p>
        </w:tc>
      </w:tr>
      <w:tr>
        <w:tc>
          <w:tcPr>
            <w:tcW w:type="dxa" w:w="3360"/>
            <w:tcBorders>
              <w:top w:val="none" w:color="FFFFFF" w:sz="0"/>
              <w:left w:val="none" w:color="FFFFFF" w:sz="0"/>
              <w:bottom w:val="none" w:color="FFFFFF" w:sz="0"/>
              <w:right w:val="none" w:color="FFFFFF" w:sz="0"/>
            </w:tcBorders>
            <w:tcMar>
              <w:top w:type="dxa" w:w="20"/>
              <w:left w:type="dxa" w:w="80"/>
              <w:bottom w:type="dxa" w:w="20"/>
              <w:right w:type="dxa" w:w="80"/>
            </w:tcMar>
          </w:tcPr>
          <w:p>
            <w:pPr>
              <w:spacing w:after="20" w:before="20" w:line="240"/>
              <w:jc w:val="left"/>
            </w:pPr>
            <w:r>
              <w:rPr>
                <w:rFonts w:ascii="Times New Roman" w:cs="Times New Roman" w:eastAsia="Times New Roman" w:hAnsi="Times New Roman"/>
                <w:b w:val="false"/>
                <w:bCs w:val="false"/>
                <w:i w:val="false"/>
                <w:iCs w:val="false"/>
                <w:sz w:val="24"/>
                <w:szCs w:val="24"/>
              </w:rPr>
              <w:t xml:space="preserve">Poverty headcount (%)</w:t>
            </w:r>
          </w:p>
        </w:tc>
        <w:tc>
          <w:tcPr>
            <w:tcW w:type="dxa" w:w="1300"/>
            <w:tcBorders>
              <w:top w:val="none" w:color="FFFFFF" w:sz="0"/>
              <w:left w:val="none" w:color="FFFFFF" w:sz="0"/>
              <w:bottom w:val="none" w:color="FFFFFF" w:sz="0"/>
              <w:right w:val="none" w:color="FFFFFF" w:sz="0"/>
            </w:tcBorders>
            <w:tcMar>
              <w:top w:type="dxa" w:w="20"/>
              <w:left w:type="dxa" w:w="80"/>
              <w:bottom w:type="dxa" w:w="20"/>
              <w:right w:type="dxa" w:w="80"/>
            </w:tcMar>
          </w:tcPr>
          <w:p>
            <w:pPr>
              <w:spacing w:after="20" w:before="20" w:line="240"/>
              <w:jc w:val="center"/>
            </w:pPr>
            <w:r>
              <w:rPr>
                <w:rFonts w:ascii="Times New Roman" w:cs="Times New Roman" w:eastAsia="Times New Roman" w:hAnsi="Times New Roman"/>
                <w:b w:val="false"/>
                <w:bCs w:val="false"/>
                <w:i w:val="false"/>
                <w:iCs w:val="false"/>
                <w:sz w:val="24"/>
                <w:szCs w:val="24"/>
              </w:rPr>
              <w:t xml:space="preserve">31.22</w:t>
            </w:r>
          </w:p>
        </w:tc>
        <w:tc>
          <w:tcPr>
            <w:tcW w:type="dxa" w:w="1150"/>
            <w:tcBorders>
              <w:top w:val="none" w:color="FFFFFF" w:sz="0"/>
              <w:left w:val="none" w:color="FFFFFF" w:sz="0"/>
              <w:bottom w:val="none" w:color="FFFFFF" w:sz="0"/>
              <w:right w:val="none" w:color="FFFFFF" w:sz="0"/>
            </w:tcBorders>
            <w:tcMar>
              <w:top w:type="dxa" w:w="20"/>
              <w:left w:type="dxa" w:w="80"/>
              <w:bottom w:type="dxa" w:w="20"/>
              <w:right w:type="dxa" w:w="80"/>
            </w:tcMar>
          </w:tcPr>
          <w:p>
            <w:pPr>
              <w:spacing w:after="20" w:before="20" w:line="240"/>
              <w:jc w:val="center"/>
            </w:pPr>
            <w:r>
              <w:rPr>
                <w:rFonts w:ascii="Times New Roman" w:cs="Times New Roman" w:eastAsia="Times New Roman" w:hAnsi="Times New Roman"/>
                <w:b w:val="false"/>
                <w:bCs w:val="false"/>
                <w:i w:val="false"/>
                <w:iCs w:val="false"/>
                <w:sz w:val="24"/>
                <w:szCs w:val="24"/>
              </w:rPr>
              <w:t xml:space="preserve">24.88</w:t>
            </w:r>
          </w:p>
        </w:tc>
        <w:tc>
          <w:tcPr>
            <w:tcW w:type="dxa" w:w="1150"/>
            <w:tcBorders>
              <w:top w:val="none" w:color="FFFFFF" w:sz="0"/>
              <w:left w:val="none" w:color="FFFFFF" w:sz="0"/>
              <w:bottom w:val="none" w:color="FFFFFF" w:sz="0"/>
              <w:right w:val="none" w:color="FFFFFF" w:sz="0"/>
            </w:tcBorders>
            <w:tcMar>
              <w:top w:type="dxa" w:w="20"/>
              <w:left w:type="dxa" w:w="80"/>
              <w:bottom w:type="dxa" w:w="20"/>
              <w:right w:type="dxa" w:w="80"/>
            </w:tcMar>
          </w:tcPr>
          <w:p>
            <w:pPr>
              <w:spacing w:after="20" w:before="20" w:line="240"/>
              <w:jc w:val="center"/>
            </w:pPr>
            <w:r>
              <w:rPr>
                <w:rFonts w:ascii="Times New Roman" w:cs="Times New Roman" w:eastAsia="Times New Roman" w:hAnsi="Times New Roman"/>
                <w:b w:val="false"/>
                <w:bCs w:val="false"/>
                <w:i w:val="false"/>
                <w:iCs w:val="false"/>
                <w:sz w:val="24"/>
                <w:szCs w:val="24"/>
              </w:rPr>
              <w:t xml:space="preserve">19.95</w:t>
            </w:r>
          </w:p>
        </w:tc>
        <w:tc>
          <w:tcPr>
            <w:tcW w:type="dxa" w:w="1200"/>
            <w:tcBorders>
              <w:top w:val="none" w:color="FFFFFF" w:sz="0"/>
              <w:left w:val="none" w:color="FFFFFF" w:sz="0"/>
              <w:bottom w:val="none" w:color="FFFFFF" w:sz="0"/>
              <w:right w:val="none" w:color="FFFFFF" w:sz="0"/>
            </w:tcBorders>
            <w:tcMar>
              <w:top w:type="dxa" w:w="20"/>
              <w:left w:type="dxa" w:w="80"/>
              <w:bottom w:type="dxa" w:w="20"/>
              <w:right w:type="dxa" w:w="80"/>
            </w:tcMar>
          </w:tcPr>
          <w:p>
            <w:pPr>
              <w:spacing w:after="20" w:before="20" w:line="240"/>
              <w:jc w:val="center"/>
            </w:pPr>
            <w:r>
              <w:rPr>
                <w:rFonts w:ascii="Times New Roman" w:cs="Times New Roman" w:eastAsia="Times New Roman" w:hAnsi="Times New Roman"/>
                <w:b w:val="false"/>
                <w:bCs w:val="false"/>
                <w:i w:val="false"/>
                <w:iCs w:val="false"/>
                <w:sz w:val="24"/>
                <w:szCs w:val="24"/>
              </w:rPr>
              <w:t xml:space="preserve">1.11</w:t>
            </w:r>
          </w:p>
        </w:tc>
        <w:tc>
          <w:tcPr>
            <w:tcW w:type="dxa" w:w="1200"/>
            <w:tcBorders>
              <w:top w:val="none" w:color="FFFFFF" w:sz="0"/>
              <w:left w:val="none" w:color="FFFFFF" w:sz="0"/>
              <w:bottom w:val="none" w:color="FFFFFF" w:sz="0"/>
              <w:right w:val="none" w:color="FFFFFF" w:sz="0"/>
            </w:tcBorders>
            <w:tcMar>
              <w:top w:type="dxa" w:w="20"/>
              <w:left w:type="dxa" w:w="80"/>
              <w:bottom w:type="dxa" w:w="20"/>
              <w:right w:type="dxa" w:w="80"/>
            </w:tcMar>
          </w:tcPr>
          <w:p>
            <w:pPr>
              <w:spacing w:after="20" w:before="20" w:line="240"/>
              <w:jc w:val="center"/>
            </w:pPr>
            <w:r>
              <w:rPr>
                <w:rFonts w:ascii="Times New Roman" w:cs="Times New Roman" w:eastAsia="Times New Roman" w:hAnsi="Times New Roman"/>
                <w:b w:val="false"/>
                <w:bCs w:val="false"/>
                <w:i w:val="false"/>
                <w:iCs w:val="false"/>
                <w:sz w:val="24"/>
                <w:szCs w:val="24"/>
              </w:rPr>
              <w:t xml:space="preserve">75.36</w:t>
            </w:r>
          </w:p>
        </w:tc>
      </w:tr>
      <w:tr>
        <w:tc>
          <w:tcPr>
            <w:tcW w:type="dxa" w:w="3360"/>
            <w:tcBorders>
              <w:top w:val="none" w:color="FFFFFF" w:sz="0"/>
              <w:left w:val="none" w:color="FFFFFF" w:sz="0"/>
              <w:bottom w:val="none" w:color="FFFFFF" w:sz="0"/>
              <w:right w:val="none" w:color="FFFFFF" w:sz="0"/>
            </w:tcBorders>
            <w:tcMar>
              <w:top w:type="dxa" w:w="20"/>
              <w:left w:type="dxa" w:w="80"/>
              <w:bottom w:type="dxa" w:w="20"/>
              <w:right w:type="dxa" w:w="80"/>
            </w:tcMar>
          </w:tcPr>
          <w:p>
            <w:pPr>
              <w:spacing w:after="20" w:before="20" w:line="240"/>
              <w:jc w:val="left"/>
            </w:pPr>
            <w:r>
              <w:rPr>
                <w:rFonts w:ascii="Times New Roman" w:cs="Times New Roman" w:eastAsia="Times New Roman" w:hAnsi="Times New Roman"/>
                <w:b w:val="false"/>
                <w:bCs w:val="false"/>
                <w:i w:val="false"/>
                <w:iCs w:val="false"/>
                <w:sz w:val="24"/>
                <w:szCs w:val="24"/>
              </w:rPr>
              <w:t xml:space="preserve">Health facilities (per 100,000)</w:t>
            </w:r>
          </w:p>
        </w:tc>
        <w:tc>
          <w:tcPr>
            <w:tcW w:type="dxa" w:w="1300"/>
            <w:tcBorders>
              <w:top w:val="none" w:color="FFFFFF" w:sz="0"/>
              <w:left w:val="none" w:color="FFFFFF" w:sz="0"/>
              <w:bottom w:val="none" w:color="FFFFFF" w:sz="0"/>
              <w:right w:val="none" w:color="FFFFFF" w:sz="0"/>
            </w:tcBorders>
            <w:tcMar>
              <w:top w:type="dxa" w:w="20"/>
              <w:left w:type="dxa" w:w="80"/>
              <w:bottom w:type="dxa" w:w="20"/>
              <w:right w:type="dxa" w:w="80"/>
            </w:tcMar>
          </w:tcPr>
          <w:p>
            <w:pPr>
              <w:spacing w:after="20" w:before="20" w:line="240"/>
              <w:jc w:val="center"/>
            </w:pPr>
            <w:r>
              <w:rPr>
                <w:rFonts w:ascii="Times New Roman" w:cs="Times New Roman" w:eastAsia="Times New Roman" w:hAnsi="Times New Roman"/>
                <w:b w:val="false"/>
                <w:bCs w:val="false"/>
                <w:i w:val="false"/>
                <w:iCs w:val="false"/>
                <w:sz w:val="24"/>
                <w:szCs w:val="24"/>
              </w:rPr>
              <w:t xml:space="preserve">24.70</w:t>
            </w:r>
          </w:p>
        </w:tc>
        <w:tc>
          <w:tcPr>
            <w:tcW w:type="dxa" w:w="1150"/>
            <w:tcBorders>
              <w:top w:val="none" w:color="FFFFFF" w:sz="0"/>
              <w:left w:val="none" w:color="FFFFFF" w:sz="0"/>
              <w:bottom w:val="none" w:color="FFFFFF" w:sz="0"/>
              <w:right w:val="none" w:color="FFFFFF" w:sz="0"/>
            </w:tcBorders>
            <w:tcMar>
              <w:top w:type="dxa" w:w="20"/>
              <w:left w:type="dxa" w:w="80"/>
              <w:bottom w:type="dxa" w:w="20"/>
              <w:right w:type="dxa" w:w="80"/>
            </w:tcMar>
          </w:tcPr>
          <w:p>
            <w:pPr>
              <w:spacing w:after="20" w:before="20" w:line="240"/>
              <w:jc w:val="center"/>
            </w:pPr>
            <w:r>
              <w:rPr>
                <w:rFonts w:ascii="Times New Roman" w:cs="Times New Roman" w:eastAsia="Times New Roman" w:hAnsi="Times New Roman"/>
                <w:b w:val="false"/>
                <w:bCs w:val="false"/>
                <w:i w:val="false"/>
                <w:iCs w:val="false"/>
                <w:sz w:val="24"/>
                <w:szCs w:val="24"/>
              </w:rPr>
              <w:t xml:space="preserve">11.83</w:t>
            </w:r>
          </w:p>
        </w:tc>
        <w:tc>
          <w:tcPr>
            <w:tcW w:type="dxa" w:w="1150"/>
            <w:tcBorders>
              <w:top w:val="none" w:color="FFFFFF" w:sz="0"/>
              <w:left w:val="none" w:color="FFFFFF" w:sz="0"/>
              <w:bottom w:val="none" w:color="FFFFFF" w:sz="0"/>
              <w:right w:val="none" w:color="FFFFFF" w:sz="0"/>
            </w:tcBorders>
            <w:tcMar>
              <w:top w:type="dxa" w:w="20"/>
              <w:left w:type="dxa" w:w="80"/>
              <w:bottom w:type="dxa" w:w="20"/>
              <w:right w:type="dxa" w:w="80"/>
            </w:tcMar>
          </w:tcPr>
          <w:p>
            <w:pPr>
              <w:spacing w:after="20" w:before="20" w:line="240"/>
              <w:jc w:val="center"/>
            </w:pPr>
            <w:r>
              <w:rPr>
                <w:rFonts w:ascii="Times New Roman" w:cs="Times New Roman" w:eastAsia="Times New Roman" w:hAnsi="Times New Roman"/>
                <w:b w:val="false"/>
                <w:bCs w:val="false"/>
                <w:i w:val="false"/>
                <w:iCs w:val="false"/>
                <w:sz w:val="24"/>
                <w:szCs w:val="24"/>
              </w:rPr>
              <w:t xml:space="preserve">22.80</w:t>
            </w:r>
          </w:p>
        </w:tc>
        <w:tc>
          <w:tcPr>
            <w:tcW w:type="dxa" w:w="1200"/>
            <w:tcBorders>
              <w:top w:val="none" w:color="FFFFFF" w:sz="0"/>
              <w:left w:val="none" w:color="FFFFFF" w:sz="0"/>
              <w:bottom w:val="none" w:color="FFFFFF" w:sz="0"/>
              <w:right w:val="none" w:color="FFFFFF" w:sz="0"/>
            </w:tcBorders>
            <w:tcMar>
              <w:top w:type="dxa" w:w="20"/>
              <w:left w:type="dxa" w:w="80"/>
              <w:bottom w:type="dxa" w:w="20"/>
              <w:right w:type="dxa" w:w="80"/>
            </w:tcMar>
          </w:tcPr>
          <w:p>
            <w:pPr>
              <w:spacing w:after="20" w:before="20" w:line="240"/>
              <w:jc w:val="center"/>
            </w:pPr>
            <w:r>
              <w:rPr>
                <w:rFonts w:ascii="Times New Roman" w:cs="Times New Roman" w:eastAsia="Times New Roman" w:hAnsi="Times New Roman"/>
                <w:b w:val="false"/>
                <w:bCs w:val="false"/>
                <w:i w:val="false"/>
                <w:iCs w:val="false"/>
                <w:sz w:val="24"/>
                <w:szCs w:val="24"/>
              </w:rPr>
              <w:t xml:space="preserve">8.90</w:t>
            </w:r>
          </w:p>
        </w:tc>
        <w:tc>
          <w:tcPr>
            <w:tcW w:type="dxa" w:w="1200"/>
            <w:tcBorders>
              <w:top w:val="none" w:color="FFFFFF" w:sz="0"/>
              <w:left w:val="none" w:color="FFFFFF" w:sz="0"/>
              <w:bottom w:val="none" w:color="FFFFFF" w:sz="0"/>
              <w:right w:val="none" w:color="FFFFFF" w:sz="0"/>
            </w:tcBorders>
            <w:tcMar>
              <w:top w:type="dxa" w:w="20"/>
              <w:left w:type="dxa" w:w="80"/>
              <w:bottom w:type="dxa" w:w="20"/>
              <w:right w:type="dxa" w:w="80"/>
            </w:tcMar>
          </w:tcPr>
          <w:p>
            <w:pPr>
              <w:spacing w:after="20" w:before="20" w:line="240"/>
              <w:jc w:val="center"/>
            </w:pPr>
            <w:r>
              <w:rPr>
                <w:rFonts w:ascii="Times New Roman" w:cs="Times New Roman" w:eastAsia="Times New Roman" w:hAnsi="Times New Roman"/>
                <w:b w:val="false"/>
                <w:bCs w:val="false"/>
                <w:i w:val="false"/>
                <w:iCs w:val="false"/>
                <w:sz w:val="24"/>
                <w:szCs w:val="24"/>
              </w:rPr>
              <w:t xml:space="preserve">72.90</w:t>
            </w:r>
          </w:p>
        </w:tc>
      </w:tr>
      <w:tr>
        <w:tc>
          <w:tcPr>
            <w:tcW w:type="dxa" w:w="3360"/>
            <w:tcBorders>
              <w:top w:val="none" w:color="FFFFFF" w:sz="0"/>
              <w:left w:val="none" w:color="FFFFFF" w:sz="0"/>
              <w:bottom w:val="none" w:color="FFFFFF" w:sz="0"/>
              <w:right w:val="none" w:color="FFFFFF" w:sz="0"/>
            </w:tcBorders>
            <w:tcMar>
              <w:top w:type="dxa" w:w="20"/>
              <w:left w:type="dxa" w:w="80"/>
              <w:bottom w:type="dxa" w:w="20"/>
              <w:right w:type="dxa" w:w="80"/>
            </w:tcMar>
          </w:tcPr>
          <w:p>
            <w:pPr>
              <w:spacing w:after="20" w:before="20" w:line="240"/>
              <w:jc w:val="left"/>
            </w:pPr>
            <w:r>
              <w:rPr>
                <w:rFonts w:ascii="Times New Roman" w:cs="Times New Roman" w:eastAsia="Times New Roman" w:hAnsi="Times New Roman"/>
                <w:b w:val="false"/>
                <w:bCs w:val="false"/>
                <w:i/>
                <w:iCs/>
                <w:sz w:val="24"/>
                <w:szCs w:val="24"/>
              </w:rPr>
              <w:t xml:space="preserve">M. natalensis</w:t>
            </w:r>
            <w:r>
              <w:rPr>
                <w:rFonts w:ascii="Times New Roman" w:cs="Times New Roman" w:eastAsia="Times New Roman" w:hAnsi="Times New Roman"/>
                <w:b w:val="false"/>
                <w:bCs w:val="false"/>
                <w:i w:val="false"/>
                <w:iCs w:val="false"/>
                <w:sz w:val="24"/>
                <w:szCs w:val="24"/>
              </w:rPr>
              <w:t xml:space="preserve"> occurrences (GBIF)</w:t>
            </w:r>
          </w:p>
        </w:tc>
        <w:tc>
          <w:tcPr>
            <w:tcW w:type="dxa" w:w="1300"/>
            <w:tcBorders>
              <w:top w:val="none" w:color="FFFFFF" w:sz="0"/>
              <w:left w:val="none" w:color="FFFFFF" w:sz="0"/>
              <w:bottom w:val="none" w:color="FFFFFF" w:sz="0"/>
              <w:right w:val="none" w:color="FFFFFF" w:sz="0"/>
            </w:tcBorders>
            <w:tcMar>
              <w:top w:type="dxa" w:w="20"/>
              <w:left w:type="dxa" w:w="80"/>
              <w:bottom w:type="dxa" w:w="20"/>
              <w:right w:type="dxa" w:w="80"/>
            </w:tcMar>
          </w:tcPr>
          <w:p>
            <w:pPr>
              <w:spacing w:after="20" w:before="20" w:line="240"/>
              <w:jc w:val="center"/>
            </w:pPr>
            <w:r>
              <w:rPr>
                <w:rFonts w:ascii="Times New Roman" w:cs="Times New Roman" w:eastAsia="Times New Roman" w:hAnsi="Times New Roman"/>
                <w:b w:val="false"/>
                <w:bCs w:val="false"/>
                <w:i w:val="false"/>
                <w:iCs w:val="false"/>
                <w:sz w:val="24"/>
                <w:szCs w:val="24"/>
              </w:rPr>
              <w:t xml:space="preserve">3.73</w:t>
            </w:r>
          </w:p>
        </w:tc>
        <w:tc>
          <w:tcPr>
            <w:tcW w:type="dxa" w:w="1150"/>
            <w:tcBorders>
              <w:top w:val="none" w:color="FFFFFF" w:sz="0"/>
              <w:left w:val="none" w:color="FFFFFF" w:sz="0"/>
              <w:bottom w:val="none" w:color="FFFFFF" w:sz="0"/>
              <w:right w:val="none" w:color="FFFFFF" w:sz="0"/>
            </w:tcBorders>
            <w:tcMar>
              <w:top w:type="dxa" w:w="20"/>
              <w:left w:type="dxa" w:w="80"/>
              <w:bottom w:type="dxa" w:w="20"/>
              <w:right w:type="dxa" w:w="80"/>
            </w:tcMar>
          </w:tcPr>
          <w:p>
            <w:pPr>
              <w:spacing w:after="20" w:before="20" w:line="240"/>
              <w:jc w:val="center"/>
            </w:pPr>
            <w:r>
              <w:rPr>
                <w:rFonts w:ascii="Times New Roman" w:cs="Times New Roman" w:eastAsia="Times New Roman" w:hAnsi="Times New Roman"/>
                <w:b w:val="false"/>
                <w:bCs w:val="false"/>
                <w:i w:val="false"/>
                <w:iCs w:val="false"/>
                <w:sz w:val="24"/>
                <w:szCs w:val="24"/>
              </w:rPr>
              <w:t xml:space="preserve">6.45</w:t>
            </w:r>
          </w:p>
        </w:tc>
        <w:tc>
          <w:tcPr>
            <w:tcW w:type="dxa" w:w="1150"/>
            <w:tcBorders>
              <w:top w:val="none" w:color="FFFFFF" w:sz="0"/>
              <w:left w:val="none" w:color="FFFFFF" w:sz="0"/>
              <w:bottom w:val="none" w:color="FFFFFF" w:sz="0"/>
              <w:right w:val="none" w:color="FFFFFF" w:sz="0"/>
            </w:tcBorders>
            <w:tcMar>
              <w:top w:type="dxa" w:w="20"/>
              <w:left w:type="dxa" w:w="80"/>
              <w:bottom w:type="dxa" w:w="20"/>
              <w:right w:type="dxa" w:w="80"/>
            </w:tcMar>
          </w:tcPr>
          <w:p>
            <w:pPr>
              <w:spacing w:after="20" w:before="20" w:line="240"/>
              <w:jc w:val="center"/>
            </w:pPr>
            <w:r>
              <w:rPr>
                <w:rFonts w:ascii="Times New Roman" w:cs="Times New Roman" w:eastAsia="Times New Roman" w:hAnsi="Times New Roman"/>
                <w:b w:val="false"/>
                <w:bCs w:val="false"/>
                <w:i w:val="false"/>
                <w:iCs w:val="false"/>
                <w:sz w:val="24"/>
                <w:szCs w:val="24"/>
              </w:rPr>
              <w:t xml:space="preserve">0.00</w:t>
            </w:r>
          </w:p>
        </w:tc>
        <w:tc>
          <w:tcPr>
            <w:tcW w:type="dxa" w:w="1200"/>
            <w:tcBorders>
              <w:top w:val="none" w:color="FFFFFF" w:sz="0"/>
              <w:left w:val="none" w:color="FFFFFF" w:sz="0"/>
              <w:bottom w:val="none" w:color="FFFFFF" w:sz="0"/>
              <w:right w:val="none" w:color="FFFFFF" w:sz="0"/>
            </w:tcBorders>
            <w:tcMar>
              <w:top w:type="dxa" w:w="20"/>
              <w:left w:type="dxa" w:w="80"/>
              <w:bottom w:type="dxa" w:w="20"/>
              <w:right w:type="dxa" w:w="80"/>
            </w:tcMar>
          </w:tcPr>
          <w:p>
            <w:pPr>
              <w:spacing w:after="20" w:before="20" w:line="240"/>
              <w:jc w:val="center"/>
            </w:pPr>
            <w:r>
              <w:rPr>
                <w:rFonts w:ascii="Times New Roman" w:cs="Times New Roman" w:eastAsia="Times New Roman" w:hAnsi="Times New Roman"/>
                <w:b w:val="false"/>
                <w:bCs w:val="false"/>
                <w:i w:val="false"/>
                <w:iCs w:val="false"/>
                <w:sz w:val="24"/>
                <w:szCs w:val="24"/>
              </w:rPr>
              <w:t xml:space="preserve">0</w:t>
            </w:r>
          </w:p>
        </w:tc>
        <w:tc>
          <w:tcPr>
            <w:tcW w:type="dxa" w:w="1200"/>
            <w:tcBorders>
              <w:top w:val="none" w:color="FFFFFF" w:sz="0"/>
              <w:left w:val="none" w:color="FFFFFF" w:sz="0"/>
              <w:bottom w:val="none" w:color="FFFFFF" w:sz="0"/>
              <w:right w:val="none" w:color="FFFFFF" w:sz="0"/>
            </w:tcBorders>
            <w:tcMar>
              <w:top w:type="dxa" w:w="20"/>
              <w:left w:type="dxa" w:w="80"/>
              <w:bottom w:type="dxa" w:w="20"/>
              <w:right w:type="dxa" w:w="80"/>
            </w:tcMar>
          </w:tcPr>
          <w:p>
            <w:pPr>
              <w:spacing w:after="20" w:before="20" w:line="240"/>
              <w:jc w:val="center"/>
            </w:pPr>
            <w:r>
              <w:rPr>
                <w:rFonts w:ascii="Times New Roman" w:cs="Times New Roman" w:eastAsia="Times New Roman" w:hAnsi="Times New Roman"/>
                <w:b w:val="false"/>
                <w:bCs w:val="false"/>
                <w:i w:val="false"/>
                <w:iCs w:val="false"/>
                <w:sz w:val="24"/>
                <w:szCs w:val="24"/>
              </w:rPr>
              <w:t xml:space="preserve">24</w:t>
            </w:r>
          </w:p>
        </w:tc>
      </w:tr>
      <w:tr>
        <w:tc>
          <w:tcPr>
            <w:tcW w:type="dxa" w:w="3360"/>
            <w:tcBorders>
              <w:top w:val="none" w:color="FFFFFF" w:sz="0"/>
              <w:left w:val="none" w:color="FFFFFF" w:sz="0"/>
              <w:bottom w:val="none" w:color="FFFFFF" w:sz="0"/>
              <w:right w:val="none" w:color="FFFFFF" w:sz="0"/>
            </w:tcBorders>
            <w:tcMar>
              <w:top w:type="dxa" w:w="20"/>
              <w:left w:type="dxa" w:w="80"/>
              <w:bottom w:type="dxa" w:w="20"/>
              <w:right w:type="dxa" w:w="80"/>
            </w:tcMar>
          </w:tcPr>
          <w:p>
            <w:pPr>
              <w:spacing w:after="20" w:before="20" w:line="240"/>
              <w:jc w:val="left"/>
            </w:pPr>
            <w:r>
              <w:rPr>
                <w:rFonts w:ascii="Times New Roman" w:cs="Times New Roman" w:eastAsia="Times New Roman" w:hAnsi="Times New Roman"/>
                <w:b w:val="false"/>
                <w:bCs w:val="false"/>
                <w:i w:val="false"/>
                <w:iCs w:val="false"/>
                <w:sz w:val="24"/>
                <w:szCs w:val="24"/>
              </w:rPr>
              <w:t xml:space="preserve">Centroid latitude (°N)</w:t>
            </w:r>
          </w:p>
        </w:tc>
        <w:tc>
          <w:tcPr>
            <w:tcW w:type="dxa" w:w="1300"/>
            <w:tcBorders>
              <w:top w:val="none" w:color="FFFFFF" w:sz="0"/>
              <w:left w:val="none" w:color="FFFFFF" w:sz="0"/>
              <w:bottom w:val="none" w:color="FFFFFF" w:sz="0"/>
              <w:right w:val="none" w:color="FFFFFF" w:sz="0"/>
            </w:tcBorders>
            <w:tcMar>
              <w:top w:type="dxa" w:w="20"/>
              <w:left w:type="dxa" w:w="80"/>
              <w:bottom w:type="dxa" w:w="20"/>
              <w:right w:type="dxa" w:w="80"/>
            </w:tcMar>
          </w:tcPr>
          <w:p>
            <w:pPr>
              <w:spacing w:after="20" w:before="20" w:line="240"/>
              <w:jc w:val="center"/>
            </w:pPr>
            <w:r>
              <w:rPr>
                <w:rFonts w:ascii="Times New Roman" w:cs="Times New Roman" w:eastAsia="Times New Roman" w:hAnsi="Times New Roman"/>
                <w:b w:val="false"/>
                <w:bCs w:val="false"/>
                <w:i w:val="false"/>
                <w:iCs w:val="false"/>
                <w:sz w:val="24"/>
                <w:szCs w:val="24"/>
              </w:rPr>
              <w:t xml:space="preserve">8.47</w:t>
            </w:r>
          </w:p>
        </w:tc>
        <w:tc>
          <w:tcPr>
            <w:tcW w:type="dxa" w:w="1150"/>
            <w:tcBorders>
              <w:top w:val="none" w:color="FFFFFF" w:sz="0"/>
              <w:left w:val="none" w:color="FFFFFF" w:sz="0"/>
              <w:bottom w:val="none" w:color="FFFFFF" w:sz="0"/>
              <w:right w:val="none" w:color="FFFFFF" w:sz="0"/>
            </w:tcBorders>
            <w:tcMar>
              <w:top w:type="dxa" w:w="20"/>
              <w:left w:type="dxa" w:w="80"/>
              <w:bottom w:type="dxa" w:w="20"/>
              <w:right w:type="dxa" w:w="80"/>
            </w:tcMar>
          </w:tcPr>
          <w:p>
            <w:pPr>
              <w:spacing w:after="20" w:before="20" w:line="240"/>
              <w:jc w:val="center"/>
            </w:pPr>
            <w:r>
              <w:rPr>
                <w:rFonts w:ascii="Times New Roman" w:cs="Times New Roman" w:eastAsia="Times New Roman" w:hAnsi="Times New Roman"/>
                <w:b w:val="false"/>
                <w:bCs w:val="false"/>
                <w:i w:val="false"/>
                <w:iCs w:val="false"/>
                <w:sz w:val="24"/>
                <w:szCs w:val="24"/>
              </w:rPr>
              <w:t xml:space="preserve">2.52</w:t>
            </w:r>
          </w:p>
        </w:tc>
        <w:tc>
          <w:tcPr>
            <w:tcW w:type="dxa" w:w="1150"/>
            <w:tcBorders>
              <w:top w:val="none" w:color="FFFFFF" w:sz="0"/>
              <w:left w:val="none" w:color="FFFFFF" w:sz="0"/>
              <w:bottom w:val="none" w:color="FFFFFF" w:sz="0"/>
              <w:right w:val="none" w:color="FFFFFF" w:sz="0"/>
            </w:tcBorders>
            <w:tcMar>
              <w:top w:type="dxa" w:w="20"/>
              <w:left w:type="dxa" w:w="80"/>
              <w:bottom w:type="dxa" w:w="20"/>
              <w:right w:type="dxa" w:w="80"/>
            </w:tcMar>
          </w:tcPr>
          <w:p>
            <w:pPr>
              <w:spacing w:after="20" w:before="20" w:line="240"/>
              <w:jc w:val="center"/>
            </w:pPr>
            <w:r>
              <w:rPr>
                <w:rFonts w:ascii="Times New Roman" w:cs="Times New Roman" w:eastAsia="Times New Roman" w:hAnsi="Times New Roman"/>
                <w:b w:val="false"/>
                <w:bCs w:val="false"/>
                <w:i w:val="false"/>
                <w:iCs w:val="false"/>
                <w:sz w:val="24"/>
                <w:szCs w:val="24"/>
              </w:rPr>
              <w:t xml:space="preserve">8.03</w:t>
            </w:r>
          </w:p>
        </w:tc>
        <w:tc>
          <w:tcPr>
            <w:tcW w:type="dxa" w:w="1200"/>
            <w:tcBorders>
              <w:top w:val="none" w:color="FFFFFF" w:sz="0"/>
              <w:left w:val="none" w:color="FFFFFF" w:sz="0"/>
              <w:bottom w:val="none" w:color="FFFFFF" w:sz="0"/>
              <w:right w:val="none" w:color="FFFFFF" w:sz="0"/>
            </w:tcBorders>
            <w:tcMar>
              <w:top w:type="dxa" w:w="20"/>
              <w:left w:type="dxa" w:w="80"/>
              <w:bottom w:type="dxa" w:w="20"/>
              <w:right w:type="dxa" w:w="80"/>
            </w:tcMar>
          </w:tcPr>
          <w:p>
            <w:pPr>
              <w:spacing w:after="20" w:before="20" w:line="240"/>
              <w:jc w:val="center"/>
            </w:pPr>
            <w:r>
              <w:rPr>
                <w:rFonts w:ascii="Times New Roman" w:cs="Times New Roman" w:eastAsia="Times New Roman" w:hAnsi="Times New Roman"/>
                <w:b w:val="false"/>
                <w:bCs w:val="false"/>
                <w:i w:val="false"/>
                <w:iCs w:val="false"/>
                <w:sz w:val="24"/>
                <w:szCs w:val="24"/>
              </w:rPr>
              <w:t xml:space="preserve">4.77</w:t>
            </w:r>
          </w:p>
        </w:tc>
        <w:tc>
          <w:tcPr>
            <w:tcW w:type="dxa" w:w="1200"/>
            <w:tcBorders>
              <w:top w:val="none" w:color="FFFFFF" w:sz="0"/>
              <w:left w:val="none" w:color="FFFFFF" w:sz="0"/>
              <w:bottom w:val="none" w:color="FFFFFF" w:sz="0"/>
              <w:right w:val="none" w:color="FFFFFF" w:sz="0"/>
            </w:tcBorders>
            <w:tcMar>
              <w:top w:type="dxa" w:w="20"/>
              <w:left w:type="dxa" w:w="80"/>
              <w:bottom w:type="dxa" w:w="20"/>
              <w:right w:type="dxa" w:w="80"/>
            </w:tcMar>
          </w:tcPr>
          <w:p>
            <w:pPr>
              <w:spacing w:after="20" w:before="20" w:line="240"/>
              <w:jc w:val="center"/>
            </w:pPr>
            <w:r>
              <w:rPr>
                <w:rFonts w:ascii="Times New Roman" w:cs="Times New Roman" w:eastAsia="Times New Roman" w:hAnsi="Times New Roman"/>
                <w:b w:val="false"/>
                <w:bCs w:val="false"/>
                <w:i w:val="false"/>
                <w:iCs w:val="false"/>
                <w:sz w:val="24"/>
                <w:szCs w:val="24"/>
              </w:rPr>
              <w:t xml:space="preserve">13.03</w:t>
            </w:r>
          </w:p>
        </w:tc>
      </w:tr>
      <w:tr>
        <w:tc>
          <w:tcPr>
            <w:tcW w:type="dxa" w:w="3360"/>
            <w:tcBorders>
              <w:top w:val="none" w:color="FFFFFF" w:sz="0"/>
              <w:left w:val="none" w:color="FFFFFF" w:sz="0"/>
              <w:bottom w:val="none" w:color="FFFFFF" w:sz="0"/>
              <w:right w:val="none" w:color="FFFFFF" w:sz="0"/>
            </w:tcBorders>
            <w:tcMar>
              <w:top w:type="dxa" w:w="20"/>
              <w:left w:type="dxa" w:w="80"/>
              <w:bottom w:type="dxa" w:w="20"/>
              <w:right w:type="dxa" w:w="80"/>
            </w:tcMar>
          </w:tcPr>
          <w:p>
            <w:pPr>
              <w:spacing w:after="20" w:before="20" w:line="240"/>
              <w:jc w:val="left"/>
            </w:pPr>
            <w:r>
              <w:rPr>
                <w:rFonts w:ascii="Times New Roman" w:cs="Times New Roman" w:eastAsia="Times New Roman" w:hAnsi="Times New Roman"/>
                <w:b w:val="false"/>
                <w:bCs w:val="false"/>
                <w:i w:val="false"/>
                <w:iCs w:val="false"/>
                <w:sz w:val="24"/>
                <w:szCs w:val="24"/>
              </w:rPr>
              <w:t xml:space="preserve">Annual mean temperature (°C)</w:t>
            </w:r>
          </w:p>
        </w:tc>
        <w:tc>
          <w:tcPr>
            <w:tcW w:type="dxa" w:w="1300"/>
            <w:tcBorders>
              <w:top w:val="none" w:color="FFFFFF" w:sz="0"/>
              <w:left w:val="none" w:color="FFFFFF" w:sz="0"/>
              <w:bottom w:val="none" w:color="FFFFFF" w:sz="0"/>
              <w:right w:val="none" w:color="FFFFFF" w:sz="0"/>
            </w:tcBorders>
            <w:tcMar>
              <w:top w:type="dxa" w:w="20"/>
              <w:left w:type="dxa" w:w="80"/>
              <w:bottom w:type="dxa" w:w="20"/>
              <w:right w:type="dxa" w:w="80"/>
            </w:tcMar>
          </w:tcPr>
          <w:p>
            <w:pPr>
              <w:spacing w:after="20" w:before="20" w:line="240"/>
              <w:jc w:val="center"/>
            </w:pPr>
            <w:r>
              <w:rPr>
                <w:rFonts w:ascii="Times New Roman" w:cs="Times New Roman" w:eastAsia="Times New Roman" w:hAnsi="Times New Roman"/>
                <w:b w:val="false"/>
                <w:bCs w:val="false"/>
                <w:i w:val="false"/>
                <w:iCs w:val="false"/>
                <w:sz w:val="24"/>
                <w:szCs w:val="24"/>
              </w:rPr>
              <w:t xml:space="preserve">26.50</w:t>
            </w:r>
          </w:p>
        </w:tc>
        <w:tc>
          <w:tcPr>
            <w:tcW w:type="dxa" w:w="1150"/>
            <w:tcBorders>
              <w:top w:val="none" w:color="FFFFFF" w:sz="0"/>
              <w:left w:val="none" w:color="FFFFFF" w:sz="0"/>
              <w:bottom w:val="none" w:color="FFFFFF" w:sz="0"/>
              <w:right w:val="none" w:color="FFFFFF" w:sz="0"/>
            </w:tcBorders>
            <w:tcMar>
              <w:top w:type="dxa" w:w="20"/>
              <w:left w:type="dxa" w:w="80"/>
              <w:bottom w:type="dxa" w:w="20"/>
              <w:right w:type="dxa" w:w="80"/>
            </w:tcMar>
          </w:tcPr>
          <w:p>
            <w:pPr>
              <w:spacing w:after="20" w:before="20" w:line="240"/>
              <w:jc w:val="center"/>
            </w:pPr>
            <w:r>
              <w:rPr>
                <w:rFonts w:ascii="Times New Roman" w:cs="Times New Roman" w:eastAsia="Times New Roman" w:hAnsi="Times New Roman"/>
                <w:b w:val="false"/>
                <w:bCs w:val="false"/>
                <w:i w:val="false"/>
                <w:iCs w:val="false"/>
                <w:sz w:val="24"/>
                <w:szCs w:val="24"/>
              </w:rPr>
              <w:t xml:space="preserve">0.72</w:t>
            </w:r>
          </w:p>
        </w:tc>
        <w:tc>
          <w:tcPr>
            <w:tcW w:type="dxa" w:w="1150"/>
            <w:tcBorders>
              <w:top w:val="none" w:color="FFFFFF" w:sz="0"/>
              <w:left w:val="none" w:color="FFFFFF" w:sz="0"/>
              <w:bottom w:val="none" w:color="FFFFFF" w:sz="0"/>
              <w:right w:val="none" w:color="FFFFFF" w:sz="0"/>
            </w:tcBorders>
            <w:tcMar>
              <w:top w:type="dxa" w:w="20"/>
              <w:left w:type="dxa" w:w="80"/>
              <w:bottom w:type="dxa" w:w="20"/>
              <w:right w:type="dxa" w:w="80"/>
            </w:tcMar>
          </w:tcPr>
          <w:p>
            <w:pPr>
              <w:spacing w:after="20" w:before="20" w:line="240"/>
              <w:jc w:val="center"/>
            </w:pPr>
            <w:r>
              <w:rPr>
                <w:rFonts w:ascii="Times New Roman" w:cs="Times New Roman" w:eastAsia="Times New Roman" w:hAnsi="Times New Roman"/>
                <w:b w:val="false"/>
                <w:bCs w:val="false"/>
                <w:i w:val="false"/>
                <w:iCs w:val="false"/>
                <w:sz w:val="24"/>
                <w:szCs w:val="24"/>
              </w:rPr>
              <w:t xml:space="preserve">26.40</w:t>
            </w:r>
          </w:p>
        </w:tc>
        <w:tc>
          <w:tcPr>
            <w:tcW w:type="dxa" w:w="1200"/>
            <w:tcBorders>
              <w:top w:val="none" w:color="FFFFFF" w:sz="0"/>
              <w:left w:val="none" w:color="FFFFFF" w:sz="0"/>
              <w:bottom w:val="none" w:color="FFFFFF" w:sz="0"/>
              <w:right w:val="none" w:color="FFFFFF" w:sz="0"/>
            </w:tcBorders>
            <w:tcMar>
              <w:top w:type="dxa" w:w="20"/>
              <w:left w:type="dxa" w:w="80"/>
              <w:bottom w:type="dxa" w:w="20"/>
              <w:right w:type="dxa" w:w="80"/>
            </w:tcMar>
          </w:tcPr>
          <w:p>
            <w:pPr>
              <w:spacing w:after="20" w:before="20" w:line="240"/>
              <w:jc w:val="center"/>
            </w:pPr>
            <w:r>
              <w:rPr>
                <w:rFonts w:ascii="Times New Roman" w:cs="Times New Roman" w:eastAsia="Times New Roman" w:hAnsi="Times New Roman"/>
                <w:b w:val="false"/>
                <w:bCs w:val="false"/>
                <w:i w:val="false"/>
                <w:iCs w:val="false"/>
                <w:sz w:val="24"/>
                <w:szCs w:val="24"/>
              </w:rPr>
              <w:t xml:space="preserve">24.70</w:t>
            </w:r>
          </w:p>
        </w:tc>
        <w:tc>
          <w:tcPr>
            <w:tcW w:type="dxa" w:w="1200"/>
            <w:tcBorders>
              <w:top w:val="none" w:color="FFFFFF" w:sz="0"/>
              <w:left w:val="none" w:color="FFFFFF" w:sz="0"/>
              <w:bottom w:val="none" w:color="FFFFFF" w:sz="0"/>
              <w:right w:val="none" w:color="FFFFFF" w:sz="0"/>
            </w:tcBorders>
            <w:tcMar>
              <w:top w:type="dxa" w:w="20"/>
              <w:left w:type="dxa" w:w="80"/>
              <w:bottom w:type="dxa" w:w="20"/>
              <w:right w:type="dxa" w:w="80"/>
            </w:tcMar>
          </w:tcPr>
          <w:p>
            <w:pPr>
              <w:spacing w:after="20" w:before="20" w:line="240"/>
              <w:jc w:val="center"/>
            </w:pPr>
            <w:r>
              <w:rPr>
                <w:rFonts w:ascii="Times New Roman" w:cs="Times New Roman" w:eastAsia="Times New Roman" w:hAnsi="Times New Roman"/>
                <w:b w:val="false"/>
                <w:bCs w:val="false"/>
                <w:i w:val="false"/>
                <w:iCs w:val="false"/>
                <w:sz w:val="24"/>
                <w:szCs w:val="24"/>
              </w:rPr>
              <w:t xml:space="preserve">28.20</w:t>
            </w:r>
          </w:p>
        </w:tc>
      </w:tr>
      <w:tr>
        <w:tc>
          <w:tcPr>
            <w:tcW w:type="dxa" w:w="3360"/>
            <w:tcBorders>
              <w:top w:val="none" w:color="FFFFFF" w:sz="0"/>
              <w:left w:val="none" w:color="FFFFFF" w:sz="0"/>
              <w:bottom w:val="none" w:color="FFFFFF" w:sz="0"/>
              <w:right w:val="none" w:color="FFFFFF" w:sz="0"/>
            </w:tcBorders>
            <w:tcMar>
              <w:top w:type="dxa" w:w="20"/>
              <w:left w:type="dxa" w:w="80"/>
              <w:bottom w:type="dxa" w:w="20"/>
              <w:right w:type="dxa" w:w="80"/>
            </w:tcMar>
          </w:tcPr>
          <w:p>
            <w:pPr>
              <w:spacing w:after="20" w:before="20" w:line="240"/>
              <w:jc w:val="left"/>
            </w:pPr>
            <w:r>
              <w:rPr>
                <w:rFonts w:ascii="Times New Roman" w:cs="Times New Roman" w:eastAsia="Times New Roman" w:hAnsi="Times New Roman"/>
                <w:b w:val="false"/>
                <w:bCs w:val="false"/>
                <w:i w:val="false"/>
                <w:iCs w:val="false"/>
                <w:sz w:val="24"/>
                <w:szCs w:val="24"/>
              </w:rPr>
              <w:t xml:space="preserve">Annual precipitation (mm)</w:t>
            </w:r>
          </w:p>
        </w:tc>
        <w:tc>
          <w:tcPr>
            <w:tcW w:type="dxa" w:w="1300"/>
            <w:tcBorders>
              <w:top w:val="none" w:color="FFFFFF" w:sz="0"/>
              <w:left w:val="none" w:color="FFFFFF" w:sz="0"/>
              <w:bottom w:val="none" w:color="FFFFFF" w:sz="0"/>
              <w:right w:val="none" w:color="FFFFFF" w:sz="0"/>
            </w:tcBorders>
            <w:tcMar>
              <w:top w:type="dxa" w:w="20"/>
              <w:left w:type="dxa" w:w="80"/>
              <w:bottom w:type="dxa" w:w="20"/>
              <w:right w:type="dxa" w:w="80"/>
            </w:tcMar>
          </w:tcPr>
          <w:p>
            <w:pPr>
              <w:spacing w:after="20" w:before="20" w:line="240"/>
              <w:jc w:val="center"/>
            </w:pPr>
            <w:r>
              <w:rPr>
                <w:rFonts w:ascii="Times New Roman" w:cs="Times New Roman" w:eastAsia="Times New Roman" w:hAnsi="Times New Roman"/>
                <w:b w:val="false"/>
                <w:bCs w:val="false"/>
                <w:i w:val="false"/>
                <w:iCs w:val="false"/>
                <w:sz w:val="24"/>
                <w:szCs w:val="24"/>
              </w:rPr>
              <w:t xml:space="preserve">1,434.10</w:t>
            </w:r>
          </w:p>
        </w:tc>
        <w:tc>
          <w:tcPr>
            <w:tcW w:type="dxa" w:w="1150"/>
            <w:tcBorders>
              <w:top w:val="none" w:color="FFFFFF" w:sz="0"/>
              <w:left w:val="none" w:color="FFFFFF" w:sz="0"/>
              <w:bottom w:val="none" w:color="FFFFFF" w:sz="0"/>
              <w:right w:val="none" w:color="FFFFFF" w:sz="0"/>
            </w:tcBorders>
            <w:tcMar>
              <w:top w:type="dxa" w:w="20"/>
              <w:left w:type="dxa" w:w="80"/>
              <w:bottom w:type="dxa" w:w="20"/>
              <w:right w:type="dxa" w:w="80"/>
            </w:tcMar>
          </w:tcPr>
          <w:p>
            <w:pPr>
              <w:spacing w:after="20" w:before="20" w:line="240"/>
              <w:jc w:val="center"/>
            </w:pPr>
            <w:r>
              <w:rPr>
                <w:rFonts w:ascii="Times New Roman" w:cs="Times New Roman" w:eastAsia="Times New Roman" w:hAnsi="Times New Roman"/>
                <w:b w:val="false"/>
                <w:bCs w:val="false"/>
                <w:i w:val="false"/>
                <w:iCs w:val="false"/>
                <w:sz w:val="24"/>
                <w:szCs w:val="24"/>
              </w:rPr>
              <w:t xml:space="preserve">656.60</w:t>
            </w:r>
          </w:p>
        </w:tc>
        <w:tc>
          <w:tcPr>
            <w:tcW w:type="dxa" w:w="1150"/>
            <w:tcBorders>
              <w:top w:val="none" w:color="FFFFFF" w:sz="0"/>
              <w:left w:val="none" w:color="FFFFFF" w:sz="0"/>
              <w:bottom w:val="none" w:color="FFFFFF" w:sz="0"/>
              <w:right w:val="none" w:color="FFFFFF" w:sz="0"/>
            </w:tcBorders>
            <w:tcMar>
              <w:top w:type="dxa" w:w="20"/>
              <w:left w:type="dxa" w:w="80"/>
              <w:bottom w:type="dxa" w:w="20"/>
              <w:right w:type="dxa" w:w="80"/>
            </w:tcMar>
          </w:tcPr>
          <w:p>
            <w:pPr>
              <w:spacing w:after="20" w:before="20" w:line="240"/>
              <w:jc w:val="center"/>
            </w:pPr>
            <w:r>
              <w:rPr>
                <w:rFonts w:ascii="Times New Roman" w:cs="Times New Roman" w:eastAsia="Times New Roman" w:hAnsi="Times New Roman"/>
                <w:b w:val="false"/>
                <w:bCs w:val="false"/>
                <w:i w:val="false"/>
                <w:iCs w:val="false"/>
                <w:sz w:val="24"/>
                <w:szCs w:val="24"/>
              </w:rPr>
              <w:t xml:space="preserve">1,326.70</w:t>
            </w:r>
          </w:p>
        </w:tc>
        <w:tc>
          <w:tcPr>
            <w:tcW w:type="dxa" w:w="1200"/>
            <w:tcBorders>
              <w:top w:val="none" w:color="FFFFFF" w:sz="0"/>
              <w:left w:val="none" w:color="FFFFFF" w:sz="0"/>
              <w:bottom w:val="none" w:color="FFFFFF" w:sz="0"/>
              <w:right w:val="none" w:color="FFFFFF" w:sz="0"/>
            </w:tcBorders>
            <w:tcMar>
              <w:top w:type="dxa" w:w="20"/>
              <w:left w:type="dxa" w:w="80"/>
              <w:bottom w:type="dxa" w:w="20"/>
              <w:right w:type="dxa" w:w="80"/>
            </w:tcMar>
          </w:tcPr>
          <w:p>
            <w:pPr>
              <w:spacing w:after="20" w:before="20" w:line="240"/>
              <w:jc w:val="center"/>
            </w:pPr>
            <w:r>
              <w:rPr>
                <w:rFonts w:ascii="Times New Roman" w:cs="Times New Roman" w:eastAsia="Times New Roman" w:hAnsi="Times New Roman"/>
                <w:b w:val="false"/>
                <w:bCs w:val="false"/>
                <w:i w:val="false"/>
                <w:iCs w:val="false"/>
                <w:sz w:val="24"/>
                <w:szCs w:val="24"/>
              </w:rPr>
              <w:t xml:space="preserve">488.40</w:t>
            </w:r>
          </w:p>
        </w:tc>
        <w:tc>
          <w:tcPr>
            <w:tcW w:type="dxa" w:w="1200"/>
            <w:tcBorders>
              <w:top w:val="none" w:color="FFFFFF" w:sz="0"/>
              <w:left w:val="none" w:color="FFFFFF" w:sz="0"/>
              <w:bottom w:val="none" w:color="FFFFFF" w:sz="0"/>
              <w:right w:val="none" w:color="FFFFFF" w:sz="0"/>
            </w:tcBorders>
            <w:tcMar>
              <w:top w:type="dxa" w:w="20"/>
              <w:left w:type="dxa" w:w="80"/>
              <w:bottom w:type="dxa" w:w="20"/>
              <w:right w:type="dxa" w:w="80"/>
            </w:tcMar>
          </w:tcPr>
          <w:p>
            <w:pPr>
              <w:spacing w:after="20" w:before="20" w:line="240"/>
              <w:jc w:val="center"/>
            </w:pPr>
            <w:r>
              <w:rPr>
                <w:rFonts w:ascii="Times New Roman" w:cs="Times New Roman" w:eastAsia="Times New Roman" w:hAnsi="Times New Roman"/>
                <w:b w:val="false"/>
                <w:bCs w:val="false"/>
                <w:i w:val="false"/>
                <w:iCs w:val="false"/>
                <w:sz w:val="24"/>
                <w:szCs w:val="24"/>
              </w:rPr>
              <w:t xml:space="preserve">3,114.80</w:t>
            </w:r>
          </w:p>
        </w:tc>
      </w:tr>
      <w:tr>
        <w:tc>
          <w:tcPr>
            <w:tcW w:type="dxa" w:w="3360"/>
            <w:tcBorders>
              <w:top w:val="none" w:color="FFFFFF" w:sz="0"/>
              <w:left w:val="none" w:color="FFFFFF" w:sz="0"/>
              <w:bottom w:val="none" w:color="FFFFFF" w:sz="0"/>
              <w:right w:val="none" w:color="FFFFFF" w:sz="0"/>
            </w:tcBorders>
            <w:tcMar>
              <w:top w:type="dxa" w:w="20"/>
              <w:left w:type="dxa" w:w="80"/>
              <w:bottom w:type="dxa" w:w="20"/>
              <w:right w:type="dxa" w:w="80"/>
            </w:tcMar>
          </w:tcPr>
          <w:p>
            <w:pPr>
              <w:spacing w:after="20" w:before="20" w:line="240"/>
              <w:jc w:val="left"/>
            </w:pPr>
            <w:r>
              <w:rPr>
                <w:rFonts w:ascii="Times New Roman" w:cs="Times New Roman" w:eastAsia="Times New Roman" w:hAnsi="Times New Roman"/>
                <w:b w:val="false"/>
                <w:bCs w:val="false"/>
                <w:i w:val="false"/>
                <w:iCs w:val="false"/>
                <w:sz w:val="24"/>
                <w:szCs w:val="24"/>
              </w:rPr>
              <w:t xml:space="preserve">Precipitation seasonality (CV)</w:t>
            </w:r>
          </w:p>
        </w:tc>
        <w:tc>
          <w:tcPr>
            <w:tcW w:type="dxa" w:w="1300"/>
            <w:tcBorders>
              <w:top w:val="none" w:color="FFFFFF" w:sz="0"/>
              <w:left w:val="none" w:color="FFFFFF" w:sz="0"/>
              <w:bottom w:val="none" w:color="FFFFFF" w:sz="0"/>
              <w:right w:val="none" w:color="FFFFFF" w:sz="0"/>
            </w:tcBorders>
            <w:tcMar>
              <w:top w:type="dxa" w:w="20"/>
              <w:left w:type="dxa" w:w="80"/>
              <w:bottom w:type="dxa" w:w="20"/>
              <w:right w:type="dxa" w:w="80"/>
            </w:tcMar>
          </w:tcPr>
          <w:p>
            <w:pPr>
              <w:spacing w:after="20" w:before="20" w:line="240"/>
              <w:jc w:val="center"/>
            </w:pPr>
            <w:r>
              <w:rPr>
                <w:rFonts w:ascii="Times New Roman" w:cs="Times New Roman" w:eastAsia="Times New Roman" w:hAnsi="Times New Roman"/>
                <w:b w:val="false"/>
                <w:bCs w:val="false"/>
                <w:i w:val="false"/>
                <w:iCs w:val="false"/>
                <w:sz w:val="24"/>
                <w:szCs w:val="24"/>
              </w:rPr>
              <w:t xml:space="preserve">92.50</w:t>
            </w:r>
          </w:p>
        </w:tc>
        <w:tc>
          <w:tcPr>
            <w:tcW w:type="dxa" w:w="1150"/>
            <w:tcBorders>
              <w:top w:val="none" w:color="FFFFFF" w:sz="0"/>
              <w:left w:val="none" w:color="FFFFFF" w:sz="0"/>
              <w:bottom w:val="none" w:color="FFFFFF" w:sz="0"/>
              <w:right w:val="none" w:color="FFFFFF" w:sz="0"/>
            </w:tcBorders>
            <w:tcMar>
              <w:top w:type="dxa" w:w="20"/>
              <w:left w:type="dxa" w:w="80"/>
              <w:bottom w:type="dxa" w:w="20"/>
              <w:right w:type="dxa" w:w="80"/>
            </w:tcMar>
          </w:tcPr>
          <w:p>
            <w:pPr>
              <w:spacing w:after="20" w:before="20" w:line="240"/>
              <w:jc w:val="center"/>
            </w:pPr>
            <w:r>
              <w:rPr>
                <w:rFonts w:ascii="Times New Roman" w:cs="Times New Roman" w:eastAsia="Times New Roman" w:hAnsi="Times New Roman"/>
                <w:b w:val="false"/>
                <w:bCs w:val="false"/>
                <w:i w:val="false"/>
                <w:iCs w:val="false"/>
                <w:sz w:val="24"/>
                <w:szCs w:val="24"/>
              </w:rPr>
              <w:t xml:space="preserve">27.30</w:t>
            </w:r>
          </w:p>
        </w:tc>
        <w:tc>
          <w:tcPr>
            <w:tcW w:type="dxa" w:w="1150"/>
            <w:tcBorders>
              <w:top w:val="none" w:color="FFFFFF" w:sz="0"/>
              <w:left w:val="none" w:color="FFFFFF" w:sz="0"/>
              <w:bottom w:val="none" w:color="FFFFFF" w:sz="0"/>
              <w:right w:val="none" w:color="FFFFFF" w:sz="0"/>
            </w:tcBorders>
            <w:tcMar>
              <w:top w:type="dxa" w:w="20"/>
              <w:left w:type="dxa" w:w="80"/>
              <w:bottom w:type="dxa" w:w="20"/>
              <w:right w:type="dxa" w:w="80"/>
            </w:tcMar>
          </w:tcPr>
          <w:p>
            <w:pPr>
              <w:spacing w:after="20" w:before="20" w:line="240"/>
              <w:jc w:val="center"/>
            </w:pPr>
            <w:r>
              <w:rPr>
                <w:rFonts w:ascii="Times New Roman" w:cs="Times New Roman" w:eastAsia="Times New Roman" w:hAnsi="Times New Roman"/>
                <w:b w:val="false"/>
                <w:bCs w:val="false"/>
                <w:i w:val="false"/>
                <w:iCs w:val="false"/>
                <w:sz w:val="24"/>
                <w:szCs w:val="24"/>
              </w:rPr>
              <w:t xml:space="preserve">82.60</w:t>
            </w:r>
          </w:p>
        </w:tc>
        <w:tc>
          <w:tcPr>
            <w:tcW w:type="dxa" w:w="1200"/>
            <w:tcBorders>
              <w:top w:val="none" w:color="FFFFFF" w:sz="0"/>
              <w:left w:val="none" w:color="FFFFFF" w:sz="0"/>
              <w:bottom w:val="none" w:color="FFFFFF" w:sz="0"/>
              <w:right w:val="none" w:color="FFFFFF" w:sz="0"/>
            </w:tcBorders>
            <w:tcMar>
              <w:top w:type="dxa" w:w="20"/>
              <w:left w:type="dxa" w:w="80"/>
              <w:bottom w:type="dxa" w:w="20"/>
              <w:right w:type="dxa" w:w="80"/>
            </w:tcMar>
          </w:tcPr>
          <w:p>
            <w:pPr>
              <w:spacing w:after="20" w:before="20" w:line="240"/>
              <w:jc w:val="center"/>
            </w:pPr>
            <w:r>
              <w:rPr>
                <w:rFonts w:ascii="Times New Roman" w:cs="Times New Roman" w:eastAsia="Times New Roman" w:hAnsi="Times New Roman"/>
                <w:b w:val="false"/>
                <w:bCs w:val="false"/>
                <w:i w:val="false"/>
                <w:iCs w:val="false"/>
                <w:sz w:val="24"/>
                <w:szCs w:val="24"/>
              </w:rPr>
              <w:t xml:space="preserve">63.10</w:t>
            </w:r>
          </w:p>
        </w:tc>
        <w:tc>
          <w:tcPr>
            <w:tcW w:type="dxa" w:w="1200"/>
            <w:tcBorders>
              <w:top w:val="none" w:color="FFFFFF" w:sz="0"/>
              <w:left w:val="none" w:color="FFFFFF" w:sz="0"/>
              <w:bottom w:val="none" w:color="FFFFFF" w:sz="0"/>
              <w:right w:val="none" w:color="FFFFFF" w:sz="0"/>
            </w:tcBorders>
            <w:tcMar>
              <w:top w:type="dxa" w:w="20"/>
              <w:left w:type="dxa" w:w="80"/>
              <w:bottom w:type="dxa" w:w="20"/>
              <w:right w:type="dxa" w:w="80"/>
            </w:tcMar>
          </w:tcPr>
          <w:p>
            <w:pPr>
              <w:spacing w:after="20" w:before="20" w:line="240"/>
              <w:jc w:val="center"/>
            </w:pPr>
            <w:r>
              <w:rPr>
                <w:rFonts w:ascii="Times New Roman" w:cs="Times New Roman" w:eastAsia="Times New Roman" w:hAnsi="Times New Roman"/>
                <w:b w:val="false"/>
                <w:bCs w:val="false"/>
                <w:i w:val="false"/>
                <w:iCs w:val="false"/>
                <w:sz w:val="24"/>
                <w:szCs w:val="24"/>
              </w:rPr>
              <w:t xml:space="preserve">148.30</w:t>
            </w:r>
          </w:p>
        </w:tc>
      </w:tr>
      <w:tr>
        <w:tc>
          <w:tcPr>
            <w:tcW w:type="dxa" w:w="3360"/>
            <w:tcBorders>
              <w:top w:val="none" w:color="FFFFFF" w:sz="0"/>
              <w:left w:val="none" w:color="FFFFFF" w:sz="0"/>
              <w:bottom w:val="none" w:color="FFFFFF" w:sz="0"/>
              <w:right w:val="none" w:color="FFFFFF" w:sz="0"/>
            </w:tcBorders>
            <w:tcMar>
              <w:top w:type="dxa" w:w="20"/>
              <w:left w:type="dxa" w:w="80"/>
              <w:bottom w:type="dxa" w:w="20"/>
              <w:right w:type="dxa" w:w="80"/>
            </w:tcMar>
          </w:tcPr>
          <w:p>
            <w:pPr>
              <w:spacing w:after="20" w:before="20" w:line="240"/>
              <w:jc w:val="left"/>
            </w:pPr>
            <w:r>
              <w:rPr>
                <w:rFonts w:ascii="Times New Roman" w:cs="Times New Roman" w:eastAsia="Times New Roman" w:hAnsi="Times New Roman"/>
                <w:b w:val="false"/>
                <w:bCs w:val="false"/>
                <w:i w:val="false"/>
                <w:iCs w:val="false"/>
                <w:sz w:val="24"/>
                <w:szCs w:val="24"/>
              </w:rPr>
              <w:t xml:space="preserve">Temperature seasonality (SD ×100)</w:t>
            </w:r>
          </w:p>
        </w:tc>
        <w:tc>
          <w:tcPr>
            <w:tcW w:type="dxa" w:w="1300"/>
            <w:tcBorders>
              <w:top w:val="none" w:color="FFFFFF" w:sz="0"/>
              <w:left w:val="none" w:color="FFFFFF" w:sz="0"/>
              <w:bottom w:val="none" w:color="FFFFFF" w:sz="0"/>
              <w:right w:val="none" w:color="FFFFFF" w:sz="0"/>
            </w:tcBorders>
            <w:tcMar>
              <w:top w:type="dxa" w:w="20"/>
              <w:left w:type="dxa" w:w="80"/>
              <w:bottom w:type="dxa" w:w="20"/>
              <w:right w:type="dxa" w:w="80"/>
            </w:tcMar>
          </w:tcPr>
          <w:p>
            <w:pPr>
              <w:spacing w:after="20" w:before="20" w:line="240"/>
              <w:jc w:val="center"/>
            </w:pPr>
            <w:r>
              <w:rPr>
                <w:rFonts w:ascii="Times New Roman" w:cs="Times New Roman" w:eastAsia="Times New Roman" w:hAnsi="Times New Roman"/>
                <w:b w:val="false"/>
                <w:bCs w:val="false"/>
                <w:i w:val="false"/>
                <w:iCs w:val="false"/>
                <w:sz w:val="24"/>
                <w:szCs w:val="24"/>
              </w:rPr>
              <w:t xml:space="preserve">173.70</w:t>
            </w:r>
          </w:p>
        </w:tc>
        <w:tc>
          <w:tcPr>
            <w:tcW w:type="dxa" w:w="1150"/>
            <w:tcBorders>
              <w:top w:val="none" w:color="FFFFFF" w:sz="0"/>
              <w:left w:val="none" w:color="FFFFFF" w:sz="0"/>
              <w:bottom w:val="none" w:color="FFFFFF" w:sz="0"/>
              <w:right w:val="none" w:color="FFFFFF" w:sz="0"/>
            </w:tcBorders>
            <w:tcMar>
              <w:top w:type="dxa" w:w="20"/>
              <w:left w:type="dxa" w:w="80"/>
              <w:bottom w:type="dxa" w:w="20"/>
              <w:right w:type="dxa" w:w="80"/>
            </w:tcMar>
          </w:tcPr>
          <w:p>
            <w:pPr>
              <w:spacing w:after="20" w:before="20" w:line="240"/>
              <w:jc w:val="center"/>
            </w:pPr>
            <w:r>
              <w:rPr>
                <w:rFonts w:ascii="Times New Roman" w:cs="Times New Roman" w:eastAsia="Times New Roman" w:hAnsi="Times New Roman"/>
                <w:b w:val="false"/>
                <w:bCs w:val="false"/>
                <w:i w:val="false"/>
                <w:iCs w:val="false"/>
                <w:sz w:val="24"/>
                <w:szCs w:val="24"/>
              </w:rPr>
              <w:t xml:space="preserve">72.30</w:t>
            </w:r>
          </w:p>
        </w:tc>
        <w:tc>
          <w:tcPr>
            <w:tcW w:type="dxa" w:w="1150"/>
            <w:tcBorders>
              <w:top w:val="none" w:color="FFFFFF" w:sz="0"/>
              <w:left w:val="none" w:color="FFFFFF" w:sz="0"/>
              <w:bottom w:val="none" w:color="FFFFFF" w:sz="0"/>
              <w:right w:val="none" w:color="FFFFFF" w:sz="0"/>
            </w:tcBorders>
            <w:tcMar>
              <w:top w:type="dxa" w:w="20"/>
              <w:left w:type="dxa" w:w="80"/>
              <w:bottom w:type="dxa" w:w="20"/>
              <w:right w:type="dxa" w:w="80"/>
            </w:tcMar>
          </w:tcPr>
          <w:p>
            <w:pPr>
              <w:spacing w:after="20" w:before="20" w:line="240"/>
              <w:jc w:val="center"/>
            </w:pPr>
            <w:r>
              <w:rPr>
                <w:rFonts w:ascii="Times New Roman" w:cs="Times New Roman" w:eastAsia="Times New Roman" w:hAnsi="Times New Roman"/>
                <w:b w:val="false"/>
                <w:bCs w:val="false"/>
                <w:i w:val="false"/>
                <w:iCs w:val="false"/>
                <w:sz w:val="24"/>
                <w:szCs w:val="24"/>
              </w:rPr>
              <w:t xml:space="preserve">151.50</w:t>
            </w:r>
          </w:p>
        </w:tc>
        <w:tc>
          <w:tcPr>
            <w:tcW w:type="dxa" w:w="1200"/>
            <w:tcBorders>
              <w:top w:val="none" w:color="FFFFFF" w:sz="0"/>
              <w:left w:val="none" w:color="FFFFFF" w:sz="0"/>
              <w:bottom w:val="none" w:color="FFFFFF" w:sz="0"/>
              <w:right w:val="none" w:color="FFFFFF" w:sz="0"/>
            </w:tcBorders>
            <w:tcMar>
              <w:top w:type="dxa" w:w="20"/>
              <w:left w:type="dxa" w:w="80"/>
              <w:bottom w:type="dxa" w:w="20"/>
              <w:right w:type="dxa" w:w="80"/>
            </w:tcMar>
          </w:tcPr>
          <w:p>
            <w:pPr>
              <w:spacing w:after="20" w:before="20" w:line="240"/>
              <w:jc w:val="center"/>
            </w:pPr>
            <w:r>
              <w:rPr>
                <w:rFonts w:ascii="Times New Roman" w:cs="Times New Roman" w:eastAsia="Times New Roman" w:hAnsi="Times New Roman"/>
                <w:b w:val="false"/>
                <w:bCs w:val="false"/>
                <w:i w:val="false"/>
                <w:iCs w:val="false"/>
                <w:sz w:val="24"/>
                <w:szCs w:val="24"/>
              </w:rPr>
              <w:t xml:space="preserve">88.80</w:t>
            </w:r>
          </w:p>
        </w:tc>
        <w:tc>
          <w:tcPr>
            <w:tcW w:type="dxa" w:w="1200"/>
            <w:tcBorders>
              <w:top w:val="none" w:color="FFFFFF" w:sz="0"/>
              <w:left w:val="none" w:color="FFFFFF" w:sz="0"/>
              <w:bottom w:val="none" w:color="FFFFFF" w:sz="0"/>
              <w:right w:val="none" w:color="FFFFFF" w:sz="0"/>
            </w:tcBorders>
            <w:tcMar>
              <w:top w:type="dxa" w:w="20"/>
              <w:left w:type="dxa" w:w="80"/>
              <w:bottom w:type="dxa" w:w="20"/>
              <w:right w:type="dxa" w:w="80"/>
            </w:tcMar>
          </w:tcPr>
          <w:p>
            <w:pPr>
              <w:spacing w:after="20" w:before="20" w:line="240"/>
              <w:jc w:val="center"/>
            </w:pPr>
            <w:r>
              <w:rPr>
                <w:rFonts w:ascii="Times New Roman" w:cs="Times New Roman" w:eastAsia="Times New Roman" w:hAnsi="Times New Roman"/>
                <w:b w:val="false"/>
                <w:bCs w:val="false"/>
                <w:i w:val="false"/>
                <w:iCs w:val="false"/>
                <w:sz w:val="24"/>
                <w:szCs w:val="24"/>
              </w:rPr>
              <w:t xml:space="preserve">320.90</w:t>
            </w:r>
          </w:p>
        </w:tc>
      </w:tr>
    </w:tbl>
    <w:p>
      <w:pPr>
        <w:spacing w:before="60" w:line="240"/>
      </w:pPr>
      <w:r>
        <w:rPr>
          <w:rFonts w:ascii="Times New Roman" w:cs="Times New Roman" w:eastAsia="Times New Roman" w:hAnsi="Times New Roman"/>
          <w:b w:val="false"/>
          <w:bCs w:val="false"/>
          <w:i/>
          <w:iCs/>
          <w:sz w:val="24"/>
          <w:szCs w:val="24"/>
        </w:rPr>
        <w:t xml:space="preserve">Note.</w:t>
      </w:r>
      <w:r>
        <w:rPr>
          <w:rFonts w:ascii="Times New Roman" w:cs="Times New Roman" w:eastAsia="Times New Roman" w:hAnsi="Times New Roman"/>
          <w:b w:val="false"/>
          <w:bCs w:val="false"/>
          <w:i w:val="false"/>
          <w:iCs w:val="false"/>
          <w:sz w:val="24"/>
          <w:szCs w:val="24"/>
        </w:rPr>
        <w:t xml:space="preserve"> Burden figures are cumulative over epidemiological week 6 of 2020 to week 34 of 2026 (Nigeria Centre for Disease Control weekly situation reports). Population and density from WorldPop bottom-up estimates (v2.0); poverty from the Oxford Poverty and Human Development Initiative subnational Multidimensional Poverty Index (MICS 2021); health facilities from the Humanitarian Data Exchange national registry; reservoir occurrences from the Global Biodiversity Information Facility; climate from WorldClim 2.1 (1970–2000 normals, 5-arc-minute zonal means). The case-fatality rate row summarizes state-level ratios; the population-weighted national rate was 16.10%.</w:t>
      </w:r>
    </w:p>
    <w:p>
      <w:pPr>
        <w:spacing w:before="240" w:line="480"/>
      </w:pPr>
      <w:r>
        <w:rPr>
          <w:rFonts w:ascii="Times New Roman" w:cs="Times New Roman" w:eastAsia="Times New Roman" w:hAnsi="Times New Roman"/>
          <w:b/>
          <w:bCs/>
          <w:sz w:val="24"/>
          <w:szCs w:val="24"/>
        </w:rPr>
        <w:t xml:space="preserve">Table 2</w:t>
      </w:r>
    </w:p>
    <w:p>
      <w:pPr>
        <w:spacing w:line="480"/>
      </w:pPr>
      <w:r>
        <w:rPr>
          <w:rFonts w:ascii="Times New Roman" w:cs="Times New Roman" w:eastAsia="Times New Roman" w:hAnsi="Times New Roman"/>
          <w:i/>
          <w:iCs/>
          <w:sz w:val="24"/>
          <w:szCs w:val="24"/>
        </w:rPr>
        <w:t xml:space="preserve">Negative Binomial Regression of State Lassa Fever Incidence (N = 37)</w:t>
      </w:r>
    </w:p>
    <w:tbl>
      <w:tblPr>
        <w:tblW w:type="dxa" w:w="9360"/>
        <w:tblBorders>
          <w:top w:val="single" w:color="000000" w:sz="4"/>
          <w:left w:val="none" w:color="FFFFFF" w:sz="0"/>
          <w:bottom w:val="single" w:color="000000" w:sz="4"/>
          <w:right w:val="none" w:color="FFFFFF" w:sz="0"/>
          <w:insideH w:val="none" w:color="FFFFFF" w:sz="0"/>
          <w:insideV w:val="none" w:color="FFFFFF" w:sz="0"/>
        </w:tblBorders>
      </w:tblPr>
      <w:tblGrid>
        <w:gridCol w:w="3960"/>
        <w:gridCol w:w="2700"/>
        <w:gridCol w:w="2700"/>
      </w:tblGrid>
      <w:tr>
        <w:trPr>
          <w:tblHeader/>
        </w:trPr>
        <w:tc>
          <w:tcPr>
            <w:tcW w:type="dxa" w:w="3960"/>
            <w:tcBorders>
              <w:top w:val="none" w:color="FFFFFF" w:sz="0"/>
              <w:left w:val="none" w:color="FFFFFF" w:sz="0"/>
              <w:bottom w:val="single" w:color="000000" w:sz="4"/>
              <w:right w:val="none" w:color="FFFFFF" w:sz="0"/>
            </w:tcBorders>
            <w:tcMar>
              <w:top w:type="dxa" w:w="20"/>
              <w:left w:type="dxa" w:w="80"/>
              <w:bottom w:type="dxa" w:w="20"/>
              <w:right w:type="dxa" w:w="80"/>
            </w:tcMar>
          </w:tcPr>
          <w:p>
            <w:pPr>
              <w:spacing w:after="20" w:before="20" w:line="240"/>
              <w:jc w:val="left"/>
            </w:pPr>
            <w:r>
              <w:rPr>
                <w:rFonts w:ascii="Times New Roman" w:cs="Times New Roman" w:eastAsia="Times New Roman" w:hAnsi="Times New Roman"/>
                <w:b w:val="false"/>
                <w:bCs w:val="false"/>
                <w:i w:val="false"/>
                <w:iCs w:val="false"/>
                <w:sz w:val="24"/>
                <w:szCs w:val="24"/>
              </w:rPr>
              <w:t xml:space="preserve">Predictor (per 1 SD)</w:t>
            </w:r>
          </w:p>
        </w:tc>
        <w:tc>
          <w:tcPr>
            <w:tcW w:type="dxa" w:w="2700"/>
            <w:tcBorders>
              <w:top w:val="none" w:color="FFFFFF" w:sz="0"/>
              <w:left w:val="none" w:color="FFFFFF" w:sz="0"/>
              <w:bottom w:val="single" w:color="000000" w:sz="4"/>
              <w:right w:val="none" w:color="FFFFFF" w:sz="0"/>
            </w:tcBorders>
            <w:tcMar>
              <w:top w:type="dxa" w:w="20"/>
              <w:left w:type="dxa" w:w="80"/>
              <w:bottom w:type="dxa" w:w="20"/>
              <w:right w:type="dxa" w:w="80"/>
            </w:tcMar>
          </w:tcPr>
          <w:p>
            <w:pPr>
              <w:spacing w:after="20" w:before="20" w:line="240"/>
              <w:jc w:val="center"/>
            </w:pPr>
            <w:r>
              <w:rPr>
                <w:rFonts w:ascii="Times New Roman" w:cs="Times New Roman" w:eastAsia="Times New Roman" w:hAnsi="Times New Roman"/>
                <w:b w:val="false"/>
                <w:bCs w:val="false"/>
                <w:i w:val="false"/>
                <w:iCs w:val="false"/>
                <w:sz w:val="24"/>
                <w:szCs w:val="24"/>
              </w:rPr>
              <w:t xml:space="preserve">Model 1: Ecological</w:t>
            </w:r>
          </w:p>
        </w:tc>
        <w:tc>
          <w:tcPr>
            <w:tcW w:type="dxa" w:w="2700"/>
            <w:tcBorders>
              <w:top w:val="none" w:color="FFFFFF" w:sz="0"/>
              <w:left w:val="none" w:color="FFFFFF" w:sz="0"/>
              <w:bottom w:val="single" w:color="000000" w:sz="4"/>
              <w:right w:val="none" w:color="FFFFFF" w:sz="0"/>
            </w:tcBorders>
            <w:tcMar>
              <w:top w:type="dxa" w:w="20"/>
              <w:left w:type="dxa" w:w="80"/>
              <w:bottom w:type="dxa" w:w="20"/>
              <w:right w:type="dxa" w:w="80"/>
            </w:tcMar>
          </w:tcPr>
          <w:p>
            <w:pPr>
              <w:spacing w:after="20" w:before="20" w:line="240"/>
              <w:jc w:val="center"/>
            </w:pPr>
            <w:r>
              <w:rPr>
                <w:rFonts w:ascii="Times New Roman" w:cs="Times New Roman" w:eastAsia="Times New Roman" w:hAnsi="Times New Roman"/>
                <w:b w:val="false"/>
                <w:bCs w:val="false"/>
                <w:i w:val="false"/>
                <w:iCs w:val="false"/>
                <w:sz w:val="24"/>
                <w:szCs w:val="24"/>
              </w:rPr>
              <w:t xml:space="preserve">Model 2: Surveillance-adjusted</w:t>
            </w:r>
          </w:p>
        </w:tc>
      </w:tr>
      <w:tr>
        <w:tc>
          <w:tcPr>
            <w:tcW w:type="dxa" w:w="3960"/>
            <w:tcBorders>
              <w:top w:val="none" w:color="FFFFFF" w:sz="0"/>
              <w:left w:val="none" w:color="FFFFFF" w:sz="0"/>
              <w:bottom w:val="none" w:color="FFFFFF" w:sz="0"/>
              <w:right w:val="none" w:color="FFFFFF" w:sz="0"/>
            </w:tcBorders>
            <w:tcMar>
              <w:top w:type="dxa" w:w="20"/>
              <w:left w:type="dxa" w:w="80"/>
              <w:bottom w:type="dxa" w:w="20"/>
              <w:right w:type="dxa" w:w="80"/>
            </w:tcMar>
          </w:tcPr>
          <w:p>
            <w:pPr>
              <w:spacing w:after="20" w:before="20" w:line="240"/>
              <w:jc w:val="left"/>
            </w:pPr>
            <w:r>
              <w:rPr>
                <w:rFonts w:ascii="Times New Roman" w:cs="Times New Roman" w:eastAsia="Times New Roman" w:hAnsi="Times New Roman"/>
                <w:b w:val="false"/>
                <w:bCs w:val="false"/>
                <w:i w:val="false"/>
                <w:iCs w:val="false"/>
                <w:sz w:val="24"/>
                <w:szCs w:val="24"/>
              </w:rPr>
              <w:t xml:space="preserve">Multidimensional Poverty Index</w:t>
            </w:r>
          </w:p>
        </w:tc>
        <w:tc>
          <w:tcPr>
            <w:tcW w:type="dxa" w:w="2700"/>
            <w:tcBorders>
              <w:top w:val="none" w:color="FFFFFF" w:sz="0"/>
              <w:left w:val="none" w:color="FFFFFF" w:sz="0"/>
              <w:bottom w:val="none" w:color="FFFFFF" w:sz="0"/>
              <w:right w:val="none" w:color="FFFFFF" w:sz="0"/>
            </w:tcBorders>
            <w:tcMar>
              <w:top w:type="dxa" w:w="20"/>
              <w:left w:type="dxa" w:w="80"/>
              <w:bottom w:type="dxa" w:w="20"/>
              <w:right w:type="dxa" w:w="80"/>
            </w:tcMar>
          </w:tcPr>
          <w:p>
            <w:pPr>
              <w:spacing w:after="20" w:before="20" w:line="240"/>
              <w:jc w:val="center"/>
            </w:pPr>
            <w:r>
              <w:rPr>
                <w:rFonts w:ascii="Times New Roman" w:cs="Times New Roman" w:eastAsia="Times New Roman" w:hAnsi="Times New Roman"/>
                <w:b w:val="false"/>
                <w:bCs w:val="false"/>
                <w:i w:val="false"/>
                <w:iCs w:val="false"/>
                <w:sz w:val="24"/>
                <w:szCs w:val="24"/>
              </w:rPr>
              <w:t xml:space="preserve">2.51 [0.68, 9.18]</w:t>
            </w:r>
          </w:p>
        </w:tc>
        <w:tc>
          <w:tcPr>
            <w:tcW w:type="dxa" w:w="2700"/>
            <w:tcBorders>
              <w:top w:val="none" w:color="FFFFFF" w:sz="0"/>
              <w:left w:val="none" w:color="FFFFFF" w:sz="0"/>
              <w:bottom w:val="none" w:color="FFFFFF" w:sz="0"/>
              <w:right w:val="none" w:color="FFFFFF" w:sz="0"/>
            </w:tcBorders>
            <w:tcMar>
              <w:top w:type="dxa" w:w="20"/>
              <w:left w:type="dxa" w:w="80"/>
              <w:bottom w:type="dxa" w:w="20"/>
              <w:right w:type="dxa" w:w="80"/>
            </w:tcMar>
          </w:tcPr>
          <w:p>
            <w:pPr>
              <w:spacing w:after="20" w:before="20" w:line="240"/>
              <w:jc w:val="center"/>
            </w:pPr>
            <w:r>
              <w:rPr>
                <w:rFonts w:ascii="Times New Roman" w:cs="Times New Roman" w:eastAsia="Times New Roman" w:hAnsi="Times New Roman"/>
                <w:b w:val="false"/>
                <w:bCs w:val="false"/>
                <w:i w:val="false"/>
                <w:iCs w:val="false"/>
                <w:sz w:val="24"/>
                <w:szCs w:val="24"/>
              </w:rPr>
              <w:t xml:space="preserve">1.11 [0.73, 1.69]</w:t>
            </w:r>
          </w:p>
        </w:tc>
      </w:tr>
      <w:tr>
        <w:tc>
          <w:tcPr>
            <w:tcW w:type="dxa" w:w="3960"/>
            <w:tcBorders>
              <w:top w:val="none" w:color="FFFFFF" w:sz="0"/>
              <w:left w:val="none" w:color="FFFFFF" w:sz="0"/>
              <w:bottom w:val="none" w:color="FFFFFF" w:sz="0"/>
              <w:right w:val="none" w:color="FFFFFF" w:sz="0"/>
            </w:tcBorders>
            <w:tcMar>
              <w:top w:type="dxa" w:w="20"/>
              <w:left w:type="dxa" w:w="80"/>
              <w:bottom w:type="dxa" w:w="20"/>
              <w:right w:type="dxa" w:w="80"/>
            </w:tcMar>
          </w:tcPr>
          <w:p>
            <w:pPr>
              <w:spacing w:after="20" w:before="20" w:line="240"/>
              <w:jc w:val="left"/>
            </w:pPr>
            <w:r>
              <w:rPr>
                <w:rFonts w:ascii="Times New Roman" w:cs="Times New Roman" w:eastAsia="Times New Roman" w:hAnsi="Times New Roman"/>
                <w:b w:val="false"/>
                <w:bCs w:val="false"/>
                <w:i w:val="false"/>
                <w:iCs w:val="false"/>
                <w:sz w:val="24"/>
                <w:szCs w:val="24"/>
              </w:rPr>
              <w:t xml:space="preserve">Population density (log)</w:t>
            </w:r>
          </w:p>
        </w:tc>
        <w:tc>
          <w:tcPr>
            <w:tcW w:type="dxa" w:w="2700"/>
            <w:tcBorders>
              <w:top w:val="none" w:color="FFFFFF" w:sz="0"/>
              <w:left w:val="none" w:color="FFFFFF" w:sz="0"/>
              <w:bottom w:val="none" w:color="FFFFFF" w:sz="0"/>
              <w:right w:val="none" w:color="FFFFFF" w:sz="0"/>
            </w:tcBorders>
            <w:tcMar>
              <w:top w:type="dxa" w:w="20"/>
              <w:left w:type="dxa" w:w="80"/>
              <w:bottom w:type="dxa" w:w="20"/>
              <w:right w:type="dxa" w:w="80"/>
            </w:tcMar>
          </w:tcPr>
          <w:p>
            <w:pPr>
              <w:spacing w:after="20" w:before="20" w:line="240"/>
              <w:jc w:val="center"/>
            </w:pPr>
            <w:r>
              <w:rPr>
                <w:rFonts w:ascii="Times New Roman" w:cs="Times New Roman" w:eastAsia="Times New Roman" w:hAnsi="Times New Roman"/>
                <w:b w:val="false"/>
                <w:bCs w:val="false"/>
                <w:i w:val="false"/>
                <w:iCs w:val="false"/>
                <w:sz w:val="24"/>
                <w:szCs w:val="24"/>
              </w:rPr>
              <w:t xml:space="preserve">0.30 [0.12, 0.78]*</w:t>
            </w:r>
          </w:p>
        </w:tc>
        <w:tc>
          <w:tcPr>
            <w:tcW w:type="dxa" w:w="2700"/>
            <w:tcBorders>
              <w:top w:val="none" w:color="FFFFFF" w:sz="0"/>
              <w:left w:val="none" w:color="FFFFFF" w:sz="0"/>
              <w:bottom w:val="none" w:color="FFFFFF" w:sz="0"/>
              <w:right w:val="none" w:color="FFFFFF" w:sz="0"/>
            </w:tcBorders>
            <w:tcMar>
              <w:top w:type="dxa" w:w="20"/>
              <w:left w:type="dxa" w:w="80"/>
              <w:bottom w:type="dxa" w:w="20"/>
              <w:right w:type="dxa" w:w="80"/>
            </w:tcMar>
          </w:tcPr>
          <w:p>
            <w:pPr>
              <w:spacing w:after="20" w:before="20" w:line="240"/>
              <w:jc w:val="center"/>
            </w:pPr>
            <w:r>
              <w:rPr>
                <w:rFonts w:ascii="Times New Roman" w:cs="Times New Roman" w:eastAsia="Times New Roman" w:hAnsi="Times New Roman"/>
                <w:b w:val="false"/>
                <w:bCs w:val="false"/>
                <w:i w:val="false"/>
                <w:iCs w:val="false"/>
                <w:sz w:val="24"/>
                <w:szCs w:val="24"/>
              </w:rPr>
              <w:t xml:space="preserve">0.80 [0.63, 1.02]</w:t>
            </w:r>
          </w:p>
        </w:tc>
      </w:tr>
      <w:tr>
        <w:tc>
          <w:tcPr>
            <w:tcW w:type="dxa" w:w="3960"/>
            <w:tcBorders>
              <w:top w:val="none" w:color="FFFFFF" w:sz="0"/>
              <w:left w:val="none" w:color="FFFFFF" w:sz="0"/>
              <w:bottom w:val="none" w:color="FFFFFF" w:sz="0"/>
              <w:right w:val="none" w:color="FFFFFF" w:sz="0"/>
            </w:tcBorders>
            <w:tcMar>
              <w:top w:type="dxa" w:w="20"/>
              <w:left w:type="dxa" w:w="80"/>
              <w:bottom w:type="dxa" w:w="20"/>
              <w:right w:type="dxa" w:w="80"/>
            </w:tcMar>
          </w:tcPr>
          <w:p>
            <w:pPr>
              <w:spacing w:after="20" w:before="20" w:line="240"/>
              <w:jc w:val="left"/>
            </w:pPr>
            <w:r>
              <w:rPr>
                <w:rFonts w:ascii="Times New Roman" w:cs="Times New Roman" w:eastAsia="Times New Roman" w:hAnsi="Times New Roman"/>
                <w:b w:val="false"/>
                <w:bCs w:val="false"/>
                <w:i/>
                <w:iCs/>
                <w:sz w:val="24"/>
                <w:szCs w:val="24"/>
              </w:rPr>
              <w:t xml:space="preserve">M. natalensis</w:t>
            </w:r>
            <w:r>
              <w:rPr>
                <w:rFonts w:ascii="Times New Roman" w:cs="Times New Roman" w:eastAsia="Times New Roman" w:hAnsi="Times New Roman"/>
                <w:b w:val="false"/>
                <w:bCs w:val="false"/>
                <w:i w:val="false"/>
                <w:iCs w:val="false"/>
                <w:sz w:val="24"/>
                <w:szCs w:val="24"/>
              </w:rPr>
              <w:t xml:space="preserve"> occurrences</w:t>
            </w:r>
          </w:p>
        </w:tc>
        <w:tc>
          <w:tcPr>
            <w:tcW w:type="dxa" w:w="2700"/>
            <w:tcBorders>
              <w:top w:val="none" w:color="FFFFFF" w:sz="0"/>
              <w:left w:val="none" w:color="FFFFFF" w:sz="0"/>
              <w:bottom w:val="none" w:color="FFFFFF" w:sz="0"/>
              <w:right w:val="none" w:color="FFFFFF" w:sz="0"/>
            </w:tcBorders>
            <w:tcMar>
              <w:top w:type="dxa" w:w="20"/>
              <w:left w:type="dxa" w:w="80"/>
              <w:bottom w:type="dxa" w:w="20"/>
              <w:right w:type="dxa" w:w="80"/>
            </w:tcMar>
          </w:tcPr>
          <w:p>
            <w:pPr>
              <w:spacing w:after="20" w:before="20" w:line="240"/>
              <w:jc w:val="center"/>
            </w:pPr>
            <w:r>
              <w:rPr>
                <w:rFonts w:ascii="Times New Roman" w:cs="Times New Roman" w:eastAsia="Times New Roman" w:hAnsi="Times New Roman"/>
                <w:b w:val="false"/>
                <w:bCs w:val="false"/>
                <w:i w:val="false"/>
                <w:iCs w:val="false"/>
                <w:sz w:val="24"/>
                <w:szCs w:val="24"/>
              </w:rPr>
              <w:t xml:space="preserve">1.03 [0.61, 1.76]</w:t>
            </w:r>
          </w:p>
        </w:tc>
        <w:tc>
          <w:tcPr>
            <w:tcW w:type="dxa" w:w="2700"/>
            <w:tcBorders>
              <w:top w:val="none" w:color="FFFFFF" w:sz="0"/>
              <w:left w:val="none" w:color="FFFFFF" w:sz="0"/>
              <w:bottom w:val="none" w:color="FFFFFF" w:sz="0"/>
              <w:right w:val="none" w:color="FFFFFF" w:sz="0"/>
            </w:tcBorders>
            <w:tcMar>
              <w:top w:type="dxa" w:w="20"/>
              <w:left w:type="dxa" w:w="80"/>
              <w:bottom w:type="dxa" w:w="20"/>
              <w:right w:type="dxa" w:w="80"/>
            </w:tcMar>
          </w:tcPr>
          <w:p>
            <w:pPr>
              <w:spacing w:after="20" w:before="20" w:line="240"/>
              <w:jc w:val="center"/>
            </w:pPr>
            <w:r>
              <w:rPr>
                <w:rFonts w:ascii="Times New Roman" w:cs="Times New Roman" w:eastAsia="Times New Roman" w:hAnsi="Times New Roman"/>
                <w:b w:val="false"/>
                <w:bCs w:val="false"/>
                <w:i w:val="false"/>
                <w:iCs w:val="false"/>
                <w:sz w:val="24"/>
                <w:szCs w:val="24"/>
              </w:rPr>
              <w:t xml:space="preserve">0.90 [0.76, 1.07]</w:t>
            </w:r>
          </w:p>
        </w:tc>
      </w:tr>
      <w:tr>
        <w:tc>
          <w:tcPr>
            <w:tcW w:type="dxa" w:w="3960"/>
            <w:tcBorders>
              <w:top w:val="none" w:color="FFFFFF" w:sz="0"/>
              <w:left w:val="none" w:color="FFFFFF" w:sz="0"/>
              <w:bottom w:val="none" w:color="FFFFFF" w:sz="0"/>
              <w:right w:val="none" w:color="FFFFFF" w:sz="0"/>
            </w:tcBorders>
            <w:tcMar>
              <w:top w:type="dxa" w:w="20"/>
              <w:left w:type="dxa" w:w="80"/>
              <w:bottom w:type="dxa" w:w="20"/>
              <w:right w:type="dxa" w:w="80"/>
            </w:tcMar>
          </w:tcPr>
          <w:p>
            <w:pPr>
              <w:spacing w:after="20" w:before="20" w:line="240"/>
              <w:jc w:val="left"/>
            </w:pPr>
            <w:r>
              <w:rPr>
                <w:rFonts w:ascii="Times New Roman" w:cs="Times New Roman" w:eastAsia="Times New Roman" w:hAnsi="Times New Roman"/>
                <w:b w:val="false"/>
                <w:bCs w:val="false"/>
                <w:i w:val="false"/>
                <w:iCs w:val="false"/>
                <w:sz w:val="24"/>
                <w:szCs w:val="24"/>
              </w:rPr>
              <w:t xml:space="preserve">Centroid latitude</w:t>
            </w:r>
          </w:p>
        </w:tc>
        <w:tc>
          <w:tcPr>
            <w:tcW w:type="dxa" w:w="2700"/>
            <w:tcBorders>
              <w:top w:val="none" w:color="FFFFFF" w:sz="0"/>
              <w:left w:val="none" w:color="FFFFFF" w:sz="0"/>
              <w:bottom w:val="none" w:color="FFFFFF" w:sz="0"/>
              <w:right w:val="none" w:color="FFFFFF" w:sz="0"/>
            </w:tcBorders>
            <w:tcMar>
              <w:top w:type="dxa" w:w="20"/>
              <w:left w:type="dxa" w:w="80"/>
              <w:bottom w:type="dxa" w:w="20"/>
              <w:right w:type="dxa" w:w="80"/>
            </w:tcMar>
          </w:tcPr>
          <w:p>
            <w:pPr>
              <w:spacing w:after="20" w:before="20" w:line="240"/>
              <w:jc w:val="center"/>
            </w:pPr>
            <w:r>
              <w:rPr>
                <w:rFonts w:ascii="Times New Roman" w:cs="Times New Roman" w:eastAsia="Times New Roman" w:hAnsi="Times New Roman"/>
                <w:b w:val="false"/>
                <w:bCs w:val="false"/>
                <w:i w:val="false"/>
                <w:iCs w:val="false"/>
                <w:sz w:val="24"/>
                <w:szCs w:val="24"/>
              </w:rPr>
              <w:t xml:space="preserve">0.09 [0.02, 0.43]**</w:t>
            </w:r>
          </w:p>
        </w:tc>
        <w:tc>
          <w:tcPr>
            <w:tcW w:type="dxa" w:w="2700"/>
            <w:tcBorders>
              <w:top w:val="none" w:color="FFFFFF" w:sz="0"/>
              <w:left w:val="none" w:color="FFFFFF" w:sz="0"/>
              <w:bottom w:val="none" w:color="FFFFFF" w:sz="0"/>
              <w:right w:val="none" w:color="FFFFFF" w:sz="0"/>
            </w:tcBorders>
            <w:tcMar>
              <w:top w:type="dxa" w:w="20"/>
              <w:left w:type="dxa" w:w="80"/>
              <w:bottom w:type="dxa" w:w="20"/>
              <w:right w:type="dxa" w:w="80"/>
            </w:tcMar>
          </w:tcPr>
          <w:p>
            <w:pPr>
              <w:spacing w:after="20" w:before="20" w:line="240"/>
              <w:jc w:val="center"/>
            </w:pPr>
            <w:r>
              <w:rPr>
                <w:rFonts w:ascii="Times New Roman" w:cs="Times New Roman" w:eastAsia="Times New Roman" w:hAnsi="Times New Roman"/>
                <w:b w:val="false"/>
                <w:bCs w:val="false"/>
                <w:i w:val="false"/>
                <w:iCs w:val="false"/>
                <w:sz w:val="24"/>
                <w:szCs w:val="24"/>
              </w:rPr>
              <w:t xml:space="preserve">0.71 [0.46, 1.08]</w:t>
            </w:r>
          </w:p>
        </w:tc>
      </w:tr>
      <w:tr>
        <w:tc>
          <w:tcPr>
            <w:tcW w:type="dxa" w:w="3960"/>
            <w:tcBorders>
              <w:top w:val="none" w:color="FFFFFF" w:sz="0"/>
              <w:left w:val="none" w:color="FFFFFF" w:sz="0"/>
              <w:bottom w:val="none" w:color="FFFFFF" w:sz="0"/>
              <w:right w:val="none" w:color="FFFFFF" w:sz="0"/>
            </w:tcBorders>
            <w:tcMar>
              <w:top w:type="dxa" w:w="20"/>
              <w:left w:type="dxa" w:w="80"/>
              <w:bottom w:type="dxa" w:w="20"/>
              <w:right w:type="dxa" w:w="80"/>
            </w:tcMar>
          </w:tcPr>
          <w:p>
            <w:pPr>
              <w:spacing w:after="20" w:before="20" w:line="240"/>
              <w:jc w:val="left"/>
            </w:pPr>
            <w:r>
              <w:rPr>
                <w:rFonts w:ascii="Times New Roman" w:cs="Times New Roman" w:eastAsia="Times New Roman" w:hAnsi="Times New Roman"/>
                <w:b w:val="false"/>
                <w:bCs w:val="false"/>
                <w:i w:val="false"/>
                <w:iCs w:val="false"/>
                <w:sz w:val="24"/>
                <w:szCs w:val="24"/>
              </w:rPr>
              <w:t xml:space="preserve">Health facilities (per 100,000)</w:t>
            </w:r>
          </w:p>
        </w:tc>
        <w:tc>
          <w:tcPr>
            <w:tcW w:type="dxa" w:w="2700"/>
            <w:tcBorders>
              <w:top w:val="none" w:color="FFFFFF" w:sz="0"/>
              <w:left w:val="none" w:color="FFFFFF" w:sz="0"/>
              <w:bottom w:val="none" w:color="FFFFFF" w:sz="0"/>
              <w:right w:val="none" w:color="FFFFFF" w:sz="0"/>
            </w:tcBorders>
            <w:tcMar>
              <w:top w:type="dxa" w:w="20"/>
              <w:left w:type="dxa" w:w="80"/>
              <w:bottom w:type="dxa" w:w="20"/>
              <w:right w:type="dxa" w:w="80"/>
            </w:tcMar>
          </w:tcPr>
          <w:p>
            <w:pPr>
              <w:spacing w:after="20" w:before="20" w:line="240"/>
              <w:jc w:val="center"/>
            </w:pPr>
            <w:r>
              <w:rPr>
                <w:rFonts w:ascii="Times New Roman" w:cs="Times New Roman" w:eastAsia="Times New Roman" w:hAnsi="Times New Roman"/>
                <w:b w:val="false"/>
                <w:bCs w:val="false"/>
                <w:i w:val="false"/>
                <w:iCs w:val="false"/>
                <w:sz w:val="24"/>
                <w:szCs w:val="24"/>
              </w:rPr>
              <w:t xml:space="preserve">—</w:t>
            </w:r>
          </w:p>
        </w:tc>
        <w:tc>
          <w:tcPr>
            <w:tcW w:type="dxa" w:w="2700"/>
            <w:tcBorders>
              <w:top w:val="none" w:color="FFFFFF" w:sz="0"/>
              <w:left w:val="none" w:color="FFFFFF" w:sz="0"/>
              <w:bottom w:val="none" w:color="FFFFFF" w:sz="0"/>
              <w:right w:val="none" w:color="FFFFFF" w:sz="0"/>
            </w:tcBorders>
            <w:tcMar>
              <w:top w:type="dxa" w:w="20"/>
              <w:left w:type="dxa" w:w="80"/>
              <w:bottom w:type="dxa" w:w="20"/>
              <w:right w:type="dxa" w:w="80"/>
            </w:tcMar>
          </w:tcPr>
          <w:p>
            <w:pPr>
              <w:spacing w:after="20" w:before="20" w:line="240"/>
              <w:jc w:val="center"/>
            </w:pPr>
            <w:r>
              <w:rPr>
                <w:rFonts w:ascii="Times New Roman" w:cs="Times New Roman" w:eastAsia="Times New Roman" w:hAnsi="Times New Roman"/>
                <w:b w:val="false"/>
                <w:bCs w:val="false"/>
                <w:i w:val="false"/>
                <w:iCs w:val="false"/>
                <w:sz w:val="24"/>
                <w:szCs w:val="24"/>
              </w:rPr>
              <w:t xml:space="preserve">1.43 [1.11, 1.84]**</w:t>
            </w:r>
          </w:p>
        </w:tc>
      </w:tr>
      <w:tr>
        <w:tc>
          <w:tcPr>
            <w:tcW w:type="dxa" w:w="3960"/>
            <w:tcBorders>
              <w:top w:val="none" w:color="FFFFFF" w:sz="0"/>
              <w:left w:val="none" w:color="FFFFFF" w:sz="0"/>
              <w:bottom w:val="none" w:color="FFFFFF" w:sz="0"/>
              <w:right w:val="none" w:color="FFFFFF" w:sz="0"/>
            </w:tcBorders>
            <w:tcMar>
              <w:top w:type="dxa" w:w="20"/>
              <w:left w:type="dxa" w:w="80"/>
              <w:bottom w:type="dxa" w:w="20"/>
              <w:right w:type="dxa" w:w="80"/>
            </w:tcMar>
          </w:tcPr>
          <w:p>
            <w:pPr>
              <w:spacing w:after="20" w:before="20" w:line="240"/>
              <w:jc w:val="left"/>
            </w:pPr>
            <w:r>
              <w:rPr>
                <w:rFonts w:ascii="Times New Roman" w:cs="Times New Roman" w:eastAsia="Times New Roman" w:hAnsi="Times New Roman"/>
                <w:b w:val="false"/>
                <w:bCs w:val="false"/>
                <w:i w:val="false"/>
                <w:iCs w:val="false"/>
                <w:sz w:val="24"/>
                <w:szCs w:val="24"/>
              </w:rPr>
              <w:t xml:space="preserve">Distance to nearest laboratory</w:t>
            </w:r>
          </w:p>
        </w:tc>
        <w:tc>
          <w:tcPr>
            <w:tcW w:type="dxa" w:w="2700"/>
            <w:tcBorders>
              <w:top w:val="none" w:color="FFFFFF" w:sz="0"/>
              <w:left w:val="none" w:color="FFFFFF" w:sz="0"/>
              <w:bottom w:val="none" w:color="FFFFFF" w:sz="0"/>
              <w:right w:val="none" w:color="FFFFFF" w:sz="0"/>
            </w:tcBorders>
            <w:tcMar>
              <w:top w:type="dxa" w:w="20"/>
              <w:left w:type="dxa" w:w="80"/>
              <w:bottom w:type="dxa" w:w="20"/>
              <w:right w:type="dxa" w:w="80"/>
            </w:tcMar>
          </w:tcPr>
          <w:p>
            <w:pPr>
              <w:spacing w:after="20" w:before="20" w:line="240"/>
              <w:jc w:val="center"/>
            </w:pPr>
            <w:r>
              <w:rPr>
                <w:rFonts w:ascii="Times New Roman" w:cs="Times New Roman" w:eastAsia="Times New Roman" w:hAnsi="Times New Roman"/>
                <w:b w:val="false"/>
                <w:bCs w:val="false"/>
                <w:i w:val="false"/>
                <w:iCs w:val="false"/>
                <w:sz w:val="24"/>
                <w:szCs w:val="24"/>
              </w:rPr>
              <w:t xml:space="preserve">—</w:t>
            </w:r>
          </w:p>
        </w:tc>
        <w:tc>
          <w:tcPr>
            <w:tcW w:type="dxa" w:w="2700"/>
            <w:tcBorders>
              <w:top w:val="none" w:color="FFFFFF" w:sz="0"/>
              <w:left w:val="none" w:color="FFFFFF" w:sz="0"/>
              <w:bottom w:val="none" w:color="FFFFFF" w:sz="0"/>
              <w:right w:val="none" w:color="FFFFFF" w:sz="0"/>
            </w:tcBorders>
            <w:tcMar>
              <w:top w:type="dxa" w:w="20"/>
              <w:left w:type="dxa" w:w="80"/>
              <w:bottom w:type="dxa" w:w="20"/>
              <w:right w:type="dxa" w:w="80"/>
            </w:tcMar>
          </w:tcPr>
          <w:p>
            <w:pPr>
              <w:spacing w:after="20" w:before="20" w:line="240"/>
              <w:jc w:val="center"/>
            </w:pPr>
            <w:r>
              <w:rPr>
                <w:rFonts w:ascii="Times New Roman" w:cs="Times New Roman" w:eastAsia="Times New Roman" w:hAnsi="Times New Roman"/>
                <w:b w:val="false"/>
                <w:bCs w:val="false"/>
                <w:i w:val="false"/>
                <w:iCs w:val="false"/>
                <w:sz w:val="24"/>
                <w:szCs w:val="24"/>
              </w:rPr>
              <w:t xml:space="preserve">1.60 [1.19, 2.16]**</w:t>
            </w:r>
          </w:p>
        </w:tc>
      </w:tr>
      <w:tr>
        <w:tc>
          <w:tcPr>
            <w:tcW w:type="dxa" w:w="3960"/>
            <w:tcBorders>
              <w:top w:val="none" w:color="FFFFFF" w:sz="0"/>
              <w:left w:val="none" w:color="FFFFFF" w:sz="0"/>
              <w:bottom w:val="none" w:color="FFFFFF" w:sz="0"/>
              <w:right w:val="none" w:color="FFFFFF" w:sz="0"/>
            </w:tcBorders>
            <w:tcMar>
              <w:top w:type="dxa" w:w="20"/>
              <w:left w:type="dxa" w:w="80"/>
              <w:bottom w:type="dxa" w:w="20"/>
              <w:right w:type="dxa" w:w="80"/>
            </w:tcMar>
          </w:tcPr>
          <w:p>
            <w:pPr>
              <w:spacing w:after="20" w:before="20" w:line="240"/>
              <w:jc w:val="left"/>
            </w:pPr>
            <w:r>
              <w:rPr>
                <w:rFonts w:ascii="Times New Roman" w:cs="Times New Roman" w:eastAsia="Times New Roman" w:hAnsi="Times New Roman"/>
                <w:b w:val="false"/>
                <w:bCs w:val="false"/>
                <w:i w:val="false"/>
                <w:iCs w:val="false"/>
                <w:sz w:val="24"/>
                <w:szCs w:val="24"/>
              </w:rPr>
              <w:t xml:space="preserve">Suspected cases (log)</w:t>
            </w:r>
          </w:p>
        </w:tc>
        <w:tc>
          <w:tcPr>
            <w:tcW w:type="dxa" w:w="2700"/>
            <w:tcBorders>
              <w:top w:val="none" w:color="FFFFFF" w:sz="0"/>
              <w:left w:val="none" w:color="FFFFFF" w:sz="0"/>
              <w:bottom w:val="none" w:color="FFFFFF" w:sz="0"/>
              <w:right w:val="none" w:color="FFFFFF" w:sz="0"/>
            </w:tcBorders>
            <w:tcMar>
              <w:top w:type="dxa" w:w="20"/>
              <w:left w:type="dxa" w:w="80"/>
              <w:bottom w:type="dxa" w:w="20"/>
              <w:right w:type="dxa" w:w="80"/>
            </w:tcMar>
          </w:tcPr>
          <w:p>
            <w:pPr>
              <w:spacing w:after="20" w:before="20" w:line="240"/>
              <w:jc w:val="center"/>
            </w:pPr>
            <w:r>
              <w:rPr>
                <w:rFonts w:ascii="Times New Roman" w:cs="Times New Roman" w:eastAsia="Times New Roman" w:hAnsi="Times New Roman"/>
                <w:b w:val="false"/>
                <w:bCs w:val="false"/>
                <w:i w:val="false"/>
                <w:iCs w:val="false"/>
                <w:sz w:val="24"/>
                <w:szCs w:val="24"/>
              </w:rPr>
              <w:t xml:space="preserve">—</w:t>
            </w:r>
          </w:p>
        </w:tc>
        <w:tc>
          <w:tcPr>
            <w:tcW w:type="dxa" w:w="2700"/>
            <w:tcBorders>
              <w:top w:val="none" w:color="FFFFFF" w:sz="0"/>
              <w:left w:val="none" w:color="FFFFFF" w:sz="0"/>
              <w:bottom w:val="none" w:color="FFFFFF" w:sz="0"/>
              <w:right w:val="none" w:color="FFFFFF" w:sz="0"/>
            </w:tcBorders>
            <w:tcMar>
              <w:top w:type="dxa" w:w="20"/>
              <w:left w:type="dxa" w:w="80"/>
              <w:bottom w:type="dxa" w:w="20"/>
              <w:right w:type="dxa" w:w="80"/>
            </w:tcMar>
          </w:tcPr>
          <w:p>
            <w:pPr>
              <w:spacing w:after="20" w:before="20" w:line="240"/>
              <w:jc w:val="center"/>
            </w:pPr>
            <w:r>
              <w:rPr>
                <w:rFonts w:ascii="Times New Roman" w:cs="Times New Roman" w:eastAsia="Times New Roman" w:hAnsi="Times New Roman"/>
                <w:b w:val="false"/>
                <w:bCs w:val="false"/>
                <w:i w:val="false"/>
                <w:iCs w:val="false"/>
                <w:sz w:val="24"/>
                <w:szCs w:val="24"/>
              </w:rPr>
              <w:t xml:space="preserve">8.14 [6.36, 10.41]***</w:t>
            </w:r>
          </w:p>
        </w:tc>
      </w:tr>
      <w:tr>
        <w:tc>
          <w:tcPr>
            <w:tcW w:type="dxa" w:w="3960"/>
            <w:tcBorders>
              <w:top w:val="none" w:color="FFFFFF" w:sz="0"/>
              <w:left w:val="none" w:color="FFFFFF" w:sz="0"/>
              <w:bottom w:val="none" w:color="FFFFFF" w:sz="0"/>
              <w:right w:val="none" w:color="FFFFFF" w:sz="0"/>
            </w:tcBorders>
            <w:tcMar>
              <w:top w:type="dxa" w:w="20"/>
              <w:left w:type="dxa" w:w="80"/>
              <w:bottom w:type="dxa" w:w="20"/>
              <w:right w:type="dxa" w:w="80"/>
            </w:tcMar>
          </w:tcPr>
          <w:p>
            <w:pPr>
              <w:spacing w:after="20" w:before="20" w:line="240"/>
              <w:jc w:val="left"/>
            </w:pPr>
            <w:r>
              <w:rPr>
                <w:rFonts w:ascii="Times New Roman" w:cs="Times New Roman" w:eastAsia="Times New Roman" w:hAnsi="Times New Roman"/>
                <w:b w:val="false"/>
                <w:bCs w:val="false"/>
                <w:i w:val="false"/>
                <w:iCs w:val="false"/>
                <w:sz w:val="24"/>
                <w:szCs w:val="24"/>
              </w:rPr>
              <w:t xml:space="preserve">Dispersion (α)</w:t>
            </w:r>
          </w:p>
        </w:tc>
        <w:tc>
          <w:tcPr>
            <w:tcW w:type="dxa" w:w="2700"/>
            <w:tcBorders>
              <w:top w:val="none" w:color="FFFFFF" w:sz="0"/>
              <w:left w:val="none" w:color="FFFFFF" w:sz="0"/>
              <w:bottom w:val="none" w:color="FFFFFF" w:sz="0"/>
              <w:right w:val="none" w:color="FFFFFF" w:sz="0"/>
            </w:tcBorders>
            <w:tcMar>
              <w:top w:type="dxa" w:w="20"/>
              <w:left w:type="dxa" w:w="80"/>
              <w:bottom w:type="dxa" w:w="20"/>
              <w:right w:type="dxa" w:w="80"/>
            </w:tcMar>
          </w:tcPr>
          <w:p>
            <w:pPr>
              <w:spacing w:after="20" w:before="20" w:line="240"/>
              <w:jc w:val="center"/>
            </w:pPr>
            <w:r>
              <w:rPr>
                <w:rFonts w:ascii="Times New Roman" w:cs="Times New Roman" w:eastAsia="Times New Roman" w:hAnsi="Times New Roman"/>
                <w:b w:val="false"/>
                <w:bCs w:val="false"/>
                <w:i w:val="false"/>
                <w:iCs w:val="false"/>
                <w:sz w:val="24"/>
                <w:szCs w:val="24"/>
              </w:rPr>
              <w:t xml:space="preserve">2.70</w:t>
            </w:r>
          </w:p>
        </w:tc>
        <w:tc>
          <w:tcPr>
            <w:tcW w:type="dxa" w:w="2700"/>
            <w:tcBorders>
              <w:top w:val="none" w:color="FFFFFF" w:sz="0"/>
              <w:left w:val="none" w:color="FFFFFF" w:sz="0"/>
              <w:bottom w:val="none" w:color="FFFFFF" w:sz="0"/>
              <w:right w:val="none" w:color="FFFFFF" w:sz="0"/>
            </w:tcBorders>
            <w:tcMar>
              <w:top w:type="dxa" w:w="20"/>
              <w:left w:type="dxa" w:w="80"/>
              <w:bottom w:type="dxa" w:w="20"/>
              <w:right w:type="dxa" w:w="80"/>
            </w:tcMar>
          </w:tcPr>
          <w:p>
            <w:pPr>
              <w:spacing w:after="20" w:before="20" w:line="240"/>
              <w:jc w:val="center"/>
            </w:pPr>
            <w:r>
              <w:rPr>
                <w:rFonts w:ascii="Times New Roman" w:cs="Times New Roman" w:eastAsia="Times New Roman" w:hAnsi="Times New Roman"/>
                <w:b w:val="false"/>
                <w:bCs w:val="false"/>
                <w:i w:val="false"/>
                <w:iCs w:val="false"/>
                <w:sz w:val="24"/>
                <w:szCs w:val="24"/>
              </w:rPr>
              <w:t xml:space="preserve">0.19</w:t>
            </w:r>
          </w:p>
        </w:tc>
      </w:tr>
      <w:tr>
        <w:tc>
          <w:tcPr>
            <w:tcW w:type="dxa" w:w="3960"/>
            <w:tcBorders>
              <w:top w:val="none" w:color="FFFFFF" w:sz="0"/>
              <w:left w:val="none" w:color="FFFFFF" w:sz="0"/>
              <w:bottom w:val="none" w:color="FFFFFF" w:sz="0"/>
              <w:right w:val="none" w:color="FFFFFF" w:sz="0"/>
            </w:tcBorders>
            <w:tcMar>
              <w:top w:type="dxa" w:w="20"/>
              <w:left w:type="dxa" w:w="80"/>
              <w:bottom w:type="dxa" w:w="20"/>
              <w:right w:type="dxa" w:w="80"/>
            </w:tcMar>
          </w:tcPr>
          <w:p>
            <w:pPr>
              <w:spacing w:after="20" w:before="20" w:line="240"/>
              <w:jc w:val="left"/>
            </w:pPr>
            <w:r>
              <w:rPr>
                <w:rFonts w:ascii="Times New Roman" w:cs="Times New Roman" w:eastAsia="Times New Roman" w:hAnsi="Times New Roman"/>
                <w:b w:val="false"/>
                <w:bCs w:val="false"/>
                <w:i w:val="false"/>
                <w:iCs w:val="false"/>
                <w:sz w:val="24"/>
                <w:szCs w:val="24"/>
              </w:rPr>
              <w:t xml:space="preserve">McFadden R²</w:t>
            </w:r>
          </w:p>
        </w:tc>
        <w:tc>
          <w:tcPr>
            <w:tcW w:type="dxa" w:w="2700"/>
            <w:tcBorders>
              <w:top w:val="none" w:color="FFFFFF" w:sz="0"/>
              <w:left w:val="none" w:color="FFFFFF" w:sz="0"/>
              <w:bottom w:val="none" w:color="FFFFFF" w:sz="0"/>
              <w:right w:val="none" w:color="FFFFFF" w:sz="0"/>
            </w:tcBorders>
            <w:tcMar>
              <w:top w:type="dxa" w:w="20"/>
              <w:left w:type="dxa" w:w="80"/>
              <w:bottom w:type="dxa" w:w="20"/>
              <w:right w:type="dxa" w:w="80"/>
            </w:tcMar>
          </w:tcPr>
          <w:p>
            <w:pPr>
              <w:spacing w:after="20" w:before="20" w:line="240"/>
              <w:jc w:val="center"/>
            </w:pPr>
            <w:r>
              <w:rPr>
                <w:rFonts w:ascii="Times New Roman" w:cs="Times New Roman" w:eastAsia="Times New Roman" w:hAnsi="Times New Roman"/>
                <w:b w:val="false"/>
                <w:bCs w:val="false"/>
                <w:i w:val="false"/>
                <w:iCs w:val="false"/>
                <w:sz w:val="24"/>
                <w:szCs w:val="24"/>
              </w:rPr>
              <w:t xml:space="preserve">.05</w:t>
            </w:r>
          </w:p>
        </w:tc>
        <w:tc>
          <w:tcPr>
            <w:tcW w:type="dxa" w:w="2700"/>
            <w:tcBorders>
              <w:top w:val="none" w:color="FFFFFF" w:sz="0"/>
              <w:left w:val="none" w:color="FFFFFF" w:sz="0"/>
              <w:bottom w:val="none" w:color="FFFFFF" w:sz="0"/>
              <w:right w:val="none" w:color="FFFFFF" w:sz="0"/>
            </w:tcBorders>
            <w:tcMar>
              <w:top w:type="dxa" w:w="20"/>
              <w:left w:type="dxa" w:w="80"/>
              <w:bottom w:type="dxa" w:w="20"/>
              <w:right w:type="dxa" w:w="80"/>
            </w:tcMar>
          </w:tcPr>
          <w:p>
            <w:pPr>
              <w:spacing w:after="20" w:before="20" w:line="240"/>
              <w:jc w:val="center"/>
            </w:pPr>
            <w:r>
              <w:rPr>
                <w:rFonts w:ascii="Times New Roman" w:cs="Times New Roman" w:eastAsia="Times New Roman" w:hAnsi="Times New Roman"/>
                <w:b w:val="false"/>
                <w:bCs w:val="false"/>
                <w:i w:val="false"/>
                <w:iCs w:val="false"/>
                <w:sz w:val="24"/>
                <w:szCs w:val="24"/>
              </w:rPr>
              <w:t xml:space="preserve">.30</w:t>
            </w:r>
          </w:p>
        </w:tc>
      </w:tr>
      <w:tr>
        <w:tc>
          <w:tcPr>
            <w:tcW w:type="dxa" w:w="3960"/>
            <w:tcBorders>
              <w:top w:val="none" w:color="FFFFFF" w:sz="0"/>
              <w:left w:val="none" w:color="FFFFFF" w:sz="0"/>
              <w:bottom w:val="none" w:color="FFFFFF" w:sz="0"/>
              <w:right w:val="none" w:color="FFFFFF" w:sz="0"/>
            </w:tcBorders>
            <w:tcMar>
              <w:top w:type="dxa" w:w="20"/>
              <w:left w:type="dxa" w:w="80"/>
              <w:bottom w:type="dxa" w:w="20"/>
              <w:right w:type="dxa" w:w="80"/>
            </w:tcMar>
          </w:tcPr>
          <w:p>
            <w:pPr>
              <w:spacing w:after="20" w:before="20" w:line="240"/>
              <w:jc w:val="left"/>
            </w:pPr>
            <w:r>
              <w:rPr>
                <w:rFonts w:ascii="Times New Roman" w:cs="Times New Roman" w:eastAsia="Times New Roman" w:hAnsi="Times New Roman"/>
                <w:b w:val="false"/>
                <w:bCs w:val="false"/>
                <w:i w:val="false"/>
                <w:iCs w:val="false"/>
                <w:sz w:val="24"/>
                <w:szCs w:val="24"/>
              </w:rPr>
              <w:t xml:space="preserve">AIC</w:t>
            </w:r>
          </w:p>
        </w:tc>
        <w:tc>
          <w:tcPr>
            <w:tcW w:type="dxa" w:w="2700"/>
            <w:tcBorders>
              <w:top w:val="none" w:color="FFFFFF" w:sz="0"/>
              <w:left w:val="none" w:color="FFFFFF" w:sz="0"/>
              <w:bottom w:val="none" w:color="FFFFFF" w:sz="0"/>
              <w:right w:val="none" w:color="FFFFFF" w:sz="0"/>
            </w:tcBorders>
            <w:tcMar>
              <w:top w:type="dxa" w:w="20"/>
              <w:left w:type="dxa" w:w="80"/>
              <w:bottom w:type="dxa" w:w="20"/>
              <w:right w:type="dxa" w:w="80"/>
            </w:tcMar>
          </w:tcPr>
          <w:p>
            <w:pPr>
              <w:spacing w:after="20" w:before="20" w:line="240"/>
              <w:jc w:val="center"/>
            </w:pPr>
            <w:r>
              <w:rPr>
                <w:rFonts w:ascii="Times New Roman" w:cs="Times New Roman" w:eastAsia="Times New Roman" w:hAnsi="Times New Roman"/>
                <w:b w:val="false"/>
                <w:bCs w:val="false"/>
                <w:i w:val="false"/>
                <w:iCs w:val="false"/>
                <w:sz w:val="24"/>
                <w:szCs w:val="24"/>
              </w:rPr>
              <w:t xml:space="preserve">395.2</w:t>
            </w:r>
          </w:p>
        </w:tc>
        <w:tc>
          <w:tcPr>
            <w:tcW w:type="dxa" w:w="2700"/>
            <w:tcBorders>
              <w:top w:val="none" w:color="FFFFFF" w:sz="0"/>
              <w:left w:val="none" w:color="FFFFFF" w:sz="0"/>
              <w:bottom w:val="none" w:color="FFFFFF" w:sz="0"/>
              <w:right w:val="none" w:color="FFFFFF" w:sz="0"/>
            </w:tcBorders>
            <w:tcMar>
              <w:top w:type="dxa" w:w="20"/>
              <w:left w:type="dxa" w:w="80"/>
              <w:bottom w:type="dxa" w:w="20"/>
              <w:right w:type="dxa" w:w="80"/>
            </w:tcMar>
          </w:tcPr>
          <w:p>
            <w:pPr>
              <w:spacing w:after="20" w:before="20" w:line="240"/>
              <w:jc w:val="center"/>
            </w:pPr>
            <w:r>
              <w:rPr>
                <w:rFonts w:ascii="Times New Roman" w:cs="Times New Roman" w:eastAsia="Times New Roman" w:hAnsi="Times New Roman"/>
                <w:b w:val="false"/>
                <w:bCs w:val="false"/>
                <w:i w:val="false"/>
                <w:iCs w:val="false"/>
                <w:sz w:val="24"/>
                <w:szCs w:val="24"/>
              </w:rPr>
              <w:t xml:space="preserve">297.2</w:t>
            </w:r>
          </w:p>
        </w:tc>
      </w:tr>
    </w:tbl>
    <w:p>
      <w:pPr>
        <w:spacing w:before="60" w:line="240"/>
      </w:pPr>
      <w:r>
        <w:rPr>
          <w:rFonts w:ascii="Times New Roman" w:cs="Times New Roman" w:eastAsia="Times New Roman" w:hAnsi="Times New Roman"/>
          <w:b w:val="false"/>
          <w:bCs w:val="false"/>
          <w:i/>
          <w:iCs/>
          <w:sz w:val="24"/>
          <w:szCs w:val="24"/>
        </w:rPr>
        <w:t xml:space="preserve">Note.</w:t>
      </w:r>
      <w:r>
        <w:rPr>
          <w:rFonts w:ascii="Times New Roman" w:cs="Times New Roman" w:eastAsia="Times New Roman" w:hAnsi="Times New Roman"/>
          <w:b w:val="false"/>
          <w:bCs w:val="false"/>
          <w:i w:val="false"/>
          <w:iCs w:val="false"/>
          <w:sz w:val="24"/>
          <w:szCs w:val="24"/>
        </w:rPr>
        <w:t xml:space="preserve"> IRR = incidence-rate ratio per one standard-deviation increase in the predictor; models use population as the exposure. Model 2 adds surveillance/detection covariates. Em dashes indicate predictors not entered in Model 1.</w:t>
      </w:r>
    </w:p>
    <w:p>
      <w:pPr>
        <w:spacing w:line="240"/>
      </w:pPr>
      <w:r>
        <w:rPr>
          <w:rFonts w:ascii="Times New Roman" w:cs="Times New Roman" w:eastAsia="Times New Roman" w:hAnsi="Times New Roman"/>
          <w:b w:val="false"/>
          <w:bCs w:val="false"/>
          <w:i w:val="false"/>
          <w:iCs w:val="false"/>
          <w:sz w:val="24"/>
          <w:szCs w:val="24"/>
        </w:rPr>
        <w:t xml:space="preserve">*</w:t>
      </w:r>
      <w:r>
        <w:rPr>
          <w:rFonts w:ascii="Times New Roman" w:cs="Times New Roman" w:eastAsia="Times New Roman" w:hAnsi="Times New Roman"/>
          <w:b w:val="false"/>
          <w:bCs w:val="false"/>
          <w:i/>
          <w:iCs/>
          <w:sz w:val="24"/>
          <w:szCs w:val="24"/>
        </w:rPr>
        <w:t xml:space="preserve">p</w:t>
      </w:r>
      <w:r>
        <w:rPr>
          <w:rFonts w:ascii="Times New Roman" w:cs="Times New Roman" w:eastAsia="Times New Roman" w:hAnsi="Times New Roman"/>
          <w:b w:val="false"/>
          <w:bCs w:val="false"/>
          <w:i w:val="false"/>
          <w:iCs w:val="false"/>
          <w:sz w:val="24"/>
          <w:szCs w:val="24"/>
        </w:rPr>
        <w:t xml:space="preserve"> &lt; .05. **</w:t>
      </w:r>
      <w:r>
        <w:rPr>
          <w:rFonts w:ascii="Times New Roman" w:cs="Times New Roman" w:eastAsia="Times New Roman" w:hAnsi="Times New Roman"/>
          <w:b w:val="false"/>
          <w:bCs w:val="false"/>
          <w:i/>
          <w:iCs/>
          <w:sz w:val="24"/>
          <w:szCs w:val="24"/>
        </w:rPr>
        <w:t xml:space="preserve">p</w:t>
      </w:r>
      <w:r>
        <w:rPr>
          <w:rFonts w:ascii="Times New Roman" w:cs="Times New Roman" w:eastAsia="Times New Roman" w:hAnsi="Times New Roman"/>
          <w:b w:val="false"/>
          <w:bCs w:val="false"/>
          <w:i w:val="false"/>
          <w:iCs w:val="false"/>
          <w:sz w:val="24"/>
          <w:szCs w:val="24"/>
        </w:rPr>
        <w:t xml:space="preserve"> &lt; .01. ***</w:t>
      </w:r>
      <w:r>
        <w:rPr>
          <w:rFonts w:ascii="Times New Roman" w:cs="Times New Roman" w:eastAsia="Times New Roman" w:hAnsi="Times New Roman"/>
          <w:b w:val="false"/>
          <w:bCs w:val="false"/>
          <w:i/>
          <w:iCs/>
          <w:sz w:val="24"/>
          <w:szCs w:val="24"/>
        </w:rPr>
        <w:t xml:space="preserve">p</w:t>
      </w:r>
      <w:r>
        <w:rPr>
          <w:rFonts w:ascii="Times New Roman" w:cs="Times New Roman" w:eastAsia="Times New Roman" w:hAnsi="Times New Roman"/>
          <w:b w:val="false"/>
          <w:bCs w:val="false"/>
          <w:i w:val="false"/>
          <w:iCs w:val="false"/>
          <w:sz w:val="24"/>
          <w:szCs w:val="24"/>
        </w:rPr>
        <w:t xml:space="preserve"> &lt; .001.</w:t>
      </w:r>
    </w:p>
    <w:p>
      <w:pPr>
        <w:spacing w:before="240" w:line="480"/>
      </w:pPr>
      <w:r>
        <w:rPr>
          <w:rFonts w:ascii="Times New Roman" w:cs="Times New Roman" w:eastAsia="Times New Roman" w:hAnsi="Times New Roman"/>
          <w:b/>
          <w:bCs/>
          <w:sz w:val="24"/>
          <w:szCs w:val="24"/>
        </w:rPr>
        <w:t xml:space="preserve">Table 3</w:t>
      </w:r>
    </w:p>
    <w:p>
      <w:pPr>
        <w:spacing w:line="480"/>
      </w:pPr>
      <w:r>
        <w:rPr>
          <w:rFonts w:ascii="Times New Roman" w:cs="Times New Roman" w:eastAsia="Times New Roman" w:hAnsi="Times New Roman"/>
          <w:i/>
          <w:iCs/>
          <w:sz w:val="24"/>
          <w:szCs w:val="24"/>
        </w:rPr>
        <w:t xml:space="preserve">Parsimonious Low-Collinearity Negative Binomial Model of State Lassa Fever Incidence (N = 37)</w:t>
      </w:r>
    </w:p>
    <w:tbl>
      <w:tblPr>
        <w:tblW w:type="dxa" w:w="9360"/>
        <w:tblBorders>
          <w:top w:val="single" w:color="000000" w:sz="4"/>
          <w:left w:val="none" w:color="FFFFFF" w:sz="0"/>
          <w:bottom w:val="single" w:color="000000" w:sz="4"/>
          <w:right w:val="none" w:color="FFFFFF" w:sz="0"/>
          <w:insideH w:val="none" w:color="FFFFFF" w:sz="0"/>
          <w:insideV w:val="none" w:color="FFFFFF" w:sz="0"/>
        </w:tblBorders>
      </w:tblPr>
      <w:tblGrid>
        <w:gridCol w:w="4060"/>
        <w:gridCol w:w="1400"/>
        <w:gridCol w:w="2500"/>
        <w:gridCol w:w="1400"/>
      </w:tblGrid>
      <w:tr>
        <w:trPr>
          <w:tblHeader/>
        </w:trPr>
        <w:tc>
          <w:tcPr>
            <w:tcW w:type="dxa" w:w="4060"/>
            <w:tcBorders>
              <w:top w:val="none" w:color="FFFFFF" w:sz="0"/>
              <w:left w:val="none" w:color="FFFFFF" w:sz="0"/>
              <w:bottom w:val="single" w:color="000000" w:sz="4"/>
              <w:right w:val="none" w:color="FFFFFF" w:sz="0"/>
            </w:tcBorders>
            <w:tcMar>
              <w:top w:type="dxa" w:w="20"/>
              <w:left w:type="dxa" w:w="80"/>
              <w:bottom w:type="dxa" w:w="20"/>
              <w:right w:type="dxa" w:w="80"/>
            </w:tcMar>
          </w:tcPr>
          <w:p>
            <w:pPr>
              <w:spacing w:after="20" w:before="20" w:line="240"/>
              <w:jc w:val="left"/>
            </w:pPr>
            <w:r>
              <w:rPr>
                <w:rFonts w:ascii="Times New Roman" w:cs="Times New Roman" w:eastAsia="Times New Roman" w:hAnsi="Times New Roman"/>
                <w:b w:val="false"/>
                <w:bCs w:val="false"/>
                <w:i w:val="false"/>
                <w:iCs w:val="false"/>
                <w:sz w:val="24"/>
                <w:szCs w:val="24"/>
              </w:rPr>
              <w:t xml:space="preserve">Predictor (per 1 SD)</w:t>
            </w:r>
          </w:p>
        </w:tc>
        <w:tc>
          <w:tcPr>
            <w:tcW w:type="dxa" w:w="1400"/>
            <w:tcBorders>
              <w:top w:val="none" w:color="FFFFFF" w:sz="0"/>
              <w:left w:val="none" w:color="FFFFFF" w:sz="0"/>
              <w:bottom w:val="single" w:color="000000" w:sz="4"/>
              <w:right w:val="none" w:color="FFFFFF" w:sz="0"/>
            </w:tcBorders>
            <w:tcMar>
              <w:top w:type="dxa" w:w="20"/>
              <w:left w:type="dxa" w:w="80"/>
              <w:bottom w:type="dxa" w:w="20"/>
              <w:right w:type="dxa" w:w="80"/>
            </w:tcMar>
          </w:tcPr>
          <w:p>
            <w:pPr>
              <w:spacing w:after="20" w:before="20" w:line="240"/>
              <w:jc w:val="center"/>
            </w:pPr>
            <w:r>
              <w:rPr>
                <w:rFonts w:ascii="Times New Roman" w:cs="Times New Roman" w:eastAsia="Times New Roman" w:hAnsi="Times New Roman"/>
                <w:b w:val="false"/>
                <w:bCs w:val="false"/>
                <w:i/>
                <w:iCs/>
                <w:sz w:val="24"/>
                <w:szCs w:val="24"/>
              </w:rPr>
              <w:t xml:space="preserve">IRR</w:t>
            </w:r>
          </w:p>
        </w:tc>
        <w:tc>
          <w:tcPr>
            <w:tcW w:type="dxa" w:w="2500"/>
            <w:tcBorders>
              <w:top w:val="none" w:color="FFFFFF" w:sz="0"/>
              <w:left w:val="none" w:color="FFFFFF" w:sz="0"/>
              <w:bottom w:val="single" w:color="000000" w:sz="4"/>
              <w:right w:val="none" w:color="FFFFFF" w:sz="0"/>
            </w:tcBorders>
            <w:tcMar>
              <w:top w:type="dxa" w:w="20"/>
              <w:left w:type="dxa" w:w="80"/>
              <w:bottom w:type="dxa" w:w="20"/>
              <w:right w:type="dxa" w:w="80"/>
            </w:tcMar>
          </w:tcPr>
          <w:p>
            <w:pPr>
              <w:spacing w:after="20" w:before="20" w:line="240"/>
              <w:jc w:val="center"/>
            </w:pPr>
            <w:r>
              <w:rPr>
                <w:rFonts w:ascii="Times New Roman" w:cs="Times New Roman" w:eastAsia="Times New Roman" w:hAnsi="Times New Roman"/>
                <w:b w:val="false"/>
                <w:bCs w:val="false"/>
                <w:i/>
                <w:iCs/>
                <w:sz w:val="24"/>
                <w:szCs w:val="24"/>
              </w:rPr>
              <w:t xml:space="preserve">95% CI</w:t>
            </w:r>
          </w:p>
        </w:tc>
        <w:tc>
          <w:tcPr>
            <w:tcW w:type="dxa" w:w="1400"/>
            <w:tcBorders>
              <w:top w:val="none" w:color="FFFFFF" w:sz="0"/>
              <w:left w:val="none" w:color="FFFFFF" w:sz="0"/>
              <w:bottom w:val="single" w:color="000000" w:sz="4"/>
              <w:right w:val="none" w:color="FFFFFF" w:sz="0"/>
            </w:tcBorders>
            <w:tcMar>
              <w:top w:type="dxa" w:w="20"/>
              <w:left w:type="dxa" w:w="80"/>
              <w:bottom w:type="dxa" w:w="20"/>
              <w:right w:type="dxa" w:w="80"/>
            </w:tcMar>
          </w:tcPr>
          <w:p>
            <w:pPr>
              <w:spacing w:after="20" w:before="20" w:line="240"/>
              <w:jc w:val="center"/>
            </w:pPr>
            <w:r>
              <w:rPr>
                <w:rFonts w:ascii="Times New Roman" w:cs="Times New Roman" w:eastAsia="Times New Roman" w:hAnsi="Times New Roman"/>
                <w:b w:val="false"/>
                <w:bCs w:val="false"/>
                <w:i/>
                <w:iCs/>
                <w:sz w:val="24"/>
                <w:szCs w:val="24"/>
              </w:rPr>
              <w:t xml:space="preserve">p</w:t>
            </w:r>
          </w:p>
        </w:tc>
      </w:tr>
      <w:tr>
        <w:tc>
          <w:tcPr>
            <w:tcW w:type="dxa" w:w="4060"/>
            <w:tcBorders>
              <w:top w:val="none" w:color="FFFFFF" w:sz="0"/>
              <w:left w:val="none" w:color="FFFFFF" w:sz="0"/>
              <w:bottom w:val="none" w:color="FFFFFF" w:sz="0"/>
              <w:right w:val="none" w:color="FFFFFF" w:sz="0"/>
            </w:tcBorders>
            <w:tcMar>
              <w:top w:type="dxa" w:w="20"/>
              <w:left w:type="dxa" w:w="80"/>
              <w:bottom w:type="dxa" w:w="20"/>
              <w:right w:type="dxa" w:w="80"/>
            </w:tcMar>
          </w:tcPr>
          <w:p>
            <w:pPr>
              <w:spacing w:after="20" w:before="20" w:line="240"/>
              <w:jc w:val="left"/>
            </w:pPr>
            <w:r>
              <w:rPr>
                <w:rFonts w:ascii="Times New Roman" w:cs="Times New Roman" w:eastAsia="Times New Roman" w:hAnsi="Times New Roman"/>
                <w:b w:val="false"/>
                <w:bCs w:val="false"/>
                <w:i w:val="false"/>
                <w:iCs w:val="false"/>
                <w:sz w:val="24"/>
                <w:szCs w:val="24"/>
              </w:rPr>
              <w:t xml:space="preserve">Precipitation seasonality (CV)</w:t>
            </w:r>
          </w:p>
        </w:tc>
        <w:tc>
          <w:tcPr>
            <w:tcW w:type="dxa" w:w="1400"/>
            <w:tcBorders>
              <w:top w:val="none" w:color="FFFFFF" w:sz="0"/>
              <w:left w:val="none" w:color="FFFFFF" w:sz="0"/>
              <w:bottom w:val="none" w:color="FFFFFF" w:sz="0"/>
              <w:right w:val="none" w:color="FFFFFF" w:sz="0"/>
            </w:tcBorders>
            <w:tcMar>
              <w:top w:type="dxa" w:w="20"/>
              <w:left w:type="dxa" w:w="80"/>
              <w:bottom w:type="dxa" w:w="20"/>
              <w:right w:type="dxa" w:w="80"/>
            </w:tcMar>
          </w:tcPr>
          <w:p>
            <w:pPr>
              <w:spacing w:after="20" w:before="20" w:line="240"/>
              <w:jc w:val="center"/>
            </w:pPr>
            <w:r>
              <w:rPr>
                <w:rFonts w:ascii="Times New Roman" w:cs="Times New Roman" w:eastAsia="Times New Roman" w:hAnsi="Times New Roman"/>
                <w:b w:val="false"/>
                <w:bCs w:val="false"/>
                <w:i w:val="false"/>
                <w:iCs w:val="false"/>
                <w:sz w:val="24"/>
                <w:szCs w:val="24"/>
              </w:rPr>
              <w:t xml:space="preserve">0.31</w:t>
            </w:r>
          </w:p>
        </w:tc>
        <w:tc>
          <w:tcPr>
            <w:tcW w:type="dxa" w:w="2500"/>
            <w:tcBorders>
              <w:top w:val="none" w:color="FFFFFF" w:sz="0"/>
              <w:left w:val="none" w:color="FFFFFF" w:sz="0"/>
              <w:bottom w:val="none" w:color="FFFFFF" w:sz="0"/>
              <w:right w:val="none" w:color="FFFFFF" w:sz="0"/>
            </w:tcBorders>
            <w:tcMar>
              <w:top w:type="dxa" w:w="20"/>
              <w:left w:type="dxa" w:w="80"/>
              <w:bottom w:type="dxa" w:w="20"/>
              <w:right w:type="dxa" w:w="80"/>
            </w:tcMar>
          </w:tcPr>
          <w:p>
            <w:pPr>
              <w:spacing w:after="20" w:before="20" w:line="240"/>
              <w:jc w:val="center"/>
            </w:pPr>
            <w:r>
              <w:rPr>
                <w:rFonts w:ascii="Times New Roman" w:cs="Times New Roman" w:eastAsia="Times New Roman" w:hAnsi="Times New Roman"/>
                <w:b w:val="false"/>
                <w:bCs w:val="false"/>
                <w:i w:val="false"/>
                <w:iCs w:val="false"/>
                <w:sz w:val="24"/>
                <w:szCs w:val="24"/>
              </w:rPr>
              <w:t xml:space="preserve">[0.17, 0.57]</w:t>
            </w:r>
          </w:p>
        </w:tc>
        <w:tc>
          <w:tcPr>
            <w:tcW w:type="dxa" w:w="1400"/>
            <w:tcBorders>
              <w:top w:val="none" w:color="FFFFFF" w:sz="0"/>
              <w:left w:val="none" w:color="FFFFFF" w:sz="0"/>
              <w:bottom w:val="none" w:color="FFFFFF" w:sz="0"/>
              <w:right w:val="none" w:color="FFFFFF" w:sz="0"/>
            </w:tcBorders>
            <w:tcMar>
              <w:top w:type="dxa" w:w="20"/>
              <w:left w:type="dxa" w:w="80"/>
              <w:bottom w:type="dxa" w:w="20"/>
              <w:right w:type="dxa" w:w="80"/>
            </w:tcMar>
          </w:tcPr>
          <w:p>
            <w:pPr>
              <w:spacing w:after="20" w:before="20" w:line="240"/>
              <w:jc w:val="center"/>
            </w:pPr>
            <w:r>
              <w:rPr>
                <w:rFonts w:ascii="Times New Roman" w:cs="Times New Roman" w:eastAsia="Times New Roman" w:hAnsi="Times New Roman"/>
                <w:b w:val="false"/>
                <w:bCs w:val="false"/>
                <w:i w:val="false"/>
                <w:iCs w:val="false"/>
                <w:sz w:val="24"/>
                <w:szCs w:val="24"/>
              </w:rPr>
              <w:t xml:space="preserve">&lt; .001</w:t>
            </w:r>
          </w:p>
        </w:tc>
      </w:tr>
      <w:tr>
        <w:tc>
          <w:tcPr>
            <w:tcW w:type="dxa" w:w="4060"/>
            <w:tcBorders>
              <w:top w:val="none" w:color="FFFFFF" w:sz="0"/>
              <w:left w:val="none" w:color="FFFFFF" w:sz="0"/>
              <w:bottom w:val="none" w:color="FFFFFF" w:sz="0"/>
              <w:right w:val="none" w:color="FFFFFF" w:sz="0"/>
            </w:tcBorders>
            <w:tcMar>
              <w:top w:type="dxa" w:w="20"/>
              <w:left w:type="dxa" w:w="80"/>
              <w:bottom w:type="dxa" w:w="20"/>
              <w:right w:type="dxa" w:w="80"/>
            </w:tcMar>
          </w:tcPr>
          <w:p>
            <w:pPr>
              <w:spacing w:after="20" w:before="20" w:line="240"/>
              <w:jc w:val="left"/>
            </w:pPr>
            <w:r>
              <w:rPr>
                <w:rFonts w:ascii="Times New Roman" w:cs="Times New Roman" w:eastAsia="Times New Roman" w:hAnsi="Times New Roman"/>
                <w:b w:val="false"/>
                <w:bCs w:val="false"/>
                <w:i w:val="false"/>
                <w:iCs w:val="false"/>
                <w:sz w:val="24"/>
                <w:szCs w:val="24"/>
              </w:rPr>
              <w:t xml:space="preserve">Population density (log)</w:t>
            </w:r>
          </w:p>
        </w:tc>
        <w:tc>
          <w:tcPr>
            <w:tcW w:type="dxa" w:w="1400"/>
            <w:tcBorders>
              <w:top w:val="none" w:color="FFFFFF" w:sz="0"/>
              <w:left w:val="none" w:color="FFFFFF" w:sz="0"/>
              <w:bottom w:val="none" w:color="FFFFFF" w:sz="0"/>
              <w:right w:val="none" w:color="FFFFFF" w:sz="0"/>
            </w:tcBorders>
            <w:tcMar>
              <w:top w:type="dxa" w:w="20"/>
              <w:left w:type="dxa" w:w="80"/>
              <w:bottom w:type="dxa" w:w="20"/>
              <w:right w:type="dxa" w:w="80"/>
            </w:tcMar>
          </w:tcPr>
          <w:p>
            <w:pPr>
              <w:spacing w:after="20" w:before="20" w:line="240"/>
              <w:jc w:val="center"/>
            </w:pPr>
            <w:r>
              <w:rPr>
                <w:rFonts w:ascii="Times New Roman" w:cs="Times New Roman" w:eastAsia="Times New Roman" w:hAnsi="Times New Roman"/>
                <w:b w:val="false"/>
                <w:bCs w:val="false"/>
                <w:i w:val="false"/>
                <w:iCs w:val="false"/>
                <w:sz w:val="24"/>
                <w:szCs w:val="24"/>
              </w:rPr>
              <w:t xml:space="preserve">0.23</w:t>
            </w:r>
          </w:p>
        </w:tc>
        <w:tc>
          <w:tcPr>
            <w:tcW w:type="dxa" w:w="2500"/>
            <w:tcBorders>
              <w:top w:val="none" w:color="FFFFFF" w:sz="0"/>
              <w:left w:val="none" w:color="FFFFFF" w:sz="0"/>
              <w:bottom w:val="none" w:color="FFFFFF" w:sz="0"/>
              <w:right w:val="none" w:color="FFFFFF" w:sz="0"/>
            </w:tcBorders>
            <w:tcMar>
              <w:top w:type="dxa" w:w="20"/>
              <w:left w:type="dxa" w:w="80"/>
              <w:bottom w:type="dxa" w:w="20"/>
              <w:right w:type="dxa" w:w="80"/>
            </w:tcMar>
          </w:tcPr>
          <w:p>
            <w:pPr>
              <w:spacing w:after="20" w:before="20" w:line="240"/>
              <w:jc w:val="center"/>
            </w:pPr>
            <w:r>
              <w:rPr>
                <w:rFonts w:ascii="Times New Roman" w:cs="Times New Roman" w:eastAsia="Times New Roman" w:hAnsi="Times New Roman"/>
                <w:b w:val="false"/>
                <w:bCs w:val="false"/>
                <w:i w:val="false"/>
                <w:iCs w:val="false"/>
                <w:sz w:val="24"/>
                <w:szCs w:val="24"/>
              </w:rPr>
              <w:t xml:space="preserve">[0.11, 0.49]</w:t>
            </w:r>
          </w:p>
        </w:tc>
        <w:tc>
          <w:tcPr>
            <w:tcW w:type="dxa" w:w="1400"/>
            <w:tcBorders>
              <w:top w:val="none" w:color="FFFFFF" w:sz="0"/>
              <w:left w:val="none" w:color="FFFFFF" w:sz="0"/>
              <w:bottom w:val="none" w:color="FFFFFF" w:sz="0"/>
              <w:right w:val="none" w:color="FFFFFF" w:sz="0"/>
            </w:tcBorders>
            <w:tcMar>
              <w:top w:type="dxa" w:w="20"/>
              <w:left w:type="dxa" w:w="80"/>
              <w:bottom w:type="dxa" w:w="20"/>
              <w:right w:type="dxa" w:w="80"/>
            </w:tcMar>
          </w:tcPr>
          <w:p>
            <w:pPr>
              <w:spacing w:after="20" w:before="20" w:line="240"/>
              <w:jc w:val="center"/>
            </w:pPr>
            <w:r>
              <w:rPr>
                <w:rFonts w:ascii="Times New Roman" w:cs="Times New Roman" w:eastAsia="Times New Roman" w:hAnsi="Times New Roman"/>
                <w:b w:val="false"/>
                <w:bCs w:val="false"/>
                <w:i w:val="false"/>
                <w:iCs w:val="false"/>
                <w:sz w:val="24"/>
                <w:szCs w:val="24"/>
              </w:rPr>
              <w:t xml:space="preserve">&lt; .001</w:t>
            </w:r>
          </w:p>
        </w:tc>
      </w:tr>
      <w:tr>
        <w:tc>
          <w:tcPr>
            <w:tcW w:type="dxa" w:w="4060"/>
            <w:tcBorders>
              <w:top w:val="none" w:color="FFFFFF" w:sz="0"/>
              <w:left w:val="none" w:color="FFFFFF" w:sz="0"/>
              <w:bottom w:val="none" w:color="FFFFFF" w:sz="0"/>
              <w:right w:val="none" w:color="FFFFFF" w:sz="0"/>
            </w:tcBorders>
            <w:tcMar>
              <w:top w:type="dxa" w:w="20"/>
              <w:left w:type="dxa" w:w="80"/>
              <w:bottom w:type="dxa" w:w="20"/>
              <w:right w:type="dxa" w:w="80"/>
            </w:tcMar>
          </w:tcPr>
          <w:p>
            <w:pPr>
              <w:spacing w:after="20" w:before="20" w:line="240"/>
              <w:jc w:val="left"/>
            </w:pPr>
            <w:r>
              <w:rPr>
                <w:rFonts w:ascii="Times New Roman" w:cs="Times New Roman" w:eastAsia="Times New Roman" w:hAnsi="Times New Roman"/>
                <w:b w:val="false"/>
                <w:bCs w:val="false"/>
                <w:i/>
                <w:iCs/>
                <w:sz w:val="24"/>
                <w:szCs w:val="24"/>
              </w:rPr>
              <w:t xml:space="preserve">M. natalensis</w:t>
            </w:r>
            <w:r>
              <w:rPr>
                <w:rFonts w:ascii="Times New Roman" w:cs="Times New Roman" w:eastAsia="Times New Roman" w:hAnsi="Times New Roman"/>
                <w:b w:val="false"/>
                <w:bCs w:val="false"/>
                <w:i w:val="false"/>
                <w:iCs w:val="false"/>
                <w:sz w:val="24"/>
                <w:szCs w:val="24"/>
              </w:rPr>
              <w:t xml:space="preserve"> occurrences</w:t>
            </w:r>
          </w:p>
        </w:tc>
        <w:tc>
          <w:tcPr>
            <w:tcW w:type="dxa" w:w="1400"/>
            <w:tcBorders>
              <w:top w:val="none" w:color="FFFFFF" w:sz="0"/>
              <w:left w:val="none" w:color="FFFFFF" w:sz="0"/>
              <w:bottom w:val="none" w:color="FFFFFF" w:sz="0"/>
              <w:right w:val="none" w:color="FFFFFF" w:sz="0"/>
            </w:tcBorders>
            <w:tcMar>
              <w:top w:type="dxa" w:w="20"/>
              <w:left w:type="dxa" w:w="80"/>
              <w:bottom w:type="dxa" w:w="20"/>
              <w:right w:type="dxa" w:w="80"/>
            </w:tcMar>
          </w:tcPr>
          <w:p>
            <w:pPr>
              <w:spacing w:after="20" w:before="20" w:line="240"/>
              <w:jc w:val="center"/>
            </w:pPr>
            <w:r>
              <w:rPr>
                <w:rFonts w:ascii="Times New Roman" w:cs="Times New Roman" w:eastAsia="Times New Roman" w:hAnsi="Times New Roman"/>
                <w:b w:val="false"/>
                <w:bCs w:val="false"/>
                <w:i w:val="false"/>
                <w:iCs w:val="false"/>
                <w:sz w:val="24"/>
                <w:szCs w:val="24"/>
              </w:rPr>
              <w:t xml:space="preserve">1.02</w:t>
            </w:r>
          </w:p>
        </w:tc>
        <w:tc>
          <w:tcPr>
            <w:tcW w:type="dxa" w:w="2500"/>
            <w:tcBorders>
              <w:top w:val="none" w:color="FFFFFF" w:sz="0"/>
              <w:left w:val="none" w:color="FFFFFF" w:sz="0"/>
              <w:bottom w:val="none" w:color="FFFFFF" w:sz="0"/>
              <w:right w:val="none" w:color="FFFFFF" w:sz="0"/>
            </w:tcBorders>
            <w:tcMar>
              <w:top w:type="dxa" w:w="20"/>
              <w:left w:type="dxa" w:w="80"/>
              <w:bottom w:type="dxa" w:w="20"/>
              <w:right w:type="dxa" w:w="80"/>
            </w:tcMar>
          </w:tcPr>
          <w:p>
            <w:pPr>
              <w:spacing w:after="20" w:before="20" w:line="240"/>
              <w:jc w:val="center"/>
            </w:pPr>
            <w:r>
              <w:rPr>
                <w:rFonts w:ascii="Times New Roman" w:cs="Times New Roman" w:eastAsia="Times New Roman" w:hAnsi="Times New Roman"/>
                <w:b w:val="false"/>
                <w:bCs w:val="false"/>
                <w:i w:val="false"/>
                <w:iCs w:val="false"/>
                <w:sz w:val="24"/>
                <w:szCs w:val="24"/>
              </w:rPr>
              <w:t xml:space="preserve">[0.56, 1.85]</w:t>
            </w:r>
          </w:p>
        </w:tc>
        <w:tc>
          <w:tcPr>
            <w:tcW w:type="dxa" w:w="1400"/>
            <w:tcBorders>
              <w:top w:val="none" w:color="FFFFFF" w:sz="0"/>
              <w:left w:val="none" w:color="FFFFFF" w:sz="0"/>
              <w:bottom w:val="none" w:color="FFFFFF" w:sz="0"/>
              <w:right w:val="none" w:color="FFFFFF" w:sz="0"/>
            </w:tcBorders>
            <w:tcMar>
              <w:top w:type="dxa" w:w="20"/>
              <w:left w:type="dxa" w:w="80"/>
              <w:bottom w:type="dxa" w:w="20"/>
              <w:right w:type="dxa" w:w="80"/>
            </w:tcMar>
          </w:tcPr>
          <w:p>
            <w:pPr>
              <w:spacing w:after="20" w:before="20" w:line="240"/>
              <w:jc w:val="center"/>
            </w:pPr>
            <w:r>
              <w:rPr>
                <w:rFonts w:ascii="Times New Roman" w:cs="Times New Roman" w:eastAsia="Times New Roman" w:hAnsi="Times New Roman"/>
                <w:b w:val="false"/>
                <w:bCs w:val="false"/>
                <w:i w:val="false"/>
                <w:iCs w:val="false"/>
                <w:sz w:val="24"/>
                <w:szCs w:val="24"/>
              </w:rPr>
              <w:t xml:space="preserve">.944</w:t>
            </w:r>
          </w:p>
        </w:tc>
      </w:tr>
    </w:tbl>
    <w:p>
      <w:pPr>
        <w:spacing w:before="60" w:line="240"/>
      </w:pPr>
      <w:r>
        <w:rPr>
          <w:rFonts w:ascii="Times New Roman" w:cs="Times New Roman" w:eastAsia="Times New Roman" w:hAnsi="Times New Roman"/>
          <w:b w:val="false"/>
          <w:bCs w:val="false"/>
          <w:i/>
          <w:iCs/>
          <w:sz w:val="24"/>
          <w:szCs w:val="24"/>
        </w:rPr>
        <w:t xml:space="preserve">Note.</w:t>
      </w:r>
      <w:r>
        <w:rPr>
          <w:rFonts w:ascii="Times New Roman" w:cs="Times New Roman" w:eastAsia="Times New Roman" w:hAnsi="Times New Roman"/>
          <w:b w:val="false"/>
          <w:bCs w:val="false"/>
          <w:i w:val="false"/>
          <w:iCs w:val="false"/>
          <w:sz w:val="24"/>
          <w:szCs w:val="24"/>
        </w:rPr>
        <w:t xml:space="preserve"> IRR = incidence-rate ratio per one standard-deviation increase; exposure = population; dispersion estimated (</w:t>
      </w:r>
      <w:r>
        <w:rPr>
          <w:rFonts w:ascii="Times New Roman" w:cs="Times New Roman" w:eastAsia="Times New Roman" w:hAnsi="Times New Roman"/>
          <w:b w:val="false"/>
          <w:bCs w:val="false"/>
          <w:i/>
          <w:iCs/>
          <w:sz w:val="24"/>
          <w:szCs w:val="24"/>
        </w:rPr>
        <w:t xml:space="preserve">α</w:t>
      </w:r>
      <w:r>
        <w:rPr>
          <w:rFonts w:ascii="Times New Roman" w:cs="Times New Roman" w:eastAsia="Times New Roman" w:hAnsi="Times New Roman"/>
          <w:b w:val="false"/>
          <w:bCs w:val="false"/>
          <w:i w:val="false"/>
          <w:iCs w:val="false"/>
          <w:sz w:val="24"/>
          <w:szCs w:val="24"/>
        </w:rPr>
        <w:t xml:space="preserve"> = 2.82). Rainfall seasonality is retained as a single, mechanistic proxy for the collinear north–south gradient (latitude, rainfall, temperature seasonality, and poverty; PCA first component = 91.3% of variance). All variance inflation factors &lt; 1.4.</w:t>
      </w:r>
    </w:p>
    <w:p>
      <w:pPr>
        <w:spacing w:before="240" w:line="480"/>
      </w:pPr>
      <w:r>
        <w:rPr>
          <w:rFonts w:ascii="Times New Roman" w:cs="Times New Roman" w:eastAsia="Times New Roman" w:hAnsi="Times New Roman"/>
          <w:b/>
          <w:bCs/>
          <w:sz w:val="24"/>
          <w:szCs w:val="24"/>
        </w:rPr>
        <w:t xml:space="preserve">Figure 1</w:t>
      </w:r>
    </w:p>
    <w:p>
      <w:pPr>
        <w:spacing w:line="480"/>
      </w:pPr>
      <w:r>
        <w:rPr>
          <w:rFonts w:ascii="Times New Roman" w:cs="Times New Roman" w:eastAsia="Times New Roman" w:hAnsi="Times New Roman"/>
          <w:b w:val="false"/>
          <w:bCs w:val="false"/>
          <w:i/>
          <w:iCs/>
          <w:sz w:val="24"/>
          <w:szCs w:val="24"/>
        </w:rPr>
        <w:t xml:space="preserve">Spatial Distribution and Local Clustering of Confirmed Lassa Fever Cases Across Nigerian States, 2020–2026</w:t>
      </w:r>
    </w:p>
    <w:p>
      <w:pPr>
        <w:spacing w:after="80"/>
        <w:jc w:val="left"/>
      </w:pPr>
      <w:r>
        <w:drawing>
          <wp:inline distT="0" distB="0" distL="0" distR="0">
            <wp:extent cx="5943600" cy="2533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943600" cy="2533650"/>
                    </a:xfrm>
                    <a:prstGeom prst="rect">
                      <a:avLst/>
                    </a:prstGeom>
                  </pic:spPr>
                </pic:pic>
              </a:graphicData>
            </a:graphic>
          </wp:inline>
        </w:drawing>
      </w:r>
    </w:p>
    <w:p>
      <w:pPr>
        <w:spacing w:before="40" w:line="240"/>
      </w:pPr>
      <w:r>
        <w:rPr>
          <w:rFonts w:ascii="Times New Roman" w:cs="Times New Roman" w:eastAsia="Times New Roman" w:hAnsi="Times New Roman"/>
          <w:b w:val="false"/>
          <w:bCs w:val="false"/>
          <w:i/>
          <w:iCs/>
          <w:sz w:val="24"/>
          <w:szCs w:val="24"/>
        </w:rPr>
        <w:t xml:space="preserve">Note.</w:t>
      </w:r>
      <w:r>
        <w:rPr>
          <w:rFonts w:ascii="Times New Roman" w:cs="Times New Roman" w:eastAsia="Times New Roman" w:hAnsi="Times New Roman"/>
          <w:b w:val="false"/>
          <w:bCs w:val="false"/>
          <w:i w:val="false"/>
          <w:iCs w:val="false"/>
          <w:sz w:val="24"/>
          <w:szCs w:val="24"/>
        </w:rPr>
        <w:t xml:space="preserve"> Left: cumulative confirmed cases (quantile classes). Right: local Moran's </w:t>
      </w:r>
      <w:r>
        <w:rPr>
          <w:rFonts w:ascii="Times New Roman" w:cs="Times New Roman" w:eastAsia="Times New Roman" w:hAnsi="Times New Roman"/>
          <w:b w:val="false"/>
          <w:bCs w:val="false"/>
          <w:i/>
          <w:iCs/>
          <w:sz w:val="24"/>
          <w:szCs w:val="24"/>
        </w:rPr>
        <w:t xml:space="preserve">I</w:t>
      </w:r>
      <w:r>
        <w:rPr>
          <w:rFonts w:ascii="Times New Roman" w:cs="Times New Roman" w:eastAsia="Times New Roman" w:hAnsi="Times New Roman"/>
          <w:b w:val="false"/>
          <w:bCs w:val="false"/>
          <w:i w:val="false"/>
          <w:iCs w:val="false"/>
          <w:sz w:val="24"/>
          <w:szCs w:val="24"/>
        </w:rPr>
        <w:t xml:space="preserve"> (LISA) clusters; the shaded high–high belt (Edo, Taraba, Benue, Plateau, Nasarawa, Delta) was statistically significant at </w:t>
      </w:r>
      <w:r>
        <w:rPr>
          <w:rFonts w:ascii="Times New Roman" w:cs="Times New Roman" w:eastAsia="Times New Roman" w:hAnsi="Times New Roman"/>
          <w:b w:val="false"/>
          <w:bCs w:val="false"/>
          <w:i/>
          <w:iCs/>
          <w:sz w:val="24"/>
          <w:szCs w:val="24"/>
        </w:rPr>
        <w:t xml:space="preserve">p</w:t>
      </w:r>
      <w:r>
        <w:rPr>
          <w:rFonts w:ascii="Times New Roman" w:cs="Times New Roman" w:eastAsia="Times New Roman" w:hAnsi="Times New Roman"/>
          <w:b w:val="false"/>
          <w:bCs w:val="false"/>
          <w:i w:val="false"/>
          <w:iCs w:val="false"/>
          <w:sz w:val="24"/>
          <w:szCs w:val="24"/>
        </w:rPr>
        <w:t xml:space="preserve"> &lt; .05 (global Moran's </w:t>
      </w:r>
      <w:r>
        <w:rPr>
          <w:rFonts w:ascii="Times New Roman" w:cs="Times New Roman" w:eastAsia="Times New Roman" w:hAnsi="Times New Roman"/>
          <w:b w:val="false"/>
          <w:bCs w:val="false"/>
          <w:i/>
          <w:iCs/>
          <w:sz w:val="24"/>
          <w:szCs w:val="24"/>
        </w:rPr>
        <w:t xml:space="preserve">I</w:t>
      </w:r>
      <w:r>
        <w:rPr>
          <w:rFonts w:ascii="Times New Roman" w:cs="Times New Roman" w:eastAsia="Times New Roman" w:hAnsi="Times New Roman"/>
          <w:b w:val="false"/>
          <w:bCs w:val="false"/>
          <w:i w:val="false"/>
          <w:iCs w:val="false"/>
          <w:sz w:val="24"/>
          <w:szCs w:val="24"/>
        </w:rPr>
        <w:t xml:space="preserve"> = .25, </w:t>
      </w:r>
      <w:r>
        <w:rPr>
          <w:rFonts w:ascii="Times New Roman" w:cs="Times New Roman" w:eastAsia="Times New Roman" w:hAnsi="Times New Roman"/>
          <w:b w:val="false"/>
          <w:bCs w:val="false"/>
          <w:i/>
          <w:iCs/>
          <w:sz w:val="24"/>
          <w:szCs w:val="24"/>
        </w:rPr>
        <w:t xml:space="preserve">p</w:t>
      </w:r>
      <w:r>
        <w:rPr>
          <w:rFonts w:ascii="Times New Roman" w:cs="Times New Roman" w:eastAsia="Times New Roman" w:hAnsi="Times New Roman"/>
          <w:b w:val="false"/>
          <w:bCs w:val="false"/>
          <w:i w:val="false"/>
          <w:iCs w:val="false"/>
          <w:sz w:val="24"/>
          <w:szCs w:val="24"/>
        </w:rPr>
        <w:t xml:space="preserve"> = .007).</w:t>
      </w:r>
    </w:p>
    <w:p>
      <w:pPr>
        <w:spacing w:before="240" w:line="480"/>
      </w:pPr>
      <w:r>
        <w:rPr>
          <w:rFonts w:ascii="Times New Roman" w:cs="Times New Roman" w:eastAsia="Times New Roman" w:hAnsi="Times New Roman"/>
          <w:b/>
          <w:bCs/>
          <w:sz w:val="24"/>
          <w:szCs w:val="24"/>
        </w:rPr>
        <w:t xml:space="preserve">Figure 2</w:t>
      </w:r>
    </w:p>
    <w:p>
      <w:pPr>
        <w:spacing w:line="480"/>
      </w:pPr>
      <w:r>
        <w:rPr>
          <w:rFonts w:ascii="Times New Roman" w:cs="Times New Roman" w:eastAsia="Times New Roman" w:hAnsi="Times New Roman"/>
          <w:b w:val="false"/>
          <w:bCs w:val="false"/>
          <w:i/>
          <w:iCs/>
          <w:sz w:val="24"/>
          <w:szCs w:val="24"/>
        </w:rPr>
        <w:t xml:space="preserve">Bivariate Relationships Between State Lassa Fever Incidence and Its Principal Determinants</w:t>
      </w:r>
    </w:p>
    <w:p>
      <w:pPr>
        <w:spacing w:after="80"/>
        <w:jc w:val="left"/>
      </w:pPr>
      <w:r>
        <w:drawing>
          <wp:inline distT="0" distB="0" distL="0" distR="0">
            <wp:extent cx="5486400" cy="4714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486400" cy="4714875"/>
                    </a:xfrm>
                    <a:prstGeom prst="rect">
                      <a:avLst/>
                    </a:prstGeom>
                  </pic:spPr>
                </pic:pic>
              </a:graphicData>
            </a:graphic>
          </wp:inline>
        </w:drawing>
      </w:r>
    </w:p>
    <w:p>
      <w:pPr>
        <w:spacing w:before="40" w:line="240"/>
      </w:pPr>
      <w:r>
        <w:rPr>
          <w:rFonts w:ascii="Times New Roman" w:cs="Times New Roman" w:eastAsia="Times New Roman" w:hAnsi="Times New Roman"/>
          <w:b w:val="false"/>
          <w:bCs w:val="false"/>
          <w:i/>
          <w:iCs/>
          <w:sz w:val="24"/>
          <w:szCs w:val="24"/>
        </w:rPr>
        <w:t xml:space="preserve">Note.</w:t>
      </w:r>
      <w:r>
        <w:rPr>
          <w:rFonts w:ascii="Times New Roman" w:cs="Times New Roman" w:eastAsia="Times New Roman" w:hAnsi="Times New Roman"/>
          <w:b w:val="false"/>
          <w:bCs w:val="false"/>
          <w:i w:val="false"/>
          <w:iCs w:val="false"/>
          <w:sz w:val="24"/>
          <w:szCs w:val="24"/>
        </w:rPr>
        <w:t xml:space="preserve"> Incidence (log scale, per 100,000) plotted against centroid latitude, population density, and the Multidimensional Poverty Index, with ordinary least squares fit lines and Pearson correlations.</w:t>
      </w:r>
    </w:p>
    <w:p>
      <w:pPr>
        <w:spacing w:before="240" w:line="480"/>
      </w:pPr>
      <w:r>
        <w:rPr>
          <w:rFonts w:ascii="Times New Roman" w:cs="Times New Roman" w:eastAsia="Times New Roman" w:hAnsi="Times New Roman"/>
          <w:b/>
          <w:bCs/>
          <w:sz w:val="24"/>
          <w:szCs w:val="24"/>
        </w:rPr>
        <w:t xml:space="preserve">Figure 3</w:t>
      </w:r>
    </w:p>
    <w:p>
      <w:pPr>
        <w:spacing w:line="480"/>
      </w:pPr>
      <w:r>
        <w:rPr>
          <w:rFonts w:ascii="Times New Roman" w:cs="Times New Roman" w:eastAsia="Times New Roman" w:hAnsi="Times New Roman"/>
          <w:b w:val="false"/>
          <w:bCs w:val="false"/>
          <w:i/>
          <w:iCs/>
          <w:sz w:val="24"/>
          <w:szCs w:val="24"/>
        </w:rPr>
        <w:t xml:space="preserve">Confirmed Cases as a Function of Surveillance Effort</w:t>
      </w:r>
    </w:p>
    <w:p>
      <w:pPr>
        <w:spacing w:after="80"/>
        <w:jc w:val="left"/>
      </w:pPr>
      <w:r>
        <w:drawing>
          <wp:inline distT="0" distB="0" distL="0" distR="0">
            <wp:extent cx="4572000" cy="3409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72000" cy="3409950"/>
                    </a:xfrm>
                    <a:prstGeom prst="rect">
                      <a:avLst/>
                    </a:prstGeom>
                  </pic:spPr>
                </pic:pic>
              </a:graphicData>
            </a:graphic>
          </wp:inline>
        </w:drawing>
      </w:r>
    </w:p>
    <w:p>
      <w:pPr>
        <w:spacing w:before="40" w:line="240"/>
      </w:pPr>
      <w:r>
        <w:rPr>
          <w:rFonts w:ascii="Times New Roman" w:cs="Times New Roman" w:eastAsia="Times New Roman" w:hAnsi="Times New Roman"/>
          <w:b w:val="false"/>
          <w:bCs w:val="false"/>
          <w:i/>
          <w:iCs/>
          <w:sz w:val="24"/>
          <w:szCs w:val="24"/>
        </w:rPr>
        <w:t xml:space="preserve">Note.</w:t>
      </w:r>
      <w:r>
        <w:rPr>
          <w:rFonts w:ascii="Times New Roman" w:cs="Times New Roman" w:eastAsia="Times New Roman" w:hAnsi="Times New Roman"/>
          <w:b w:val="false"/>
          <w:bCs w:val="false"/>
          <w:i w:val="false"/>
          <w:iCs w:val="false"/>
          <w:sz w:val="24"/>
          <w:szCs w:val="24"/>
        </w:rPr>
        <w:t xml:space="preserve"> Log-transformed confirmed versus suspected cases by state; states bordering the high–high cluster are highlighted. The near-linear relationship (OLS </w:t>
      </w:r>
      <w:r>
        <w:rPr>
          <w:rFonts w:ascii="Times New Roman" w:cs="Times New Roman" w:eastAsia="Times New Roman" w:hAnsi="Times New Roman"/>
          <w:b w:val="false"/>
          <w:bCs w:val="false"/>
          <w:i/>
          <w:iCs/>
          <w:sz w:val="24"/>
          <w:szCs w:val="24"/>
        </w:rPr>
        <w:t xml:space="preserve">R²</w:t>
      </w:r>
      <w:r>
        <w:rPr>
          <w:rFonts w:ascii="Times New Roman" w:cs="Times New Roman" w:eastAsia="Times New Roman" w:hAnsi="Times New Roman"/>
          <w:b w:val="false"/>
          <w:bCs w:val="false"/>
          <w:i w:val="false"/>
          <w:iCs w:val="false"/>
          <w:sz w:val="24"/>
          <w:szCs w:val="24"/>
        </w:rPr>
        <w:t xml:space="preserve"> = .94) illustrates the dependence of detected burden on surveillance intensity.</w:t>
      </w:r>
    </w:p>
    <w:p>
      <w:pPr>
        <w:spacing w:before="240" w:line="480"/>
      </w:pPr>
      <w:r>
        <w:rPr>
          <w:rFonts w:ascii="Times New Roman" w:cs="Times New Roman" w:eastAsia="Times New Roman" w:hAnsi="Times New Roman"/>
          <w:b/>
          <w:bCs/>
          <w:sz w:val="24"/>
          <w:szCs w:val="24"/>
        </w:rPr>
        <w:t xml:space="preserve">Figure 4</w:t>
      </w:r>
    </w:p>
    <w:p>
      <w:pPr>
        <w:spacing w:line="480"/>
      </w:pPr>
      <w:r>
        <w:rPr>
          <w:rFonts w:ascii="Times New Roman" w:cs="Times New Roman" w:eastAsia="Times New Roman" w:hAnsi="Times New Roman"/>
          <w:b w:val="false"/>
          <w:bCs w:val="false"/>
          <w:i/>
          <w:iCs/>
          <w:sz w:val="24"/>
          <w:szCs w:val="24"/>
        </w:rPr>
        <w:t xml:space="preserve">Smoothed Residual Spatial Relative Risk From the Bayesian Besag–York–Mollié Model</w:t>
      </w:r>
    </w:p>
    <w:p>
      <w:pPr>
        <w:spacing w:after="80"/>
        <w:jc w:val="left"/>
      </w:pPr>
      <w:r>
        <w:drawing>
          <wp:inline distT="0" distB="0" distL="0" distR="0">
            <wp:extent cx="4476750" cy="3914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476750" cy="3914775"/>
                    </a:xfrm>
                    <a:prstGeom prst="rect">
                      <a:avLst/>
                    </a:prstGeom>
                  </pic:spPr>
                </pic:pic>
              </a:graphicData>
            </a:graphic>
          </wp:inline>
        </w:drawing>
      </w:r>
    </w:p>
    <w:p>
      <w:pPr>
        <w:spacing w:before="40" w:line="240"/>
      </w:pPr>
      <w:r>
        <w:rPr>
          <w:rFonts w:ascii="Times New Roman" w:cs="Times New Roman" w:eastAsia="Times New Roman" w:hAnsi="Times New Roman"/>
          <w:b w:val="false"/>
          <w:bCs w:val="false"/>
          <w:i/>
          <w:iCs/>
          <w:sz w:val="24"/>
          <w:szCs w:val="24"/>
        </w:rPr>
        <w:t xml:space="preserve">Note.</w:t>
      </w:r>
      <w:r>
        <w:rPr>
          <w:rFonts w:ascii="Times New Roman" w:cs="Times New Roman" w:eastAsia="Times New Roman" w:hAnsi="Times New Roman"/>
          <w:b w:val="false"/>
          <w:bCs w:val="false"/>
          <w:i w:val="false"/>
          <w:iCs w:val="false"/>
          <w:sz w:val="24"/>
          <w:szCs w:val="24"/>
        </w:rPr>
        <w:t xml:space="preserve"> Posterior mean of the structured spatial random effect, exp(</w:t>
      </w:r>
      <w:r>
        <w:rPr>
          <w:rFonts w:ascii="Times New Roman" w:cs="Times New Roman" w:eastAsia="Times New Roman" w:hAnsi="Times New Roman"/>
          <w:b w:val="false"/>
          <w:bCs w:val="false"/>
          <w:i/>
          <w:iCs/>
          <w:sz w:val="24"/>
          <w:szCs w:val="24"/>
        </w:rPr>
        <w:t xml:space="preserve">u</w:t>
      </w:r>
      <w:r>
        <w:rPr>
          <w:rFonts w:ascii="Times New Roman" w:cs="Times New Roman" w:eastAsia="Times New Roman" w:hAnsi="Times New Roman"/>
          <w:b w:val="false"/>
          <w:bCs w:val="false"/>
          <w:i w:val="false"/>
          <w:iCs w:val="false"/>
          <w:sz w:val="24"/>
          <w:szCs w:val="24"/>
        </w:rPr>
        <w:t xml:space="preserve">), after adjustment for rainfall seasonality and population density. Values above 1 (red) indicate residual excess risk; a coherent central–eastern belt persists, with the lowest residual risk in the south-west. Spatial fraction </w:t>
      </w:r>
      <w:r>
        <w:rPr>
          <w:rFonts w:ascii="Times New Roman" w:cs="Times New Roman" w:eastAsia="Times New Roman" w:hAnsi="Times New Roman"/>
          <w:b w:val="false"/>
          <w:bCs w:val="false"/>
          <w:i/>
          <w:iCs/>
          <w:sz w:val="24"/>
          <w:szCs w:val="24"/>
        </w:rPr>
        <w:t xml:space="preserve">φ</w:t>
      </w:r>
      <w:r>
        <w:rPr>
          <w:rFonts w:ascii="Times New Roman" w:cs="Times New Roman" w:eastAsia="Times New Roman" w:hAnsi="Times New Roman"/>
          <w:b w:val="false"/>
          <w:bCs w:val="false"/>
          <w:i w:val="false"/>
          <w:iCs w:val="false"/>
          <w:sz w:val="24"/>
          <w:szCs w:val="24"/>
        </w:rPr>
        <w:t xml:space="preserve"> = 0.22, 95% CrI [0.00, 0.85].</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jc w:val="center"/>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6bf94e6a520be74e4ef360474795ea53eebcf3ee.png"/><Relationship Id="rId8" Type="http://schemas.openxmlformats.org/officeDocument/2006/relationships/image" Target="media/21f5e1474b0dcd2e4a97c460a43248f32454b598.png"/><Relationship Id="rId9" Type="http://schemas.openxmlformats.org/officeDocument/2006/relationships/image" Target="media/17732c6d1b0275215e778118650b9e8ef4ae7206.png"/><Relationship Id="rId10" Type="http://schemas.openxmlformats.org/officeDocument/2006/relationships/image" Target="media/fab707375cf3b9b353d162d3545f87f125359ab3.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Lassa spatial analysis</dc:creator>
  <cp:lastModifiedBy>Un-named</cp:lastModifiedBy>
  <cp:revision>1</cp:revision>
  <dcterms:created xsi:type="dcterms:W3CDTF">2026-11-01T20:51:19.357Z</dcterms:created>
  <dcterms:modified xsi:type="dcterms:W3CDTF">2026-11-01T20:51:19.358Z</dcterms:modified>
</cp:coreProperties>
</file>

<file path=docProps/custom.xml><?xml version="1.0" encoding="utf-8"?>
<Properties xmlns="http://schemas.openxmlformats.org/officeDocument/2006/custom-properties" xmlns:vt="http://schemas.openxmlformats.org/officeDocument/2006/docPropsVTypes"/>
</file>