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line="480"/>
        <w:jc w:val="center"/>
      </w:pPr>
      <w:r>
        <w:rPr>
          <w:rFonts w:ascii="Times New Roman" w:cs="Times New Roman" w:eastAsia="Times New Roman" w:hAnsi="Times New Roman"/>
          <w:b/>
          <w:bCs/>
          <w:sz w:val="24"/>
          <w:szCs w:val="24"/>
        </w:rPr>
        <w:t xml:space="preserve">Discussion</w:t>
      </w:r>
    </w:p>
    <w:p>
      <w:pPr>
        <w:spacing w:before="120" w:line="480"/>
        <w:jc w:val="center"/>
      </w:pPr>
      <w:r>
        <w:rPr>
          <w:rFonts w:ascii="Times New Roman" w:cs="Times New Roman" w:eastAsia="Times New Roman" w:hAnsi="Times New Roman"/>
          <w:b/>
          <w:bCs/>
          <w:sz w:val="24"/>
          <w:szCs w:val="24"/>
        </w:rPr>
        <w:t xml:space="preserve">Principal Findings</w:t>
      </w:r>
    </w:p>
    <w:p>
      <w:pPr>
        <w:spacing w:line="480"/>
        <w:jc w:val="center"/>
      </w:pPr>
      <w:r>
        <w:rPr>
          <w:rFonts w:ascii="Times New Roman" w:cs="Times New Roman" w:eastAsia="Times New Roman" w:hAnsi="Times New Roman"/>
          <w:b w:val="false"/>
          <w:bCs w:val="false"/>
          <w:i w:val="false"/>
          <w:iCs w:val="false"/>
          <w:sz w:val="24"/>
          <w:szCs w:val="24"/>
        </w:rPr>
        <w:t xml:space="preserve">In this ecological spatial disease-mapping study of Nigeria's 37 first-order administrative units, confirmed Lassa fever burden over 2020–2026 was highly concentrated—five states accounted for 86% of confirmed cases—and significantly spatially clustered (global Moran's </w:t>
      </w:r>
      <w:r>
        <w:rPr>
          <w:rFonts w:ascii="Times New Roman" w:cs="Times New Roman" w:eastAsia="Times New Roman" w:hAnsi="Times New Roman"/>
          <w:b w:val="false"/>
          <w:bCs w:val="false"/>
          <w:i/>
          <w:iCs/>
          <w:sz w:val="24"/>
          <w:szCs w:val="24"/>
        </w:rPr>
        <w:t xml:space="preserve">I</w:t>
      </w:r>
      <w:r>
        <w:rPr>
          <w:rFonts w:ascii="Times New Roman" w:cs="Times New Roman" w:eastAsia="Times New Roman" w:hAnsi="Times New Roman"/>
          <w:b w:val="false"/>
          <w:bCs w:val="false"/>
          <w:i w:val="false"/>
          <w:iCs w:val="false"/>
          <w:sz w:val="24"/>
          <w:szCs w:val="24"/>
        </w:rPr>
        <w:t xml:space="preserve"> = .25,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 .007), with a coherent high–high belt spanning Edo, Taraba, Benue, Plateau, Nasarawa, and Delta. State incidence was structured by a strong north–south gradient and an urban–rural gradient: incidence fell steeply toward the arid, highly seasonal north and was lower in more densely populated states. Critically, latitude, climate, and multidimensional poverty were almost perfectly collinear—a single principal component captured 91% of their joint variance—so these cannot be identified as separate determinants at the state scale; only population density was statistically separable from the gradient. A formal Bayesian spatial disease-mapping model (Besag–York–Mollié) was estimable and localized a residual high-risk belt after adjustment for climate and density, but the spatial fraction was modest and imprecisely estimated (</w:t>
      </w:r>
      <w:r>
        <w:rPr>
          <w:rFonts w:ascii="Times New Roman" w:cs="Times New Roman" w:eastAsia="Times New Roman" w:hAnsi="Times New Roman"/>
          <w:b w:val="false"/>
          <w:bCs w:val="false"/>
          <w:i/>
          <w:iCs/>
          <w:sz w:val="24"/>
          <w:szCs w:val="24"/>
        </w:rPr>
        <w:t xml:space="preserve">φ</w:t>
      </w:r>
      <w:r>
        <w:rPr>
          <w:rFonts w:ascii="Times New Roman" w:cs="Times New Roman" w:eastAsia="Times New Roman" w:hAnsi="Times New Roman"/>
          <w:b w:val="false"/>
          <w:bCs w:val="false"/>
          <w:i w:val="false"/>
          <w:iCs w:val="false"/>
          <w:sz w:val="24"/>
          <w:szCs w:val="24"/>
        </w:rPr>
        <w:t xml:space="preserve"> = 0.22, 95% CrI [0.00, 0.85]) and did not improve out-of-sample prediction over a non-spatial model. Finally, detected case counts were dominated by surveillance effort: confirmed cases scaled almost one-to-one with suspected-case volume (</w:t>
      </w:r>
      <w:r>
        <w:rPr>
          <w:rFonts w:ascii="Times New Roman" w:cs="Times New Roman" w:eastAsia="Times New Roman" w:hAnsi="Times New Roman"/>
          <w:b w:val="false"/>
          <w:bCs w:val="false"/>
          <w:i/>
          <w:iCs/>
          <w:sz w:val="24"/>
          <w:szCs w:val="24"/>
        </w:rPr>
        <w:t xml:space="preserve">R²</w:t>
      </w:r>
      <w:r>
        <w:rPr>
          <w:rFonts w:ascii="Times New Roman" w:cs="Times New Roman" w:eastAsia="Times New Roman" w:hAnsi="Times New Roman"/>
          <w:b w:val="false"/>
          <w:bCs w:val="false"/>
          <w:i w:val="false"/>
          <w:iCs w:val="false"/>
          <w:sz w:val="24"/>
          <w:szCs w:val="24"/>
        </w:rPr>
        <w:t xml:space="preserve"> = .94), and proximity to a diagnostic laboratory independently predicted detected burden.</w:t>
      </w:r>
    </w:p>
    <w:p>
      <w:pPr>
        <w:spacing w:before="120" w:line="480"/>
        <w:jc w:val="center"/>
      </w:pPr>
      <w:r>
        <w:rPr>
          <w:rFonts w:ascii="Times New Roman" w:cs="Times New Roman" w:eastAsia="Times New Roman" w:hAnsi="Times New Roman"/>
          <w:b/>
          <w:bCs/>
          <w:sz w:val="24"/>
          <w:szCs w:val="24"/>
        </w:rPr>
        <w:t xml:space="preserve">Interpretation</w:t>
      </w:r>
    </w:p>
    <w:p>
      <w:pPr>
        <w:spacing w:line="480"/>
        <w:jc w:val="center"/>
      </w:pPr>
      <w:r>
        <w:rPr>
          <w:rFonts w:ascii="Times New Roman" w:cs="Times New Roman" w:eastAsia="Times New Roman" w:hAnsi="Times New Roman"/>
          <w:b w:val="false"/>
          <w:bCs w:val="false"/>
          <w:i w:val="false"/>
          <w:iCs w:val="false"/>
          <w:sz w:val="24"/>
          <w:szCs w:val="24"/>
        </w:rPr>
        <w:t xml:space="preserve">The geographic pattern is consistent with the established ecology of Lassa fever. The endemic belt identified here coincides with the forest–savanna mosaic of southern and central Nigeria, the zone of greatest abundance of the primary reservoir </w:t>
      </w:r>
      <w:r>
        <w:rPr>
          <w:rFonts w:ascii="Times New Roman" w:cs="Times New Roman" w:eastAsia="Times New Roman" w:hAnsi="Times New Roman"/>
          <w:b w:val="false"/>
          <w:bCs w:val="false"/>
          <w:i/>
          <w:iCs/>
          <w:sz w:val="24"/>
          <w:szCs w:val="24"/>
        </w:rPr>
        <w:t xml:space="preserve">Mastomys natalensis</w:t>
      </w:r>
      <w:r>
        <w:rPr>
          <w:rFonts w:ascii="Times New Roman" w:cs="Times New Roman" w:eastAsia="Times New Roman" w:hAnsi="Times New Roman"/>
          <w:b w:val="false"/>
          <w:bCs w:val="false"/>
          <w:i w:val="false"/>
          <w:iCs w:val="false"/>
          <w:sz w:val="24"/>
          <w:szCs w:val="24"/>
        </w:rPr>
        <w:t xml:space="preserve"> and the location of the long-recognised treatment and research centres at Irrua (Edo) and Owo (Ondo) [ref]. The sharp decline in incidence toward the arid north mirrors the rainfall and vegetation gradient that governs reservoir habitat and breeding, and is compatible with the pronounced dry-season peak of human transmission [ref]. The inverse association with population density is consistent with Lassa fever as a primarily rural, peridomestic zoonosis in which exposure occurs through rodent intrusion into dwellings and food stores rather than through person-to-person spread in dense urban settings [ref].</w:t>
      </w:r>
    </w:p>
    <w:p>
      <w:pPr>
        <w:spacing w:line="480"/>
        <w:jc w:val="center"/>
      </w:pPr>
      <w:r>
        <w:rPr>
          <w:rFonts w:ascii="Times New Roman" w:cs="Times New Roman" w:eastAsia="Times New Roman" w:hAnsi="Times New Roman"/>
          <w:b w:val="false"/>
          <w:bCs w:val="false"/>
          <w:i w:val="false"/>
          <w:iCs w:val="false"/>
          <w:sz w:val="24"/>
          <w:szCs w:val="24"/>
        </w:rPr>
        <w:t xml:space="preserve">A central interpretive point is that the apparent determinants of state-level incidence—climate, poverty, and latitude—are empirically one axis rather than competing causes. This collinearity resolves the otherwise paradoxical descriptive pattern in which the highest-burden states (Ondo, Edo) are among the least poor: once the north–south gradient is accounted for, poverty carries no risk signal independent of it, and its coefficient is unstable across specifications. Disentangling the mechanistic contributions of climate, reservoir ecology, housing, and deprivation therefore requires either finer spatial resolution, where these variables decouple, or designs that exploit within-gradient variation.</w:t>
      </w:r>
    </w:p>
    <w:p>
      <w:pPr>
        <w:spacing w:line="480"/>
        <w:jc w:val="center"/>
      </w:pPr>
      <w:r>
        <w:rPr>
          <w:rFonts w:ascii="Times New Roman" w:cs="Times New Roman" w:eastAsia="Times New Roman" w:hAnsi="Times New Roman"/>
          <w:b w:val="false"/>
          <w:bCs w:val="false"/>
          <w:i w:val="false"/>
          <w:iCs w:val="false"/>
          <w:sz w:val="24"/>
          <w:szCs w:val="24"/>
        </w:rPr>
        <w:t xml:space="preserve">Equally important, the analysis shows that detected Lassa fever burden is in large part a measurement of surveillance intensity. States with diagnostic laboratories and higher suspected-case throughput report more confirmed cases, and once suspected-case volume is included no ecological covariate remains significant. This is not evidence that ecology is unimportant; it is evidence that, at the state scale, true risk and detection capacity are confounded. The finding underscores the need to interpret NCDC confirmed-case maps as joint products of transmission and testing access, and it argues for expanding diagnostic capacity in under-tested states before spatial inequalities in reported burden can be read as inequalities in risk [ref].</w:t>
      </w:r>
    </w:p>
    <w:p>
      <w:pPr>
        <w:spacing w:before="120" w:line="480"/>
        <w:jc w:val="center"/>
      </w:pPr>
      <w:r>
        <w:rPr>
          <w:rFonts w:ascii="Times New Roman" w:cs="Times New Roman" w:eastAsia="Times New Roman" w:hAnsi="Times New Roman"/>
          <w:b/>
          <w:bCs/>
          <w:sz w:val="24"/>
          <w:szCs w:val="24"/>
        </w:rPr>
        <w:t xml:space="preserve">Methodological Contribution</w:t>
      </w:r>
    </w:p>
    <w:p>
      <w:pPr>
        <w:spacing w:line="480"/>
        <w:jc w:val="center"/>
      </w:pPr>
      <w:r>
        <w:rPr>
          <w:rFonts w:ascii="Times New Roman" w:cs="Times New Roman" w:eastAsia="Times New Roman" w:hAnsi="Times New Roman"/>
          <w:b w:val="false"/>
          <w:bCs w:val="false"/>
          <w:i w:val="false"/>
          <w:iCs w:val="false"/>
          <w:sz w:val="24"/>
          <w:szCs w:val="24"/>
        </w:rPr>
        <w:t xml:space="preserve">Methodologically, the study illustrates a complete spatial-epidemiological workflow and its honest limits. Moving from global and local autocorrelation statistics through spatial-econometric diagnostics to a Bayesian hierarchical disease-mapping model showed that the spatial clustering evident in the raw data was almost entirely explained by spatially patterned covariates: residual autocorrelation was negligible, and the structured random effect, though it recovered the endemic belt visually, could not be distinguished from an unstructured effect with 37 areas. Reporting this null spatial result transparently—rather than over-interpreting a smoothed risk map—is itself a contribution, and the dimensionality analysis (variance inflation factors and principal components) provides a template for handling the strong gradient collinearity that characterises many national ecological analyses.</w:t>
      </w:r>
    </w:p>
    <w:p>
      <w:pPr>
        <w:spacing w:before="120" w:line="480"/>
        <w:jc w:val="center"/>
      </w:pPr>
      <w:r>
        <w:rPr>
          <w:rFonts w:ascii="Times New Roman" w:cs="Times New Roman" w:eastAsia="Times New Roman" w:hAnsi="Times New Roman"/>
          <w:b/>
          <w:bCs/>
          <w:sz w:val="24"/>
          <w:szCs w:val="24"/>
        </w:rPr>
        <w:t xml:space="preserve">Strengths and Limitations</w:t>
      </w:r>
    </w:p>
    <w:p>
      <w:pPr>
        <w:spacing w:line="480"/>
        <w:jc w:val="center"/>
      </w:pPr>
      <w:r>
        <w:rPr>
          <w:rFonts w:ascii="Times New Roman" w:cs="Times New Roman" w:eastAsia="Times New Roman" w:hAnsi="Times New Roman"/>
          <w:b w:val="false"/>
          <w:bCs w:val="false"/>
          <w:i w:val="false"/>
          <w:iCs w:val="false"/>
          <w:sz w:val="24"/>
          <w:szCs w:val="24"/>
        </w:rPr>
        <w:t xml:space="preserve">Strengths include national coverage across seven transmission seasons, the use of an incidence model with a population offset and estimated overdispersion, explicit adjustment for the surveillance confound, formal quantification of covariate collinearity, and a fully Bayesian spatial model with transparent uncertainty. Several limitations temper the conclusions.</w:t>
      </w:r>
    </w:p>
    <w:p>
      <w:pPr>
        <w:spacing w:line="480"/>
        <w:jc w:val="center"/>
      </w:pPr>
      <w:r>
        <w:rPr>
          <w:rFonts w:ascii="Times New Roman" w:cs="Times New Roman" w:eastAsia="Times New Roman" w:hAnsi="Times New Roman"/>
          <w:b w:val="false"/>
          <w:bCs w:val="false"/>
          <w:i w:val="false"/>
          <w:iCs w:val="false"/>
          <w:sz w:val="24"/>
          <w:szCs w:val="24"/>
        </w:rPr>
        <w:t xml:space="preserve">First, the design is ecological: associations hold at the state level and must not be read as individual-level effects (the ecological fallacy). Second, and most consequentially, the spatial unit is coarse. With only 37 areas the spatial random effect is weakly identified, the modifiable areal unit problem applies, and the collinear gradient cannot be decomposed; local-government-area data (</w:t>
      </w:r>
      <w:r>
        <w:rPr>
          <w:rFonts w:ascii="Times New Roman" w:cs="Times New Roman" w:eastAsia="Times New Roman" w:hAnsi="Times New Roman"/>
          <w:b w:val="false"/>
          <w:bCs w:val="false"/>
          <w:i/>
          <w:iCs/>
          <w:sz w:val="24"/>
          <w:szCs w:val="24"/>
        </w:rPr>
        <w:t xml:space="preserve">n</w:t>
      </w:r>
      <w:r>
        <w:rPr>
          <w:rFonts w:ascii="Times New Roman" w:cs="Times New Roman" w:eastAsia="Times New Roman" w:hAnsi="Times New Roman"/>
          <w:b w:val="false"/>
          <w:bCs w:val="false"/>
          <w:i w:val="false"/>
          <w:iCs w:val="false"/>
          <w:sz w:val="24"/>
          <w:szCs w:val="24"/>
        </w:rPr>
        <w:t xml:space="preserve"> = 774) would markedly increase power and allow climate, poverty, and reservoir ecology to separate. Third, the surveillance data were compiled from NCDC situation-report tables by automated extraction and, although internally consistency-checked, have not been validated against primary line lists; blank cells were treated as zero, which may understate low-reporting states. Fourth, the outcome was cumulative and cross-sectional, ignoring the pronounced seasonal and interannual dynamics of Lassa fever; a spatio-temporal extension is a clear next step. Fifth, reservoir presence was indexed by GBIF occurrence records, which reflect sampling effort rather than true abundance (the highest-incidence state had no records) and are an inadequate substitute for a modelled reservoir-suitability surface. Sixth, climate was represented by long-term normals rather than period-specific anomalies. Finally, residual and unmeasured confounding—housing quality, food-storage practices, agricultural exposure, and health-seeking behaviour—cannot be excluded.</w:t>
      </w:r>
    </w:p>
    <w:p>
      <w:pPr>
        <w:spacing w:before="120" w:line="480"/>
        <w:jc w:val="center"/>
      </w:pPr>
      <w:r>
        <w:rPr>
          <w:rFonts w:ascii="Times New Roman" w:cs="Times New Roman" w:eastAsia="Times New Roman" w:hAnsi="Times New Roman"/>
          <w:b/>
          <w:bCs/>
          <w:sz w:val="24"/>
          <w:szCs w:val="24"/>
        </w:rPr>
        <w:t xml:space="preserve">Implications and Future Directions</w:t>
      </w:r>
    </w:p>
    <w:p>
      <w:pPr>
        <w:spacing w:line="480"/>
        <w:jc w:val="center"/>
      </w:pPr>
      <w:r>
        <w:rPr>
          <w:rFonts w:ascii="Times New Roman" w:cs="Times New Roman" w:eastAsia="Times New Roman" w:hAnsi="Times New Roman"/>
          <w:b w:val="false"/>
          <w:bCs w:val="false"/>
          <w:i w:val="false"/>
          <w:iCs w:val="false"/>
          <w:sz w:val="24"/>
          <w:szCs w:val="24"/>
        </w:rPr>
        <w:t xml:space="preserve">The results have two practical implications. For surveillance, the strong dependence of detected burden on testing access argues for equitable expansion of diagnostic capacity so that risk maps reflect transmission rather than detection. For research, the collapse of climate, poverty, and latitude onto a single state-level axis makes a clear case for finer-resolution, spatio-temporal Bayesian models (for example, a local-government-area BYM model with a temporal component) that incorporate a modelled </w:t>
      </w:r>
      <w:r>
        <w:rPr>
          <w:rFonts w:ascii="Times New Roman" w:cs="Times New Roman" w:eastAsia="Times New Roman" w:hAnsi="Times New Roman"/>
          <w:b w:val="false"/>
          <w:bCs w:val="false"/>
          <w:i/>
          <w:iCs/>
          <w:sz w:val="24"/>
          <w:szCs w:val="24"/>
        </w:rPr>
        <w:t xml:space="preserve">Mastomys</w:t>
      </w:r>
      <w:r>
        <w:rPr>
          <w:rFonts w:ascii="Times New Roman" w:cs="Times New Roman" w:eastAsia="Times New Roman" w:hAnsi="Times New Roman"/>
          <w:b w:val="false"/>
          <w:bCs w:val="false"/>
          <w:i w:val="false"/>
          <w:iCs w:val="false"/>
          <w:sz w:val="24"/>
          <w:szCs w:val="24"/>
        </w:rPr>
        <w:t xml:space="preserve"> suitability surface and a direct measure of testing capacity. Such models would move the field from describing where cases are detected toward estimating where spillover risk is greatest.</w:t>
      </w:r>
    </w:p>
    <w:p>
      <w:pPr>
        <w:spacing w:before="120" w:line="480"/>
        <w:jc w:val="center"/>
      </w:pPr>
      <w:r>
        <w:rPr>
          <w:rFonts w:ascii="Times New Roman" w:cs="Times New Roman" w:eastAsia="Times New Roman" w:hAnsi="Times New Roman"/>
          <w:b/>
          <w:bCs/>
          <w:sz w:val="24"/>
          <w:szCs w:val="24"/>
        </w:rPr>
        <w:t xml:space="preserve">Conclusion</w:t>
      </w:r>
    </w:p>
    <w:p>
      <w:pPr>
        <w:spacing w:line="480"/>
        <w:jc w:val="center"/>
      </w:pPr>
      <w:r>
        <w:rPr>
          <w:rFonts w:ascii="Times New Roman" w:cs="Times New Roman" w:eastAsia="Times New Roman" w:hAnsi="Times New Roman"/>
          <w:b w:val="false"/>
          <w:bCs w:val="false"/>
          <w:i w:val="false"/>
          <w:iCs w:val="false"/>
          <w:sz w:val="24"/>
          <w:szCs w:val="24"/>
        </w:rPr>
        <w:t xml:space="preserve">Lassa fever in Nigeria is spatially clustered along a southern–central belt, but at the state scale its burden is shaped by a single collinear climate–socioeconomic gradient, by population density, and—substantially—by the geography of surveillance itself. A formal Bayesian spatial disease-mapping model is estimable and useful for hypothesis generation, yet a decisive residual spatial signal is not identifiable at this resolution. Finer, local-government-area and time-resolved data are needed to separate true spillover risk from detection and to translate spatial description into actionable targeting.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jc w:val="center"/>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Lassa spatial analysis</dc:creator>
  <cp:lastModifiedBy>Un-named</cp:lastModifiedBy>
  <cp:revision>1</cp:revision>
  <dcterms:created xsi:type="dcterms:W3CDTF">2026-11-01T21:24:13.814Z</dcterms:created>
  <dcterms:modified xsi:type="dcterms:W3CDTF">2026-11-01T21:24:13.816Z</dcterms:modified>
</cp:coreProperties>
</file>

<file path=docProps/custom.xml><?xml version="1.0" encoding="utf-8"?>
<Properties xmlns="http://schemas.openxmlformats.org/officeDocument/2006/custom-properties" xmlns:vt="http://schemas.openxmlformats.org/officeDocument/2006/docPropsVTypes"/>
</file>