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jc w:val="center"/>
      </w:pPr>
      <w:r>
        <w:rPr>
          <w:rFonts w:ascii="Times New Roman" w:cs="Times New Roman" w:eastAsia="Times New Roman" w:hAnsi="Times New Roman"/>
          <w:b/>
          <w:bCs/>
          <w:sz w:val="24"/>
          <w:szCs w:val="24"/>
        </w:rPr>
        <w:t xml:space="preserve">Methods</w:t>
      </w:r>
    </w:p>
    <w:p>
      <w:pPr>
        <w:spacing w:before="120" w:line="480"/>
        <w:jc w:val="center"/>
      </w:pPr>
      <w:r>
        <w:rPr>
          <w:rFonts w:ascii="Times New Roman" w:cs="Times New Roman" w:eastAsia="Times New Roman" w:hAnsi="Times New Roman"/>
          <w:b/>
          <w:bCs/>
          <w:sz w:val="24"/>
          <w:szCs w:val="24"/>
        </w:rPr>
        <w:t xml:space="preserve">Study Design and Setting</w:t>
      </w:r>
    </w:p>
    <w:p>
      <w:pPr>
        <w:spacing w:line="480"/>
        <w:jc w:val="center"/>
      </w:pPr>
      <w:r>
        <w:rPr>
          <w:rFonts w:ascii="Times New Roman" w:cs="Times New Roman" w:eastAsia="Times New Roman" w:hAnsi="Times New Roman"/>
          <w:b w:val="false"/>
          <w:bCs w:val="false"/>
          <w:i w:val="false"/>
          <w:iCs w:val="false"/>
          <w:sz w:val="24"/>
          <w:szCs w:val="24"/>
        </w:rPr>
        <w:t xml:space="preserve">We conducted a retrospective, ecological (area-level) analysis of laboratory-confirmed Lassa fever across the 36 states of Nigeria and the Federal Capital Territory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 = 37 units). The unit of analysis was the state; the observation window spanned epidemiological week 6 of 2020 to week 34 of 2026. Because the design is ecological, all associations describe state-level relationships and are not interpreted as individual-level effects.</w:t>
      </w:r>
    </w:p>
    <w:p>
      <w:pPr>
        <w:spacing w:before="120" w:line="480"/>
        <w:jc w:val="center"/>
      </w:pPr>
      <w:r>
        <w:rPr>
          <w:rFonts w:ascii="Times New Roman" w:cs="Times New Roman" w:eastAsia="Times New Roman" w:hAnsi="Times New Roman"/>
          <w:b/>
          <w:bCs/>
          <w:sz w:val="24"/>
          <w:szCs w:val="24"/>
        </w:rPr>
        <w:t xml:space="preserve">Outcome Data</w:t>
      </w:r>
    </w:p>
    <w:p>
      <w:pPr>
        <w:spacing w:line="480"/>
        <w:jc w:val="center"/>
      </w:pPr>
      <w:r>
        <w:rPr>
          <w:rFonts w:ascii="Times New Roman" w:cs="Times New Roman" w:eastAsia="Times New Roman" w:hAnsi="Times New Roman"/>
          <w:b w:val="false"/>
          <w:bCs w:val="false"/>
          <w:i w:val="false"/>
          <w:iCs w:val="false"/>
          <w:sz w:val="24"/>
          <w:szCs w:val="24"/>
        </w:rPr>
        <w:t xml:space="preserve">Weekly counts of suspected, confirmed, and fatal Lassa fever cases by state were obtained from the Nigeria Centre for Disease Control and Prevention (NCDC) weekly situation reports, as compiled in the open BioDivHealth </w:t>
      </w:r>
      <w:r>
        <w:rPr>
          <w:rFonts w:ascii="Times New Roman" w:cs="Times New Roman" w:eastAsia="Times New Roman" w:hAnsi="Times New Roman"/>
          <w:b w:val="false"/>
          <w:bCs w:val="false"/>
          <w:i/>
          <w:iCs/>
          <w:sz w:val="24"/>
          <w:szCs w:val="24"/>
        </w:rPr>
        <w:t xml:space="preserve">LF_Nigeria_Reports</w:t>
      </w:r>
      <w:r>
        <w:rPr>
          <w:rFonts w:ascii="Times New Roman" w:cs="Times New Roman" w:eastAsia="Times New Roman" w:hAnsi="Times New Roman"/>
          <w:b w:val="false"/>
          <w:bCs w:val="false"/>
          <w:i w:val="false"/>
          <w:iCs w:val="false"/>
          <w:sz w:val="24"/>
          <w:szCs w:val="24"/>
        </w:rPr>
        <w:t xml:space="preserve"> repository (Creative Commons CC0). Because the compilation was extracted from report tables, values were checked for internal consistency (suspected ≥ confirmed ≥ deaths) and blank cells were treated as zero. Weekly records were aggregated to cumulative state totals over the study window. The primary outcome was the incidence of confirmed cases, modelled as a count with the state population as the exposure (offset); the cumulative confirmed count and test positivity (confirmed ÷ suspected) were examined as secondary outcomes.</w:t>
      </w:r>
    </w:p>
    <w:p>
      <w:pPr>
        <w:spacing w:before="120" w:line="480"/>
        <w:jc w:val="center"/>
      </w:pPr>
      <w:r>
        <w:rPr>
          <w:rFonts w:ascii="Times New Roman" w:cs="Times New Roman" w:eastAsia="Times New Roman" w:hAnsi="Times New Roman"/>
          <w:b/>
          <w:bCs/>
          <w:sz w:val="24"/>
          <w:szCs w:val="24"/>
        </w:rPr>
        <w:t xml:space="preserve">Covariates</w:t>
      </w:r>
    </w:p>
    <w:p>
      <w:pPr>
        <w:spacing w:line="480"/>
        <w:jc w:val="center"/>
      </w:pPr>
      <w:r>
        <w:rPr>
          <w:rFonts w:ascii="Times New Roman" w:cs="Times New Roman" w:eastAsia="Times New Roman" w:hAnsi="Times New Roman"/>
          <w:b w:val="false"/>
          <w:bCs w:val="false"/>
          <w:i w:val="false"/>
          <w:iCs w:val="false"/>
          <w:sz w:val="24"/>
          <w:szCs w:val="24"/>
        </w:rPr>
        <w:t xml:space="preserve">State-level covariates were assembled to represent the hypothesised determinants of Lassa fever risk (reservoir ecology, climate, socioeconomic deprivation, demography, and health-system and surveillance capacity). Sources and processing are summarised in Table M1. Population estimates were taken from WorldPop bottom-up gridded estimates (version 2.0), with density computed as population divided by polygon area in an equal-area projection (UTM Zone 32N). Climate covariates were WorldClim 2.1 bioclimatic normals (1970–2000, 5-arc-minute), summarised to states as zonal means for annual mean temperature, temperature seasonality, annual precipitation, driest-month precipitation, and precipitation seasonality. Socioeconomic deprivation was the subnational Multidimensional Poverty Index and poverty headcount (Oxford Poverty and Human Development Initiative, Multiple Indicator Cluster Survey 2021), distributed through the Humanitarian Data Exchange (HDX). Health-facility density (per 100,000 population) was derived from the HDX Nigeria health-facility registry. Georeferenced occurrence records of </w:t>
      </w:r>
      <w:r>
        <w:rPr>
          <w:rFonts w:ascii="Times New Roman" w:cs="Times New Roman" w:eastAsia="Times New Roman" w:hAnsi="Times New Roman"/>
          <w:b w:val="false"/>
          <w:bCs w:val="false"/>
          <w:i/>
          <w:iCs/>
          <w:sz w:val="24"/>
          <w:szCs w:val="24"/>
        </w:rPr>
        <w:t xml:space="preserve">Mastomys natalensis</w:t>
      </w:r>
      <w:r>
        <w:rPr>
          <w:rFonts w:ascii="Times New Roman" w:cs="Times New Roman" w:eastAsia="Times New Roman" w:hAnsi="Times New Roman"/>
          <w:b w:val="false"/>
          <w:bCs w:val="false"/>
          <w:i w:val="false"/>
          <w:iCs w:val="false"/>
          <w:sz w:val="24"/>
          <w:szCs w:val="24"/>
        </w:rPr>
        <w:t xml:space="preserve"> and related rodents were retrieved from the Global Biodiversity Information Facility and aggregated by point-in-polygon overlay; because occurrence counts index sampling effort as well as true abundance, they were treated as a coarse sensitivity covariate. State centroid latitude and longitude, distance to the nearest NCDC Lassa diagnostic laboratory, and surveillance intensity (log suspected cases) were derived from the boundary file and the surveillance record. State boundaries were taken from Natural Earth (1:10 m admin-1), with names harmonised to the 37 NCDC units.</w:t>
      </w:r>
    </w:p>
    <w:p>
      <w:pPr>
        <w:spacing w:before="120" w:line="480"/>
        <w:jc w:val="center"/>
      </w:pPr>
      <w:r>
        <w:rPr>
          <w:rFonts w:ascii="Times New Roman" w:cs="Times New Roman" w:eastAsia="Times New Roman" w:hAnsi="Times New Roman"/>
          <w:b/>
          <w:bCs/>
          <w:sz w:val="24"/>
          <w:szCs w:val="24"/>
        </w:rPr>
        <w:t xml:space="preserve">Statistical Analysis</w:t>
      </w:r>
    </w:p>
    <w:p>
      <w:pPr>
        <w:spacing w:line="480"/>
        <w:jc w:val="center"/>
      </w:pPr>
      <w:r>
        <w:rPr>
          <w:rFonts w:ascii="Times New Roman" w:cs="Times New Roman" w:eastAsia="Times New Roman" w:hAnsi="Times New Roman"/>
          <w:b w:val="false"/>
          <w:bCs w:val="false"/>
          <w:i w:val="false"/>
          <w:iCs w:val="false"/>
          <w:sz w:val="24"/>
          <w:szCs w:val="24"/>
        </w:rPr>
        <w:t xml:space="preserve">Analyses proceeded from exploratory spatial statistics to a Bayesian hierarchical disease-mapping model.</w:t>
      </w:r>
    </w:p>
    <w:p>
      <w:pPr>
        <w:spacing w:line="480"/>
        <w:jc w:val="center"/>
      </w:pPr>
      <w:r>
        <w:rPr>
          <w:rFonts w:ascii="Times New Roman" w:cs="Times New Roman" w:eastAsia="Times New Roman" w:hAnsi="Times New Roman"/>
          <w:b/>
          <w:bCs/>
          <w:i w:val="false"/>
          <w:iCs w:val="false"/>
          <w:sz w:val="24"/>
          <w:szCs w:val="24"/>
        </w:rPr>
        <w:t xml:space="preserve">Spatial autocorrelation. </w:t>
      </w:r>
      <w:r>
        <w:rPr>
          <w:rFonts w:ascii="Times New Roman" w:cs="Times New Roman" w:eastAsia="Times New Roman" w:hAnsi="Times New Roman"/>
          <w:b w:val="false"/>
          <w:bCs w:val="false"/>
          <w:i w:val="false"/>
          <w:iCs w:val="false"/>
          <w:sz w:val="24"/>
          <w:szCs w:val="24"/>
        </w:rPr>
        <w:t xml:space="preserve">Global clustering of (log) case burden, incidence, and test positivity was assessed with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using a row-standardised queen-contiguity spatial weights matrix, with inference by 9,999 random permutations. Local clusters were identified with local indicators of spatial association (local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9,999 permutations), classified as high–high, low–low, or spatial outliers at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&lt; .05.</w:t>
      </w:r>
    </w:p>
    <w:p>
      <w:pPr>
        <w:spacing w:line="480"/>
        <w:jc w:val="center"/>
      </w:pPr>
      <w:r>
        <w:rPr>
          <w:rFonts w:ascii="Times New Roman" w:cs="Times New Roman" w:eastAsia="Times New Roman" w:hAnsi="Times New Roman"/>
          <w:b/>
          <w:bCs/>
          <w:i w:val="false"/>
          <w:iCs w:val="false"/>
          <w:sz w:val="24"/>
          <w:szCs w:val="24"/>
        </w:rPr>
        <w:t xml:space="preserve">Covariate regression. </w:t>
      </w:r>
      <w:r>
        <w:rPr>
          <w:rFonts w:ascii="Times New Roman" w:cs="Times New Roman" w:eastAsia="Times New Roman" w:hAnsi="Times New Roman"/>
          <w:b w:val="false"/>
          <w:bCs w:val="false"/>
          <w:i w:val="false"/>
          <w:iCs w:val="false"/>
          <w:sz w:val="24"/>
          <w:szCs w:val="24"/>
        </w:rPr>
        <w:t xml:space="preserve">Because case counts were overdispersed, state incidence was modelled with negative binomial regression using population as the exposure and a freely estimated dispersion parameter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b w:val="false"/>
          <w:bCs w:val="false"/>
          <w:i w:val="false"/>
          <w:iCs w:val="false"/>
          <w:sz w:val="24"/>
          <w:szCs w:val="24"/>
        </w:rPr>
        <w:t xml:space="preserve">). Continuous predictors were </w:t>
      </w:r>
      <w:r>
        <w:rPr>
          <w:rFonts w:ascii="Times New Roman" w:cs="Times New Roman" w:eastAsia="Times New Roman" w:hAnsi="Times New Roman"/>
          <w:b w:val="false"/>
          <w:bCs w:val="false"/>
          <w:i/>
          <w:iCs/>
          <w:sz w:val="24"/>
          <w:szCs w:val="24"/>
        </w:rPr>
        <w:t xml:space="preserve">z</w:t>
      </w:r>
      <w:r>
        <w:rPr>
          <w:rFonts w:ascii="Times New Roman" w:cs="Times New Roman" w:eastAsia="Times New Roman" w:hAnsi="Times New Roman"/>
          <w:b w:val="false"/>
          <w:bCs w:val="false"/>
          <w:i w:val="false"/>
          <w:iCs w:val="false"/>
          <w:sz w:val="24"/>
          <w:szCs w:val="24"/>
        </w:rPr>
        <w:t xml:space="preserve">-standardised, so coefficients express incidence-rate ratios (IRRs) per one standard-deviation increase. Multicollinearity was quantified with variance inflation factors and a principal-components analysis; because latitude, climate, and poverty formed a single dominant gradient (first principal component = 91.3% of variance), a parsimonious specification retained one mechanistic gradient proxy (precipitation seasonality) with the orthogonal population-density term. A spatial-econometric workflow (ordinary least squares with Lagrange-multiplier tests, then maximum-likelihood spatial lag and spatial error models) tested for residual spatial dependence.</w:t>
      </w:r>
    </w:p>
    <w:p>
      <w:pPr>
        <w:spacing w:line="480"/>
        <w:jc w:val="center"/>
      </w:pPr>
      <w:r>
        <w:rPr>
          <w:rFonts w:ascii="Times New Roman" w:cs="Times New Roman" w:eastAsia="Times New Roman" w:hAnsi="Times New Roman"/>
          <w:b/>
          <w:bCs/>
          <w:i w:val="false"/>
          <w:iCs w:val="false"/>
          <w:sz w:val="24"/>
          <w:szCs w:val="24"/>
        </w:rPr>
        <w:t xml:space="preserve">Bayesian spatial disease-mapping model. </w:t>
      </w:r>
      <w:r>
        <w:rPr>
          <w:rFonts w:ascii="Times New Roman" w:cs="Times New Roman" w:eastAsia="Times New Roman" w:hAnsi="Times New Roman"/>
          <w:b w:val="false"/>
          <w:bCs w:val="false"/>
          <w:i w:val="false"/>
          <w:iCs w:val="false"/>
          <w:sz w:val="24"/>
          <w:szCs w:val="24"/>
        </w:rPr>
        <w:t xml:space="preserve">The primary spatial model was a Bayesian hierarchical negative binomial model of the Besag–York–Mollié (BYM) form. For state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with population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ᵢ, the confirmed count </w:t>
      </w:r>
      <w:r>
        <w:rPr>
          <w:rFonts w:ascii="Times New Roman" w:cs="Times New Roman" w:eastAsia="Times New Roman" w:hAnsi="Times New Roman"/>
          <w:b w:val="false"/>
          <w:bCs w:val="false"/>
          <w:i/>
          <w:iCs/>
          <w:sz w:val="24"/>
          <w:szCs w:val="24"/>
        </w:rPr>
        <w:t xml:space="preserve">y</w:t>
      </w:r>
      <w:r>
        <w:rPr>
          <w:rFonts w:ascii="Times New Roman" w:cs="Times New Roman" w:eastAsia="Times New Roman" w:hAnsi="Times New Roman"/>
          <w:b w:val="false"/>
          <w:bCs w:val="false"/>
          <w:i w:val="false"/>
          <w:iCs w:val="false"/>
          <w:sz w:val="24"/>
          <w:szCs w:val="24"/>
        </w:rPr>
        <w:t xml:space="preserve">ᵢ followed a negative binomial distribution with mean </w:t>
      </w:r>
      <w:r>
        <w:rPr>
          <w:rFonts w:ascii="Times New Roman" w:cs="Times New Roman" w:eastAsia="Times New Roman" w:hAnsi="Times New Roman"/>
          <w:b w:val="false"/>
          <w:bCs w:val="false"/>
          <w:i/>
          <w:iCs/>
          <w:sz w:val="24"/>
          <w:szCs w:val="24"/>
        </w:rPr>
        <w:t xml:space="preserve">μ</w:t>
      </w:r>
      <w:r>
        <w:rPr>
          <w:rFonts w:ascii="Times New Roman" w:cs="Times New Roman" w:eastAsia="Times New Roman" w:hAnsi="Times New Roman"/>
          <w:b w:val="false"/>
          <w:bCs w:val="false"/>
          <w:i w:val="false"/>
          <w:iCs w:val="false"/>
          <w:sz w:val="24"/>
          <w:szCs w:val="24"/>
        </w:rPr>
        <w:t xml:space="preserve">ᵢ and dispersion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b w:val="false"/>
          <w:bCs w:val="false"/>
          <w:i w:val="false"/>
          <w:iCs w:val="false"/>
          <w:sz w:val="24"/>
          <w:szCs w:val="24"/>
        </w:rPr>
        <w:t xml:space="preserve">, where log </w:t>
      </w:r>
      <w:r>
        <w:rPr>
          <w:rFonts w:ascii="Times New Roman" w:cs="Times New Roman" w:eastAsia="Times New Roman" w:hAnsi="Times New Roman"/>
          <w:b w:val="false"/>
          <w:bCs w:val="false"/>
          <w:i/>
          <w:iCs/>
          <w:sz w:val="24"/>
          <w:szCs w:val="24"/>
        </w:rPr>
        <w:t xml:space="preserve">μ</w:t>
      </w:r>
      <w:r>
        <w:rPr>
          <w:rFonts w:ascii="Times New Roman" w:cs="Times New Roman" w:eastAsia="Times New Roman" w:hAnsi="Times New Roman"/>
          <w:b w:val="false"/>
          <w:bCs w:val="false"/>
          <w:i w:val="false"/>
          <w:iCs w:val="false"/>
          <w:sz w:val="24"/>
          <w:szCs w:val="24"/>
        </w:rPr>
        <w:t xml:space="preserve">ᵢ = log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ᵢ + </w:t>
      </w:r>
      <w:r>
        <w:rPr>
          <w:rFonts w:ascii="Times New Roman" w:cs="Times New Roman" w:eastAsia="Times New Roman" w:hAnsi="Times New Roman"/>
          <w:b w:val="false"/>
          <w:bCs w:val="false"/>
          <w:i/>
          <w:iCs/>
          <w:sz w:val="24"/>
          <w:szCs w:val="24"/>
        </w:rPr>
        <w:t xml:space="preserve">β</w:t>
      </w:r>
      <w:r>
        <w:rPr>
          <w:rFonts w:ascii="Times New Roman" w:cs="Times New Roman" w:eastAsia="Times New Roman" w:hAnsi="Times New Roman"/>
          <w:b w:val="false"/>
          <w:bCs w:val="false"/>
          <w:i w:val="false"/>
          <w:iCs w:val="false"/>
          <w:sz w:val="24"/>
          <w:szCs w:val="24"/>
        </w:rPr>
        <w:t xml:space="preserve">₀ +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ᵢᵀ</w:t>
      </w:r>
      <w:r>
        <w:rPr>
          <w:rFonts w:ascii="Times New Roman" w:cs="Times New Roman" w:eastAsia="Times New Roman" w:hAnsi="Times New Roman"/>
          <w:b w:val="false"/>
          <w:bCs w:val="false"/>
          <w:i/>
          <w:iCs/>
          <w:sz w:val="24"/>
          <w:szCs w:val="24"/>
        </w:rPr>
        <w:t xml:space="preserve">β</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σ</w:t>
      </w:r>
      <w:r>
        <w:rPr>
          <w:rFonts w:ascii="Times New Roman" w:cs="Times New Roman" w:eastAsia="Times New Roman" w:hAnsi="Times New Roman"/>
          <w:b w:val="false"/>
          <w:bCs w:val="false"/>
          <w:i w:val="false"/>
          <w:iCs w:val="false"/>
          <w:sz w:val="24"/>
          <w:szCs w:val="24"/>
        </w:rPr>
        <w:t xml:space="preserve">ᵤ </w:t>
      </w:r>
      <w:r>
        <w:rPr>
          <w:rFonts w:ascii="Times New Roman" w:cs="Times New Roman" w:eastAsia="Times New Roman" w:hAnsi="Times New Roman"/>
          <w:b w:val="false"/>
          <w:bCs w:val="false"/>
          <w:i/>
          <w:iCs/>
          <w:sz w:val="24"/>
          <w:szCs w:val="24"/>
        </w:rPr>
        <w:t xml:space="preserve">u</w:t>
      </w:r>
      <w:r>
        <w:rPr>
          <w:rFonts w:ascii="Times New Roman" w:cs="Times New Roman" w:eastAsia="Times New Roman" w:hAnsi="Times New Roman"/>
          <w:b w:val="false"/>
          <w:bCs w:val="false"/>
          <w:i w:val="false"/>
          <w:iCs w:val="false"/>
          <w:sz w:val="24"/>
          <w:szCs w:val="24"/>
        </w:rPr>
        <w:t xml:space="preserve">ᵢ + </w:t>
      </w:r>
      <w:r>
        <w:rPr>
          <w:rFonts w:ascii="Times New Roman" w:cs="Times New Roman" w:eastAsia="Times New Roman" w:hAnsi="Times New Roman"/>
          <w:b w:val="false"/>
          <w:bCs w:val="false"/>
          <w:i/>
          <w:iCs/>
          <w:sz w:val="24"/>
          <w:szCs w:val="24"/>
        </w:rPr>
        <w:t xml:space="preserve">σ</w:t>
      </w:r>
      <w:r>
        <w:rPr>
          <w:rFonts w:ascii="Times New Roman" w:cs="Times New Roman" w:eastAsia="Times New Roman" w:hAnsi="Times New Roman"/>
          <w:b w:val="false"/>
          <w:bCs w:val="false"/>
          <w:i w:val="false"/>
          <w:iCs w:val="false"/>
          <w:sz w:val="24"/>
          <w:szCs w:val="24"/>
        </w:rPr>
        <w:t xml:space="preserve">₍θ₎ </w:t>
      </w:r>
      <w:r>
        <w:rPr>
          <w:rFonts w:ascii="Times New Roman" w:cs="Times New Roman" w:eastAsia="Times New Roman" w:hAnsi="Times New Roman"/>
          <w:b w:val="false"/>
          <w:bCs w:val="false"/>
          <w:i/>
          <w:iCs/>
          <w:sz w:val="24"/>
          <w:szCs w:val="24"/>
        </w:rPr>
        <w:t xml:space="preserve">θ</w:t>
      </w:r>
      <w:r>
        <w:rPr>
          <w:rFonts w:ascii="Times New Roman" w:cs="Times New Roman" w:eastAsia="Times New Roman" w:hAnsi="Times New Roman"/>
          <w:b w:val="false"/>
          <w:bCs w:val="false"/>
          <w:i w:val="false"/>
          <w:iCs w:val="false"/>
          <w:sz w:val="24"/>
          <w:szCs w:val="24"/>
        </w:rPr>
        <w:t xml:space="preserve">ᵢ. Here </w:t>
      </w:r>
      <w:r>
        <w:rPr>
          <w:rFonts w:ascii="Times New Roman" w:cs="Times New Roman" w:eastAsia="Times New Roman" w:hAnsi="Times New Roman"/>
          <w:b w:val="false"/>
          <w:bCs w:val="false"/>
          <w:i/>
          <w:iCs/>
          <w:sz w:val="24"/>
          <w:szCs w:val="24"/>
        </w:rPr>
        <w:t xml:space="preserve">x</w:t>
      </w:r>
      <w:r>
        <w:rPr>
          <w:rFonts w:ascii="Times New Roman" w:cs="Times New Roman" w:eastAsia="Times New Roman" w:hAnsi="Times New Roman"/>
          <w:b w:val="false"/>
          <w:bCs w:val="false"/>
          <w:i w:val="false"/>
          <w:iCs w:val="false"/>
          <w:sz w:val="24"/>
          <w:szCs w:val="24"/>
        </w:rPr>
        <w:t xml:space="preserve">ᵢ contained the parsimonious fixed effects (precipitation seasonality and log population density), </w:t>
      </w:r>
      <w:r>
        <w:rPr>
          <w:rFonts w:ascii="Times New Roman" w:cs="Times New Roman" w:eastAsia="Times New Roman" w:hAnsi="Times New Roman"/>
          <w:b w:val="false"/>
          <w:bCs w:val="false"/>
          <w:i/>
          <w:iCs/>
          <w:sz w:val="24"/>
          <w:szCs w:val="24"/>
        </w:rPr>
        <w:t xml:space="preserve">u</w:t>
      </w:r>
      <w:r>
        <w:rPr>
          <w:rFonts w:ascii="Times New Roman" w:cs="Times New Roman" w:eastAsia="Times New Roman" w:hAnsi="Times New Roman"/>
          <w:b w:val="false"/>
          <w:bCs w:val="false"/>
          <w:i w:val="false"/>
          <w:iCs w:val="false"/>
          <w:sz w:val="24"/>
          <w:szCs w:val="24"/>
        </w:rPr>
        <w:t xml:space="preserve">ᵢ was a spatially structured intrinsic conditional autoregressive (ICAR) random effect on the queen adjacency graph (37 nodes, 87 edges), and </w:t>
      </w:r>
      <w:r>
        <w:rPr>
          <w:rFonts w:ascii="Times New Roman" w:cs="Times New Roman" w:eastAsia="Times New Roman" w:hAnsi="Times New Roman"/>
          <w:b w:val="false"/>
          <w:bCs w:val="false"/>
          <w:i/>
          <w:iCs/>
          <w:sz w:val="24"/>
          <w:szCs w:val="24"/>
        </w:rPr>
        <w:t xml:space="preserve">θ</w:t>
      </w:r>
      <w:r>
        <w:rPr>
          <w:rFonts w:ascii="Times New Roman" w:cs="Times New Roman" w:eastAsia="Times New Roman" w:hAnsi="Times New Roman"/>
          <w:b w:val="false"/>
          <w:bCs w:val="false"/>
          <w:i w:val="false"/>
          <w:iCs w:val="false"/>
          <w:sz w:val="24"/>
          <w:szCs w:val="24"/>
        </w:rPr>
        <w:t xml:space="preserve">ᵢ was an unstructured independent random effect. Weakly informative priors were used: </w:t>
      </w:r>
      <w:r>
        <w:rPr>
          <w:rFonts w:ascii="Times New Roman" w:cs="Times New Roman" w:eastAsia="Times New Roman" w:hAnsi="Times New Roman"/>
          <w:b w:val="false"/>
          <w:bCs w:val="false"/>
          <w:i/>
          <w:iCs/>
          <w:sz w:val="24"/>
          <w:szCs w:val="24"/>
        </w:rPr>
        <w:t xml:space="preserve">β</w:t>
      </w:r>
      <w:r>
        <w:rPr>
          <w:rFonts w:ascii="Times New Roman" w:cs="Times New Roman" w:eastAsia="Times New Roman" w:hAnsi="Times New Roman"/>
          <w:b w:val="false"/>
          <w:bCs w:val="false"/>
          <w:i w:val="false"/>
          <w:iCs w:val="false"/>
          <w:sz w:val="24"/>
          <w:szCs w:val="24"/>
        </w:rPr>
        <w:t xml:space="preserve"> ~ Normal(0, 1), </w:t>
      </w:r>
      <w:r>
        <w:rPr>
          <w:rFonts w:ascii="Times New Roman" w:cs="Times New Roman" w:eastAsia="Times New Roman" w:hAnsi="Times New Roman"/>
          <w:b w:val="false"/>
          <w:bCs w:val="false"/>
          <w:i/>
          <w:iCs/>
          <w:sz w:val="24"/>
          <w:szCs w:val="24"/>
        </w:rPr>
        <w:t xml:space="preserve">β</w:t>
      </w:r>
      <w:r>
        <w:rPr>
          <w:rFonts w:ascii="Times New Roman" w:cs="Times New Roman" w:eastAsia="Times New Roman" w:hAnsi="Times New Roman"/>
          <w:b w:val="false"/>
          <w:bCs w:val="false"/>
          <w:i w:val="false"/>
          <w:iCs w:val="false"/>
          <w:sz w:val="24"/>
          <w:szCs w:val="24"/>
        </w:rPr>
        <w:t xml:space="preserve">₀ ~ Normal(0, 5), the standard deviations ~ Half-Normal(1), and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b w:val="false"/>
          <w:bCs w:val="false"/>
          <w:i w:val="false"/>
          <w:iCs w:val="false"/>
          <w:sz w:val="24"/>
          <w:szCs w:val="24"/>
        </w:rPr>
        <w:t xml:space="preserve"> ~ Half-Normal(5). The spatial fraction (</w:t>
      </w:r>
      <w:r>
        <w:rPr>
          <w:rFonts w:ascii="Times New Roman" w:cs="Times New Roman" w:eastAsia="Times New Roman" w:hAnsi="Times New Roman"/>
          <w:b w:val="false"/>
          <w:bCs w:val="false"/>
          <w:i/>
          <w:iCs/>
          <w:sz w:val="24"/>
          <w:szCs w:val="24"/>
        </w:rPr>
        <w:t xml:space="preserve">φ</w:t>
      </w:r>
      <w:r>
        <w:rPr>
          <w:rFonts w:ascii="Times New Roman" w:cs="Times New Roman" w:eastAsia="Times New Roman" w:hAnsi="Times New Roman"/>
          <w:b w:val="false"/>
          <w:bCs w:val="false"/>
          <w:i w:val="false"/>
          <w:iCs w:val="false"/>
          <w:sz w:val="24"/>
          <w:szCs w:val="24"/>
        </w:rPr>
        <w:t xml:space="preserve">) — the proportion of residual area-level variance attributable to spatial structure — was computed from the posterior, and a smoothed residual spatial relative-risk surface was mapped as the posterior mean of exp(</w:t>
      </w:r>
      <w:r>
        <w:rPr>
          <w:rFonts w:ascii="Times New Roman" w:cs="Times New Roman" w:eastAsia="Times New Roman" w:hAnsi="Times New Roman"/>
          <w:b w:val="false"/>
          <w:bCs w:val="false"/>
          <w:i/>
          <w:iCs/>
          <w:sz w:val="24"/>
          <w:szCs w:val="24"/>
        </w:rPr>
        <w:t xml:space="preserve">σ</w:t>
      </w:r>
      <w:r>
        <w:rPr>
          <w:rFonts w:ascii="Times New Roman" w:cs="Times New Roman" w:eastAsia="Times New Roman" w:hAnsi="Times New Roman"/>
          <w:b w:val="false"/>
          <w:bCs w:val="false"/>
          <w:i w:val="false"/>
          <w:iCs w:val="false"/>
          <w:sz w:val="24"/>
          <w:szCs w:val="24"/>
        </w:rPr>
        <w:t xml:space="preserve">ᵤ </w:t>
      </w:r>
      <w:r>
        <w:rPr>
          <w:rFonts w:ascii="Times New Roman" w:cs="Times New Roman" w:eastAsia="Times New Roman" w:hAnsi="Times New Roman"/>
          <w:b w:val="false"/>
          <w:bCs w:val="false"/>
          <w:i/>
          <w:iCs/>
          <w:sz w:val="24"/>
          <w:szCs w:val="24"/>
        </w:rPr>
        <w:t xml:space="preserve">u</w:t>
      </w:r>
      <w:r>
        <w:rPr>
          <w:rFonts w:ascii="Times New Roman" w:cs="Times New Roman" w:eastAsia="Times New Roman" w:hAnsi="Times New Roman"/>
          <w:b w:val="false"/>
          <w:bCs w:val="false"/>
          <w:i w:val="false"/>
          <w:iCs w:val="false"/>
          <w:sz w:val="24"/>
          <w:szCs w:val="24"/>
        </w:rPr>
        <w:t xml:space="preserve">).</w:t>
      </w:r>
    </w:p>
    <w:p>
      <w:pPr>
        <w:spacing w:line="480"/>
        <w:jc w:val="center"/>
      </w:pPr>
      <w:r>
        <w:rPr>
          <w:rFonts w:ascii="Times New Roman" w:cs="Times New Roman" w:eastAsia="Times New Roman" w:hAnsi="Times New Roman"/>
          <w:b/>
          <w:bCs/>
          <w:i w:val="false"/>
          <w:iCs w:val="false"/>
          <w:sz w:val="24"/>
          <w:szCs w:val="24"/>
        </w:rPr>
        <w:t xml:space="preserve">Estimation and model comparison. </w:t>
      </w:r>
      <w:r>
        <w:rPr>
          <w:rFonts w:ascii="Times New Roman" w:cs="Times New Roman" w:eastAsia="Times New Roman" w:hAnsi="Times New Roman"/>
          <w:b w:val="false"/>
          <w:bCs w:val="false"/>
          <w:i w:val="false"/>
          <w:iCs w:val="false"/>
          <w:sz w:val="24"/>
          <w:szCs w:val="24"/>
        </w:rPr>
        <w:t xml:space="preserve">The model was estimated by Hamiltonian Monte Carlo (No-U-Turn Sampler) with 4 chains of 1,500 post-warmup draws (2,500 warmup; target acceptance 0.99). Convergence was assessed with the potential scale reduction factor (R-hat ≤ 1.01) and effective sample sizes. The spatial model was compared with an otherwise identical non-spatial model by approximate leave-one-out cross-validation (expected log pointwise predictive density).</w:t>
      </w:r>
    </w:p>
    <w:p>
      <w:pPr>
        <w:spacing w:line="480"/>
        <w:jc w:val="center"/>
      </w:pPr>
      <w:r>
        <w:rPr>
          <w:rFonts w:ascii="Times New Roman" w:cs="Times New Roman" w:eastAsia="Times New Roman" w:hAnsi="Times New Roman"/>
          <w:b/>
          <w:bCs/>
          <w:i w:val="false"/>
          <w:iCs w:val="false"/>
          <w:sz w:val="24"/>
          <w:szCs w:val="24"/>
        </w:rPr>
        <w:t xml:space="preserve">Software. </w:t>
      </w:r>
      <w:r>
        <w:rPr>
          <w:rFonts w:ascii="Times New Roman" w:cs="Times New Roman" w:eastAsia="Times New Roman" w:hAnsi="Times New Roman"/>
          <w:b w:val="false"/>
          <w:bCs w:val="false"/>
          <w:i w:val="false"/>
          <w:iCs w:val="false"/>
          <w:sz w:val="24"/>
          <w:szCs w:val="24"/>
        </w:rPr>
        <w:t xml:space="preserve">Analyses were conducted in Python 3.13 using geopandas and rasterstats (spatial processing and zonal statistics), libpysal, esda, and spreg (spatial weights, Moran's </w:t>
      </w:r>
      <w:r>
        <w:rPr>
          <w:rFonts w:ascii="Times New Roman" w:cs="Times New Roman" w:eastAsia="Times New Roman" w:hAnsi="Times New Roman"/>
          <w:b w:val="false"/>
          <w:bCs w:val="false"/>
          <w:i/>
          <w:iCs/>
          <w:sz w:val="24"/>
          <w:szCs w:val="24"/>
        </w:rPr>
        <w:t xml:space="preserve">I</w:t>
      </w:r>
      <w:r>
        <w:rPr>
          <w:rFonts w:ascii="Times New Roman" w:cs="Times New Roman" w:eastAsia="Times New Roman" w:hAnsi="Times New Roman"/>
          <w:b w:val="false"/>
          <w:bCs w:val="false"/>
          <w:i w:val="false"/>
          <w:iCs w:val="false"/>
          <w:sz w:val="24"/>
          <w:szCs w:val="24"/>
        </w:rPr>
        <w:t xml:space="preserve">, spatial econometric models), statsmodels (negative binomial regression), and PyMC with ArviZ (Bayesian estimation and model comparison). Analysis code and the assembled covariate data are openly available in the project repository.</w:t>
      </w:r>
    </w:p>
    <w:p>
      <w:pPr>
        <w:spacing w:before="240" w:line="480"/>
        <w:jc w:val="center"/>
      </w:pPr>
      <w:r>
        <w:rPr>
          <w:rFonts w:ascii="Times New Roman" w:cs="Times New Roman" w:eastAsia="Times New Roman" w:hAnsi="Times New Roman"/>
          <w:b/>
          <w:bCs/>
          <w:sz w:val="24"/>
          <w:szCs w:val="24"/>
        </w:rPr>
        <w:t xml:space="preserve">Table M1</w:t>
      </w:r>
    </w:p>
    <w:p>
      <w:pPr>
        <w:spacing w:line="480"/>
        <w:jc w:val="center"/>
      </w:pPr>
      <w:r>
        <w:rPr>
          <w:rFonts w:ascii="Times New Roman" w:cs="Times New Roman" w:eastAsia="Times New Roman" w:hAnsi="Times New Roman"/>
          <w:i/>
          <w:iCs/>
          <w:sz w:val="24"/>
          <w:szCs w:val="24"/>
        </w:rPr>
        <w:t xml:space="preserve">Data Sources and State-Level Covariates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1500"/>
        <w:gridCol w:w="2600"/>
        <w:gridCol w:w="2760"/>
        <w:gridCol w:w="2500"/>
      </w:tblGrid>
      <w:tr>
        <w:trPr>
          <w:tblHeader/>
        </w:trPr>
        <w:tc>
          <w:tcPr>
            <w:tcW w:type="dxa" w:w="15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Domain</w:t>
            </w:r>
          </w:p>
        </w:tc>
        <w:tc>
          <w:tcPr>
            <w:tcW w:type="dxa" w:w="26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iCs/>
                <w:sz w:val="24"/>
                <w:szCs w:val="24"/>
              </w:rPr>
              <w:t xml:space="preserve">Variable(s)</w:t>
            </w:r>
          </w:p>
        </w:tc>
        <w:tc>
          <w:tcPr>
            <w:tcW w:type="dxa" w:w="276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iCs/>
                <w:sz w:val="24"/>
                <w:szCs w:val="24"/>
              </w:rPr>
              <w:t xml:space="preserve">Source</w:t>
            </w:r>
          </w:p>
        </w:tc>
        <w:tc>
          <w:tcPr>
            <w:tcW w:type="dxa" w:w="2500"/>
            <w:tcBorders>
              <w:top w:val="none" w:color="FFFFFF" w:sz="0"/>
              <w:left w:val="none" w:color="FFFFFF" w:sz="0"/>
              <w:bottom w:val="single" w:color="000000" w:sz="4"/>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iCs/>
                <w:sz w:val="24"/>
                <w:szCs w:val="24"/>
              </w:rPr>
              <w:t xml:space="preserve">Processing</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Outcome</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Suspected, confirmed, fatal cases</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NCDC weekly reports (BioDivHealth, CC0)</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Weekly → cumulative state totals</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Demography</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Population, density</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WorldPop v2.0</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Admin-1 table; density = pop ÷ area</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Climate</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Temperature, rainfall, seasonality</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WorldClim 2.1 (5 arc-min)</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Zonal means over state polygons</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Deprivation</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MPI, poverty headcount</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OPHI subnational MPI (MICS 2021), via HDX</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State table</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Health system</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Facilities per 100,000</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HDX health-facility registry</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Count ÷ population</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Reservoir</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iCs/>
                <w:sz w:val="24"/>
                <w:szCs w:val="24"/>
              </w:rPr>
              <w:t xml:space="preserve">Mastomys</w:t>
            </w:r>
            <w:r>
              <w:rPr>
                <w:rFonts w:ascii="Times New Roman" w:cs="Times New Roman" w:eastAsia="Times New Roman" w:hAnsi="Times New Roman"/>
                <w:b w:val="false"/>
                <w:bCs w:val="false"/>
                <w:i w:val="false"/>
                <w:iCs w:val="false"/>
                <w:sz w:val="24"/>
                <w:szCs w:val="24"/>
              </w:rPr>
              <w:t xml:space="preserve"> occurrences</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GBIF</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Point-in-polygon counts</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Geography</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Latitude, lab distance</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Natural Earth admin-1</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Centroids; nearest-lab distance</w:t>
            </w:r>
          </w:p>
        </w:tc>
      </w:tr>
      <w:tr>
        <w:tc>
          <w:tcPr>
            <w:tcW w:type="dxa" w:w="1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Surveillance</w:t>
            </w:r>
          </w:p>
        </w:tc>
        <w:tc>
          <w:tcPr>
            <w:tcW w:type="dxa" w:w="26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Suspected-case volume</w:t>
            </w:r>
          </w:p>
        </w:tc>
        <w:tc>
          <w:tcPr>
            <w:tcW w:type="dxa" w:w="27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NCDC weekly reports</w:t>
            </w:r>
          </w:p>
        </w:tc>
        <w:tc>
          <w:tcPr>
            <w:tcW w:type="dxa" w:w="250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before="20" w:line="240"/>
              <w:jc w:val="left"/>
            </w:pPr>
            <w:r>
              <w:rPr>
                <w:rFonts w:ascii="Times New Roman" w:cs="Times New Roman" w:eastAsia="Times New Roman" w:hAnsi="Times New Roman"/>
                <w:b w:val="false"/>
                <w:bCs w:val="false"/>
                <w:i w:val="false"/>
                <w:iCs w:val="false"/>
                <w:sz w:val="24"/>
                <w:szCs w:val="24"/>
              </w:rPr>
              <w:t xml:space="preserve">log(1 + suspected)</w:t>
            </w:r>
          </w:p>
        </w:tc>
      </w:tr>
    </w:tbl>
    <w:p>
      <w:pPr>
        <w:spacing w:before="60" w:line="240"/>
        <w:jc w:val="center"/>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MPI = Multidimensional Poverty Index; HDX = Humanitarian Data Exchange; GBIF = Global Biodiversity Information Facility; NCDC = Nigeria Centre for Disease Control and Prevention. All covariates were resolved to the 37 first-order units (36 states and the Federal Capital Territory).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jc w:val="center"/>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Lassa spatial analysis</dc:creator>
  <cp:lastModifiedBy>Un-named</cp:lastModifiedBy>
  <cp:revision>1</cp:revision>
  <dcterms:created xsi:type="dcterms:W3CDTF">2026-11-01T21:18:40.659Z</dcterms:created>
  <dcterms:modified xsi:type="dcterms:W3CDTF">2026-11-01T21:18:40.674Z</dcterms:modified>
</cp:coreProperties>
</file>

<file path=docProps/custom.xml><?xml version="1.0" encoding="utf-8"?>
<Properties xmlns="http://schemas.openxmlformats.org/officeDocument/2006/custom-properties" xmlns:vt="http://schemas.openxmlformats.org/officeDocument/2006/docPropsVTypes"/>
</file>