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CRA-SME TOOLKIT v1.0</w:t>
      </w:r>
    </w:p>
    <w:p>
      <w:pPr>
        <w:pStyle w:val="Subtitle"/>
      </w:pPr>
      <w:r>
        <w:t>Practical implementation playbook for manufacturers of products with digital elements</w:t>
      </w:r>
    </w:p>
    <w:p>
      <w:r>
        <w:t>Version 1.0  |  17 October 2026  |  Reusable SME pilot edition</w:t>
      </w:r>
    </w:p>
    <w:p>
      <w:r>
        <w:t>Use this toolkit to plan, implement, test, document and monitor product cybersecurity obligations. It is not a certification scheme or legal opinion. Each product and manufacturer role requires a documented applicability decision.</w:t>
      </w:r>
    </w:p>
    <w:p>
      <w:pPr>
        <w:pStyle w:val="Heading1"/>
      </w:pPr>
      <w:r>
        <w:t>1 | Regulatory baseline</w:t>
      </w:r>
    </w:p>
    <w:p>
      <w:r>
        <w:t>CRA reporting obligations under Article 14 apply from 11 September 2026. Main requirements apply from 11 December 2027. Manufacturers must distinguish reportability from product conformity; some products placed on the market earlier have transitional treatment, but reporting extends to products made available on the EU market. Consult the current legal text and Commission guidance.</w:t>
      </w:r>
    </w:p>
    <w:p>
      <w:pPr>
        <w:pStyle w:val="Heading1"/>
      </w:pPr>
      <w:r>
        <w:t>2 | Decide whether CRA applies</w:t>
      </w:r>
    </w:p>
    <w:p>
      <w:r>
        <w:t>Step A: Describe the product, intended purpose, software/hardware, embedded/remote processing elements and EU placing-on-market model. Step B: determine economic operator role and any exclusions. Step C: assess Annex III/IV categories and whether internal control, notified-body or another required conformity route applies. Step D: record evidence and obtain responsible review. Avoid assuming that every SME product qualifies for self-assessment.</w:t>
      </w:r>
    </w:p>
    <w:p>
      <w:pPr>
        <w:pStyle w:val="Heading1"/>
      </w:pPr>
      <w:r>
        <w:t>3 | Roles and release gates</w:t>
      </w:r>
    </w:p>
    <w:p>
      <w:r>
        <w:t>Assign one accountable product owner, security engineer, development lead, vulnerability response lead and person authorized to make CRA reports. An individual may cover several roles in a small enterprise. Release requires reviewed risk assessment, risk-appropriate security controls, documented tests, vulnerability handling, support period, user information and completed applicable conformity assessment.</w:t>
      </w:r>
    </w:p>
    <w:p>
      <w:pPr>
        <w:pStyle w:val="Heading1"/>
      </w:pPr>
      <w:r>
        <w:t>4 | Twelve-week implementation sequence</w:t>
      </w:r>
    </w:p>
    <w:p>
      <w:r>
        <w:t>Suggested SME pilot schedule; this is not a legal deadline. Workstreams may overlap. Reuse shared governance but maintain product-level evidence.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When</w:t>
            </w:r>
          </w:p>
        </w:tc>
        <w:tc>
          <w:tcPr>
            <w:tcW w:type="dxa" w:w="3312"/>
          </w:tcPr>
          <w:p>
            <w:r>
              <w:t>Actions and exit evidence</w:t>
            </w:r>
          </w:p>
        </w:tc>
        <w:tc>
          <w:tcPr>
            <w:tcW w:type="dxa" w:w="3312"/>
          </w:tcPr>
          <w:p>
            <w:r>
              <w:t>Accountable</w:t>
            </w:r>
          </w:p>
        </w:tc>
      </w:tr>
      <w:tr>
        <w:tc>
          <w:tcPr>
            <w:tcW w:type="dxa" w:w="3312"/>
          </w:tcPr>
          <w:p>
            <w:r>
              <w:t>Week 1</w:t>
            </w:r>
          </w:p>
        </w:tc>
        <w:tc>
          <w:tcPr>
            <w:tcW w:type="dxa" w:w="3312"/>
          </w:tcPr>
          <w:p>
            <w:r>
              <w:t>Product register, roles, scope memo, applicable obligations</w:t>
            </w:r>
          </w:p>
        </w:tc>
        <w:tc>
          <w:tcPr>
            <w:tcW w:type="dxa" w:w="3312"/>
          </w:tcPr>
          <w:p>
            <w:r>
              <w:t>Product owner</w:t>
            </w:r>
          </w:p>
        </w:tc>
      </w:tr>
      <w:tr>
        <w:tc>
          <w:tcPr>
            <w:tcW w:type="dxa" w:w="3312"/>
          </w:tcPr>
          <w:p>
            <w:r>
              <w:t>Week 2</w:t>
            </w:r>
          </w:p>
        </w:tc>
        <w:tc>
          <w:tcPr>
            <w:tcW w:type="dxa" w:w="3312"/>
          </w:tcPr>
          <w:p>
            <w:r>
              <w:t>Data-flow diagram, trust boundaries, SBOM</w:t>
            </w:r>
          </w:p>
        </w:tc>
        <w:tc>
          <w:tcPr>
            <w:tcW w:type="dxa" w:w="3312"/>
          </w:tcPr>
          <w:p>
            <w:r>
              <w:t>Engineering</w:t>
            </w:r>
          </w:p>
        </w:tc>
      </w:tr>
      <w:tr>
        <w:tc>
          <w:tcPr>
            <w:tcW w:type="dxa" w:w="3312"/>
          </w:tcPr>
          <w:p>
            <w:r>
              <w:t>Week 3</w:t>
            </w:r>
          </w:p>
        </w:tc>
        <w:tc>
          <w:tcPr>
            <w:tcW w:type="dxa" w:w="3312"/>
          </w:tcPr>
          <w:p>
            <w:r>
              <w:t>Abuse cases, attack paths, misuse and security assumptions</w:t>
            </w:r>
          </w:p>
        </w:tc>
        <w:tc>
          <w:tcPr>
            <w:tcW w:type="dxa" w:w="3312"/>
          </w:tcPr>
          <w:p>
            <w:r>
              <w:t>Security lead</w:t>
            </w:r>
          </w:p>
        </w:tc>
      </w:tr>
      <w:tr>
        <w:tc>
          <w:tcPr>
            <w:tcW w:type="dxa" w:w="3312"/>
          </w:tcPr>
          <w:p>
            <w:r>
              <w:t>Week 4</w:t>
            </w:r>
          </w:p>
        </w:tc>
        <w:tc>
          <w:tcPr>
            <w:tcW w:type="dxa" w:w="3312"/>
          </w:tcPr>
          <w:p>
            <w:r>
              <w:t>Likelihood/impact/exposure, risk treatment, acceptance</w:t>
            </w:r>
          </w:p>
        </w:tc>
        <w:tc>
          <w:tcPr>
            <w:tcW w:type="dxa" w:w="3312"/>
          </w:tcPr>
          <w:p>
            <w:r>
              <w:t>Product owner + security</w:t>
            </w:r>
          </w:p>
        </w:tc>
      </w:tr>
      <w:tr>
        <w:tc>
          <w:tcPr>
            <w:tcW w:type="dxa" w:w="3312"/>
          </w:tcPr>
          <w:p>
            <w:r>
              <w:t>Week 5</w:t>
            </w:r>
          </w:p>
        </w:tc>
        <w:tc>
          <w:tcPr>
            <w:tcW w:type="dxa" w:w="3312"/>
          </w:tcPr>
          <w:p>
            <w:r>
              <w:t>Security requirements, architecture and CI/CD checks</w:t>
            </w:r>
          </w:p>
        </w:tc>
        <w:tc>
          <w:tcPr>
            <w:tcW w:type="dxa" w:w="3312"/>
          </w:tcPr>
          <w:p>
            <w:r>
              <w:t>Engineering</w:t>
            </w:r>
          </w:p>
        </w:tc>
      </w:tr>
      <w:tr>
        <w:tc>
          <w:tcPr>
            <w:tcW w:type="dxa" w:w="3312"/>
          </w:tcPr>
          <w:p>
            <w:r>
              <w:t>Week 6</w:t>
            </w:r>
          </w:p>
        </w:tc>
        <w:tc>
          <w:tcPr>
            <w:tcW w:type="dxa" w:w="3312"/>
          </w:tcPr>
          <w:p>
            <w:r>
              <w:t>SAST/SCA/DAST where relevant, manual review, retest</w:t>
            </w:r>
          </w:p>
        </w:tc>
        <w:tc>
          <w:tcPr>
            <w:tcW w:type="dxa" w:w="3312"/>
          </w:tcPr>
          <w:p>
            <w:r>
              <w:t>Security + QA</w:t>
            </w:r>
          </w:p>
        </w:tc>
      </w:tr>
      <w:tr>
        <w:tc>
          <w:tcPr>
            <w:tcW w:type="dxa" w:w="3312"/>
          </w:tcPr>
          <w:p>
            <w:r>
              <w:t>Week 7</w:t>
            </w:r>
          </w:p>
        </w:tc>
        <w:tc>
          <w:tcPr>
            <w:tcW w:type="dxa" w:w="3312"/>
          </w:tcPr>
          <w:p>
            <w:r>
              <w:t>CVD intake, triage, monitoring, patch and disclosure</w:t>
            </w:r>
          </w:p>
        </w:tc>
        <w:tc>
          <w:tcPr>
            <w:tcW w:type="dxa" w:w="3312"/>
          </w:tcPr>
          <w:p>
            <w:r>
              <w:t>PSIRT lead</w:t>
            </w:r>
          </w:p>
        </w:tc>
      </w:tr>
      <w:tr>
        <w:tc>
          <w:tcPr>
            <w:tcW w:type="dxa" w:w="3312"/>
          </w:tcPr>
          <w:p>
            <w:r>
              <w:t>Weeks 8–12</w:t>
            </w:r>
          </w:p>
        </w:tc>
        <w:tc>
          <w:tcPr>
            <w:tcW w:type="dxa" w:w="3312"/>
          </w:tcPr>
          <w:p>
            <w:r>
              <w:t>Annex II and VII documentation, applicable assessment</w:t>
            </w:r>
          </w:p>
        </w:tc>
        <w:tc>
          <w:tcPr>
            <w:tcW w:type="dxa" w:w="3312"/>
          </w:tcPr>
          <w:p>
            <w:r>
              <w:t>Compliance lead</w:t>
            </w:r>
          </w:p>
        </w:tc>
      </w:tr>
      <w:tr>
        <w:tc>
          <w:tcPr>
            <w:tcW w:type="dxa" w:w="3312"/>
          </w:tcPr>
          <w:p>
            <w:r>
              <w:t>Ongoing</w:t>
            </w:r>
          </w:p>
        </w:tc>
        <w:tc>
          <w:tcPr>
            <w:tcW w:type="dxa" w:w="3312"/>
          </w:tcPr>
          <w:p>
            <w:r>
              <w:t>Support period, updates, SBOM refresh and monitoring</w:t>
            </w:r>
          </w:p>
        </w:tc>
        <w:tc>
          <w:tcPr>
            <w:tcW w:type="dxa" w:w="3312"/>
          </w:tcPr>
          <w:p>
            <w:r>
              <w:t>Product owner</w:t>
            </w:r>
          </w:p>
        </w:tc>
      </w:tr>
    </w:tbl>
    <w:p>
      <w:pPr>
        <w:pStyle w:val="Heading1"/>
      </w:pPr>
      <w:r>
        <w:t>5 | How to use the workbook</w:t>
      </w:r>
    </w:p>
    <w:p>
      <w:r>
        <w:t>START HERE provides the method; Products holds the in-scope register; Risk Register calculates inherent/residual scores and expected losses; CRA Evidence Matrix maps work to regulatory references; Readiness provides a weighted maturity snapshot. Blue cells are editable. Formula cells are calculated. Enter verified effectiveness as 0–1 (for example 0.4); avoid claiming that heuristic scores satisfy the CRA.</w:t>
      </w:r>
    </w:p>
    <w:p>
      <w:pPr>
        <w:pStyle w:val="Heading1"/>
      </w:pPr>
      <w:r>
        <w:t>6 | Threat and risk method</w:t>
      </w:r>
    </w:p>
    <w:p>
      <w:r>
        <w:t>For each product, identify assets, threats, entry points, foreseeable misuse, operating environments, affected stakeholders and risk treatment. Rank likelihood, impact and exposure on documented 1–5 scales. Inherent score = L × I × E. Residual score = ROUND(inherent × (1 – verified effectiveness)). Qualify the last term through retesting or assurance evidence; where uncertain, leave effectiveness blank. Optional annual expected loss (ALE) = annual event probability × estimated loss per incident. These are internal management models only.</w:t>
      </w:r>
    </w:p>
    <w:p>
      <w:pPr>
        <w:pStyle w:val="Heading1"/>
      </w:pPr>
      <w:r>
        <w:t>7 | Technical security gates</w:t>
      </w:r>
    </w:p>
    <w:p>
      <w:r>
        <w:t>At every release: update product SBOM, identify known vulnerabilities, run code and secret scans where relevant, scan deployed artifacts, test authentication and update mechanism, investigate exploitable findings, and store tool versions/results. Critical findings must be assessed in product context. Records should connect risk ID → requirement → control → implementation → test result → residual decision.</w:t>
      </w:r>
    </w:p>
    <w:p>
      <w:pPr>
        <w:pStyle w:val="Heading1"/>
      </w:pPr>
      <w:r>
        <w:t>8 | Article 14 operational playbook</w:t>
      </w:r>
    </w:p>
    <w:p>
      <w:r>
        <w:t>When a potential actively exploited vulnerability or severe incident affecting product security is identified: (1) record UTC awareness time and preserve evidence; (2) immediately assess reportability and determine affected products; (3) when reportable, submit early warning without undue delay and within 24 hours; (4) send further notification within 72 hours; (5) issue final vulnerability report no later than 14 days after a corrective or mitigating measure is available, or severe-incident final report within one month after the 72-hour notification; (6) manage user mitigation, fixes and public advisory separately. Submit through ENISA CRA Single Reporting Platform; preserve receipts. Do not delay early warning while waiting for forensic certainty. See templates/Incident-Reporting-Checklist.md.</w:t>
      </w:r>
    </w:p>
    <w:p>
      <w:pPr>
        <w:pStyle w:val="Heading1"/>
      </w:pPr>
      <w:r>
        <w:t>9 | Conformity and technical documentation</w:t>
      </w:r>
    </w:p>
    <w:p>
      <w:r>
        <w:t>Use Annex VII technical-file index and Annex II user-information checklist. Record applicable assessment module and designated independent assessment where required. Collect product description, architectural designs, development and production processes, vulnerability handling, security risk assessment, test evidence, used standards/specifications and EU declaration. A scanner report or maturity score is not a substitute for conformity assessment.</w:t>
      </w:r>
    </w:p>
    <w:p>
      <w:pPr>
        <w:pStyle w:val="Heading1"/>
      </w:pPr>
      <w:r>
        <w:t>10 | Support period and changes</w:t>
      </w:r>
    </w:p>
    <w:p>
      <w:r>
        <w:t>Document expected product use and justify support period under Article 13, generally at least five years unless expected product use is shorter. Define update channels, signing and rollback controls, maintenance owners, vulnerability intake, and conditions triggering reassessment or substantial modification review.</w:t>
      </w:r>
    </w:p>
    <w:p>
      <w:pPr>
        <w:pStyle w:val="Heading1"/>
      </w:pPr>
      <w:r>
        <w:t>11 | Operating cadence and KPIs</w:t>
      </w:r>
    </w:p>
    <w:p>
      <w:r>
        <w:t>Weekly: review new advisories, component changes and vulnerabilities. Per release: rebuild SBOM, run tests and check unresolved risk. Monthly: management review open remediation and evidence gaps. Quarterly: tabletop reporting drill and traceability sample. Proposed internal KPIs: SBOM coverage, risk-to-evidence completeness, remediation lead time, patch availability, reporting timeliness and support-plan coverage.</w:t>
      </w:r>
    </w:p>
    <w:p>
      <w:pPr>
        <w:pStyle w:val="Heading1"/>
      </w:pPr>
      <w:r>
        <w:t>12 | Pilot acceptance checklist</w:t>
      </w:r>
    </w:p>
    <w:p>
      <w:r>
        <w:t>Before adopting the toolkit for one product, confirm: accountable roles assigned; scope/classification reviewed; threat model present; risk decisions signed; applicable Annex I controls tested; component SBOM produced; coordinated disclosure contact working; Article 14 response drill conducted; technical file reviewed; conformity route resolved; support period justified; releases subject to documented gates.</w:t>
      </w:r>
    </w:p>
    <w:p>
      <w:pPr>
        <w:pStyle w:val="Heading1"/>
      </w:pPr>
      <w:r>
        <w:t>Reference URLs</w:t>
      </w:r>
    </w:p>
    <w:p>
      <w:r>
        <w:t>https://eur-lex.europa.eu/eli/reg/2024/2847/oj/eng</w:t>
      </w:r>
    </w:p>
    <w:p>
      <w:r>
        <w:t>https://digital-strategy.ec.europa.eu/en/policies/cra-summary</w:t>
      </w:r>
    </w:p>
    <w:p>
      <w:r>
        <w:t>https://digital-strategy.ec.europa.eu/en/policies/cra-reporting</w:t>
      </w:r>
    </w:p>
    <w:p>
      <w:r>
        <w:t>https://digital-strategy.ec.europa.eu/en/factpages/cyber-resilience-act-implementation</w:t>
      </w:r>
    </w:p>
    <w:p>
      <w:r>
        <w:t>https://digital-strategy.ec.europa.eu/en/library/commission-publishes-new-guidance-support-timely-cyber-resilience-act-implementation</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CRA-SME Toolkit v1.0 | Adapt for each product | 17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3D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3D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E3D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