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I-way</w:t>
      </w:r>
      <w:r>
        <w:t xml:space="preserve"> </w:t>
      </w:r>
      <w:r>
        <w:t xml:space="preserve">—</w:t>
      </w:r>
      <w:r>
        <w:t xml:space="preserve"> </w:t>
      </w:r>
      <w:r>
        <w:t xml:space="preserve">Business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Business</w:t>
      </w:r>
      <w:r>
        <w:t xml:space="preserve"> </w:t>
      </w:r>
      <w:r>
        <w:t xml:space="preserve">case,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Classification: INTERNAL — CONFIDENTIAL. Not for the public website or any publicly accessible folder.</w:t>
      </w:r>
    </w:p>
    <w:tbl>
      <w:tblPr>
        <w:tblStyle w:val="Table"/>
        <w:tblLook w:firstRow="0" w:lastRow="0" w:firstColumn="0" w:lastColumn="0" w:noHBand="0" w:noVBand="0" w:val="000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W w:w="5000" w:type="pct"/>
        <w:tblLayout w:type="autofit"/>
      </w:tblPr>
      <w:t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Business Requirements Document (BRD)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I-way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 — draft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October 10,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PRD (docs/PRD.md)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Brand Kit, public-experience directive, landing-page prototype, Logistics App Design (Make file) with its embedded proposal, rebuild documentation and style-guide proposal</w:t>
            </w:r>
          </w:p>
        </w:tc>
      </w:tr>
    </w:tbl>
    <w:p>
      <w:pPr>
        <w:pStyle w:val="BodyText"/>
      </w:pPr>
      <w:r>
        <w:t xml:space="preserve">All figures below are either taken from the source material or marked</w:t>
      </w:r>
      <w:r>
        <w:t xml:space="preserve"> </w:t>
      </w:r>
      <w:r>
        <w:rPr>
          <w:bCs/>
          <w:b/>
        </w:rPr>
        <w:t xml:space="preserve">[TBC]</w:t>
      </w:r>
      <w:r>
        <w:t xml:space="preserve">. No financial projections, pricing or dates are invented.</w:t>
      </w:r>
    </w:p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I-way is a connected logistics platform for trucking operations. It joins four applications — a Driver Mobile App, a Carrier Admin Portal, a Fleet Company Portal and an I-way Platform Admin — around one rule: every business function has a single owner, and every other party can only view, submit, request, approve or monitor it.</w:t>
      </w:r>
    </w:p>
    <w:p>
      <w:pPr>
        <w:pStyle w:val="BodyText"/>
      </w:pPr>
      <w:r>
        <w:t xml:space="preserve">It replaces and extends iWay Dispatch v1, a production dispatch and TMS platform whose operation has been hampered by inaccurate settlements, pay-week errors, slow performance and a lack of self-service correction tools, and whose mobile source code no longer exists. A public website under the I-way brand introduces the product and collects early-access interest without disclosing internal strategy or technology.</w:t>
      </w:r>
    </w:p>
    <w:p>
      <w:pPr>
        <w:pStyle w:val="BodyText"/>
      </w:pPr>
      <w:r>
        <w:t xml:space="preserve">The business case rests on four outcomes: dependable money handling (settlements and invoices), faster and safer dispatch, lower compliance risk, and an owned, maintainable platform.</w:t>
      </w:r>
    </w:p>
    <w:bookmarkEnd w:id="20"/>
    <w:bookmarkStart w:id="21" w:name="business-problem-and-opportunity"/>
    <w:p>
      <w:pPr>
        <w:pStyle w:val="Heading1"/>
      </w:pPr>
      <w:r>
        <w:t xml:space="preserve">2. Business problem and opportunity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W w:w="5000" w:type="pct"/>
        <w:tblLayout w:type="autofi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Problem (source: v1 known issues and master requirements)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Business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Settlement and pay-week calculation errors (deductions counted twice, loads in the wrong week, negative or zero amounts)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Payee disputes, manual corrections, financial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self-service tools to edit, void, move or reassign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Dependence on a developer for routine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Slow pages and outages on undersized 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Lost productivity; failure to void an invoice during an 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Mobile apps cannot be maintained (no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 experience frozen; new features 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Carrier-owned drivers and fleet-company drivers are not distinguished; fleet-company business model unsupported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Cannot serve managed-fleet carriers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Unclear permissions between parties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Duplication, disputes, data-exposure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brand-consistent public 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Weak trust and conversion for new prospects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Opportunity.</w:t>
      </w:r>
      <w:r>
        <w:t xml:space="preserve"> </w:t>
      </w:r>
      <w:r>
        <w:t xml:space="preserve">Support two carrier operating models at once — Carrier Fleet and Managed Fleet — on one platform, with auditable money flows and one driver app for every driver.</w:t>
      </w:r>
    </w:p>
    <w:bookmarkEnd w:id="21"/>
    <w:bookmarkStart w:id="22" w:name="business-objectives"/>
    <w:p>
      <w:pPr>
        <w:pStyle w:val="Heading1"/>
      </w:pPr>
      <w:r>
        <w:t xml:space="preserve">3. Business objectives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  <w:tblW w:w="9900" w:type="dxa"/>
      </w:tblPr>
      <w:tblGrid>
        <w:gridCol w:w="1563"/>
        <w:gridCol w:w="2778"/>
        <w:gridCol w:w="2778"/>
        <w:gridCol w:w="2778"/>
      </w:tblGrid>
      <w:tr>
        <w:trPr>
          <w:tblHeader w:val="true"/>
        </w:trPr>
        <w:tc>
          <w:tcPr>
            <w:tcW w:w="1563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778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Objective</w:t>
            </w:r>
          </w:p>
        </w:tc>
        <w:tc>
          <w:tcPr>
            <w:tcW w:w="2778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2778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BO-1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Accurate settlements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Settlement corrections requiring developer action; disputed settlements per pay week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 from v1 history; target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[TBC]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BO-2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Faster dispatch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Time from load creation to driver acceptance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 then target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[TBC]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BO-3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Compliance control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Expired documents on dispatch-eligible drivers and equipment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Zero by rule (BR-020); monitored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BO-4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Faster cash collection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Invoice-to-payment days; invoices without recorded payment status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Baseline from v1 days-to-pay report; target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[TBC]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BO-5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Self-service operations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Share of routine corrections performed by users with audit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[TBC]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BO-6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Early-access demand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Early-access submissions; Get Started click-through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after first measurement period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[TBC]</w:t>
            </w:r>
          </w:p>
        </w:tc>
      </w:tr>
      <w:tr>
        <w:tc>
          <w:tcPr>
            <w:tcW w:w="15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BO-7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Owned platform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Source, repositories, database, domain, store accounts and design files company-owned</w:t>
            </w:r>
          </w:p>
        </w:tc>
        <w:tc>
          <w:tcPr>
            <w:tcW w:w="2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Complete at handover</w:t>
            </w:r>
          </w:p>
        </w:tc>
      </w:tr>
    </w:tbl>
    <w:bookmarkEnd w:id="22"/>
    <w:bookmarkStart w:id="23" w:name="stakeholders"/>
    <w:p>
      <w:pPr>
        <w:pStyle w:val="Heading1"/>
      </w:pPr>
      <w:r>
        <w:t xml:space="preserve">4. Stakeholders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W w:w="5000" w:type="pct"/>
        <w:tblLayout w:type="autofi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Stakeholder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Executive sponsor / 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Strategy, scope, release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Operational control, compliance, profitability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Dispatchers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Daily load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Invoices, factoring, settlements,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Drivers (carrier, fleet, owner-operator)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Simple execution, accurate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 companies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 control, driver pay, fair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I-way platform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Onboarding, support,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Brokers, shippers, receivers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Timely notices, documents, tracking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Factoring companies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Invoice submission, remittance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Design and engineering vendors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Clear scope and 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Legal and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Privacy, terms, data handling, regulated documents</w:t>
            </w:r>
          </w:p>
        </w:tc>
      </w:tr>
    </w:tbl>
    <w:p>
      <w:pPr>
        <w:pStyle w:val="BodyText"/>
      </w:pPr>
      <w:r>
        <w:t xml:space="preserve">Named participants in the supplied material include the product-strategy attendees and the documentation author; sign-off names are to be completed in §14.</w:t>
      </w:r>
    </w:p>
    <w:bookmarkEnd w:id="23"/>
    <w:bookmarkStart w:id="28" w:name="scope"/>
    <w:p>
      <w:pPr>
        <w:pStyle w:val="Heading1"/>
      </w:pPr>
      <w:r>
        <w:t xml:space="preserve">5. Scope</w:t>
      </w:r>
    </w:p>
    <w:bookmarkStart w:id="24" w:name="in-scope"/>
    <w:p>
      <w:pPr>
        <w:pStyle w:val="Heading2"/>
      </w:pPr>
      <w:r>
        <w:t xml:space="preserve">5.1 In scope</w:t>
      </w:r>
    </w:p>
    <w:p>
      <w:pPr>
        <w:numPr>
          <w:ilvl w:val="0"/>
          <w:numId w:val="1001"/>
        </w:numPr>
        <w:pStyle w:val="Compact"/>
      </w:pPr>
      <w:r>
        <w:t xml:space="preserve">Public website with early-access capture and sign-in chooser (R0).</w:t>
      </w:r>
    </w:p>
    <w:p>
      <w:pPr>
        <w:numPr>
          <w:ilvl w:val="0"/>
          <w:numId w:val="1001"/>
        </w:numPr>
        <w:pStyle w:val="Compact"/>
      </w:pPr>
      <w:r>
        <w:t xml:space="preserve">Driver Mobile App and Carrier Admin Portal for the driver–dispatcher relationship (R1: onboarding, equipment, customers/brokers, load creation and dispatch, execution, documents, compliance, notifications, audit).</w:t>
      </w:r>
    </w:p>
    <w:p>
      <w:pPr>
        <w:numPr>
          <w:ilvl w:val="0"/>
          <w:numId w:val="1001"/>
        </w:numPr>
        <w:pStyle w:val="Compact"/>
      </w:pPr>
      <w:r>
        <w:t xml:space="preserve">Money: invoicing, factoring submission, payment tracking, pay weeks, settlements, escrow, driver earnings, reports (R2).</w:t>
      </w:r>
    </w:p>
    <w:p>
      <w:pPr>
        <w:numPr>
          <w:ilvl w:val="0"/>
          <w:numId w:val="1001"/>
        </w:numPr>
        <w:pStyle w:val="Compact"/>
      </w:pPr>
      <w:r>
        <w:t xml:space="preserve">Fleet Company Portal, management agreements, fleet settlements, driver pay and fleet escrow (R3).</w:t>
      </w:r>
    </w:p>
    <w:p>
      <w:pPr>
        <w:numPr>
          <w:ilvl w:val="0"/>
          <w:numId w:val="1001"/>
        </w:numPr>
        <w:pStyle w:val="Compact"/>
      </w:pPr>
      <w:r>
        <w:t xml:space="preserve">Full Platform Admin: carrier lifecycle, cases, billing, risk, configuration, payment monitoring (R4).</w:t>
      </w:r>
    </w:p>
    <w:p>
      <w:pPr>
        <w:numPr>
          <w:ilvl w:val="0"/>
          <w:numId w:val="1001"/>
        </w:numPr>
        <w:pStyle w:val="Compact"/>
      </w:pPr>
      <w:r>
        <w:t xml:space="preserve">Migration from iWay Dispatch v1 and company ownership of all assets.</w:t>
      </w:r>
    </w:p>
    <w:bookmarkEnd w:id="24"/>
    <w:bookmarkStart w:id="25" w:name="out-of-scope-for-this-brd"/>
    <w:p>
      <w:pPr>
        <w:pStyle w:val="Heading2"/>
      </w:pPr>
      <w:r>
        <w:t xml:space="preserve">5.2 Out of scope (for this BRD)</w:t>
      </w:r>
    </w:p>
    <w:p>
      <w:pPr>
        <w:pStyle w:val="FirstParagraph"/>
      </w:pPr>
      <w:r>
        <w:t xml:space="preserve">Broker/shipper self-service portal; committed pricing and dates; tax reporting enhancements and expanded carrier performance dashboards (marked</w:t>
      </w:r>
      <w:r>
        <w:t xml:space="preserve"> </w:t>
      </w:r>
      <w:r>
        <w:t xml:space="preserve">“</w:t>
      </w:r>
      <w:r>
        <w:t xml:space="preserve">possibly roadmap</w:t>
      </w:r>
      <w:r>
        <w:t xml:space="preserve">”</w:t>
      </w:r>
      <w:r>
        <w:t xml:space="preserve"> </w:t>
      </w:r>
      <w:r>
        <w:t xml:space="preserve">in the proposal); ELD, fuel-card and accounting integrations beyond scoping; any public disclosure of internal strategy or technology.</w:t>
      </w:r>
    </w:p>
    <w:bookmarkEnd w:id="25"/>
    <w:bookmarkStart w:id="26" w:name="assumptions"/>
    <w:p>
      <w:pPr>
        <w:pStyle w:val="Heading2"/>
      </w:pPr>
      <w:r>
        <w:t xml:space="preserve">5.3 Assumptions</w:t>
      </w:r>
    </w:p>
    <w:p>
      <w:pPr>
        <w:numPr>
          <w:ilvl w:val="0"/>
          <w:numId w:val="1002"/>
        </w:numPr>
        <w:pStyle w:val="Compact"/>
      </w:pPr>
      <w:r>
        <w:t xml:space="preserve">The initial release covers the driver–dispatcher relationship only (October 3, 2026 meeting); the four-app MVP in the master requirements is the longer-term target.</w:t>
      </w:r>
    </w:p>
    <w:p>
      <w:pPr>
        <w:numPr>
          <w:ilvl w:val="0"/>
          <w:numId w:val="1002"/>
        </w:numPr>
        <w:pStyle w:val="Compact"/>
      </w:pPr>
      <w:r>
        <w:t xml:space="preserve">Brand Kit tokens supersede the earlier style-guide proposal.</w:t>
      </w:r>
    </w:p>
    <w:p>
      <w:pPr>
        <w:numPr>
          <w:ilvl w:val="0"/>
          <w:numId w:val="1002"/>
        </w:numPr>
        <w:pStyle w:val="Compact"/>
      </w:pPr>
      <w:r>
        <w:t xml:space="preserve">The platform stack is chosen through ADRs; v1 stack (Angular, .NET, SQL Server) is not binding.</w:t>
      </w:r>
    </w:p>
    <w:p>
      <w:pPr>
        <w:numPr>
          <w:ilvl w:val="0"/>
          <w:numId w:val="1002"/>
        </w:numPr>
        <w:pStyle w:val="Compact"/>
      </w:pPr>
      <w:r>
        <w:t xml:space="preserve">Brokers, shippers, receivers, factoring companies and truck owners are records (and recipients of notices), not logged-in users, until a later release.</w:t>
      </w:r>
    </w:p>
    <w:bookmarkEnd w:id="26"/>
    <w:bookmarkStart w:id="27" w:name="constraints"/>
    <w:p>
      <w:pPr>
        <w:pStyle w:val="Heading2"/>
      </w:pPr>
      <w:r>
        <w:t xml:space="preserve">5.4 Constraints</w:t>
      </w:r>
    </w:p>
    <w:p>
      <w:pPr>
        <w:numPr>
          <w:ilvl w:val="0"/>
          <w:numId w:val="1003"/>
        </w:numPr>
        <w:pStyle w:val="Compact"/>
      </w:pPr>
      <w:r>
        <w:t xml:space="preserve">Tenant isolation between carriers and between fleet companies is mandatory (BR-010, BR-011).</w:t>
      </w:r>
    </w:p>
    <w:p>
      <w:pPr>
        <w:numPr>
          <w:ilvl w:val="0"/>
          <w:numId w:val="1003"/>
        </w:numPr>
        <w:pStyle w:val="Compact"/>
      </w:pPr>
      <w:r>
        <w:t xml:space="preserve">Sensitive data (SSN, ID, bank, tax) requires legal review and strict handling before collection.</w:t>
      </w:r>
    </w:p>
    <w:p>
      <w:pPr>
        <w:numPr>
          <w:ilvl w:val="0"/>
          <w:numId w:val="1003"/>
        </w:numPr>
        <w:pStyle w:val="Compact"/>
      </w:pPr>
      <w:r>
        <w:t xml:space="preserve">The public site must keep a strict information boundary (directive §1).</w:t>
      </w:r>
    </w:p>
    <w:p>
      <w:pPr>
        <w:numPr>
          <w:ilvl w:val="0"/>
          <w:numId w:val="1003"/>
        </w:numPr>
        <w:pStyle w:val="Compact"/>
      </w:pPr>
      <w:r>
        <w:t xml:space="preserve">The earlier five-month estimate does not apply to this scope.</w:t>
      </w:r>
    </w:p>
    <w:bookmarkEnd w:id="27"/>
    <w:bookmarkEnd w:id="28"/>
    <w:bookmarkStart w:id="29" w:name="business-requirements"/>
    <w:p>
      <w:pPr>
        <w:pStyle w:val="Heading1"/>
      </w:pPr>
      <w:r>
        <w:t xml:space="preserve">6. Business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  <w:tblW w:w="9900" w:type="dxa"/>
      </w:tblPr>
      <w:tblGrid>
        <w:gridCol w:w="979"/>
        <w:gridCol w:w="5439"/>
        <w:gridCol w:w="870"/>
        <w:gridCol w:w="870"/>
        <w:gridCol w:w="1740"/>
      </w:tblGrid>
      <w:tr>
        <w:trPr>
          <w:tblHeader w:val="true"/>
        </w:trPr>
        <w:tc>
          <w:tcPr>
            <w:tcW w:w="979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5439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Business requirement</w:t>
            </w:r>
          </w:p>
        </w:tc>
        <w:tc>
          <w:tcPr>
            <w:tcW w:w="870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870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Release</w:t>
            </w:r>
          </w:p>
        </w:tc>
        <w:tc>
          <w:tcPr>
            <w:tcW w:w="1740" w:type="dxa"/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Traces to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BRQ-01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business shall present I-way publicly with a credible, brand-consistent website that converts visitors to early-access leads without revealing proprietary strategy, algorithms or architecture.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R0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PRD §13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BRQ-02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let a carrier onboard, approve and manage its own drivers, trucks, owners, brokers, customers and factoring companies.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FR-CAR-009 to 016, 019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BRQ-03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let carriers create, assign, dispatch, track, edit, void and complete loads, with multi-stop support.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FR-CAR-002 to 007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BRQ-04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give every driver one mobile app to accept loads, confirm stops with location assistance, capture signed BOL/POD, report exceptions and keep documents valid.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FR-DRV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BRQ-05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carrier shall hold final authority over dispatch eligibility and compliance for everything operating under its authority.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BR-005, BR-020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BRQ-06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Brokers shall be notified by email on pickup and delivery and receive driver-captured documents, and may receive a live tracking link.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FR-CAR-004, 008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BRQ-07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produce accurate, auditable driver and owner settlements by pay week, including escrow, with preview, approval, PDF statements and audited un-approval.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FR-CAR-021, 022, §12.4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BRQ-08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generate invoices from completed loads, assemble the invoice packet, submit to broker or factoring company, and track payment (manual and integrated).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FR-CAR-023, 024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BRQ-09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Drivers shall see their earnings and settlement history with PDF statements appropriate to their driver type.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FR-DRV-019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BRQ-10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support managed fleets: fleet companies, management agreements, carrier-calculated fleet settlements, fleet-controlled driver pay and escrow ledgers.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FR-CAR-026, 027, FR-FLT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BRQ-11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I-way staff shall onboard and support carriers with governed, audited cross-tenant visibility and no carrier dispatch authority.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 / R4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FR-ADM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BRQ-12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Every financial, compliance, dispatch, access and status-changing action shall be auditable.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BR-012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BRQ-13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business shall own the source code, repositories, database, domain, app-store accounts, design files and secrets.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PRD §15, §17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BRQ-14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platform shall meet agreed performance, availability and backup targets.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PRD §15</w:t>
            </w:r>
          </w:p>
        </w:tc>
      </w:tr>
      <w:tr>
        <w:tc>
          <w:tcPr>
            <w:tcW w:w="9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BRQ-15</w:t>
            </w:r>
          </w:p>
        </w:tc>
        <w:tc>
          <w:tcPr>
            <w:tcW w:w="54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business shall migrate from v1 with side-by-side settlement runs before cut-over.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</w:t>
            </w:r>
          </w:p>
        </w:tc>
        <w:tc>
          <w:tcPr>
            <w:tcW w:w="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1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PRD §17</w:t>
            </w:r>
          </w:p>
        </w:tc>
      </w:tr>
    </w:tbl>
    <w:bookmarkEnd w:id="29"/>
    <w:bookmarkStart w:id="30" w:name="business-rules"/>
    <w:p>
      <w:pPr>
        <w:pStyle w:val="Heading1"/>
      </w:pPr>
      <w:r>
        <w:t xml:space="preserve">7. Business rules</w:t>
      </w:r>
    </w:p>
    <w:p>
      <w:pPr>
        <w:pStyle w:val="FirstParagraph"/>
      </w:pPr>
      <w:r>
        <w:t xml:space="preserve">The twenty rules BR-001 to BR-020 in the PRD (§5.5) are binding business rules. In summary: single ownership of each function; carrier authority over loads, dispatch and eligibility; driver execution without commercial control; fleet company control of its own drivers’ employment and pay; carrier calculation of fleet settlements; platform governance without dispatch; explicit equipment ownership; strict tenant and fleet isolation; mandatory audit; deactivate-not-delete; UTC storage with carrier-time-zone evaluation; once-per-week deductions; system-calculated escrow; factored invoices payable to the factor.</w:t>
      </w:r>
    </w:p>
    <w:bookmarkEnd w:id="30"/>
    <w:bookmarkStart w:id="35" w:name="key-business-processes"/>
    <w:p>
      <w:pPr>
        <w:pStyle w:val="Heading1"/>
      </w:pPr>
      <w:r>
        <w:t xml:space="preserve">8. Key business processes</w:t>
      </w:r>
    </w:p>
    <w:bookmarkStart w:id="31" w:name="load-to-cash-carrier-driver"/>
    <w:p>
      <w:pPr>
        <w:pStyle w:val="Heading2"/>
      </w:pPr>
      <w:r>
        <w:t xml:space="preserve">8.1 Load to cash (carrier driver)</w:t>
      </w:r>
    </w:p>
    <w:p>
      <w:pPr>
        <w:pStyle w:val="FirstParagraph"/>
      </w:pPr>
      <w:r>
        <w:t xml:space="preserve">Broker rate confirmation received → load created by dispatcher (customer/broker, stops, rate, billing) → driver and truck assigned → driver accepts → pickup (arrival, BOL signed) → transit → delivery (arrival, receiver signs, POD) → broker notified with documents → carrier reviews and completes → invoice generated and packet assembled → sent to broker or factoring company → payment recorded → load included in the pay week by first pickup date → driver and owner settlements previewed, approved, issued as PDF.</w:t>
      </w:r>
    </w:p>
    <w:bookmarkEnd w:id="31"/>
    <w:bookmarkStart w:id="32" w:name="managed-fleet"/>
    <w:p>
      <w:pPr>
        <w:pStyle w:val="Heading2"/>
      </w:pPr>
      <w:r>
        <w:t xml:space="preserve">8.2 Managed fleet</w:t>
      </w:r>
    </w:p>
    <w:p>
      <w:pPr>
        <w:pStyle w:val="FirstParagraph"/>
      </w:pPr>
      <w:r>
        <w:t xml:space="preserve">Carrier invites and approves fleet company → management agreement signed → fleet adds trucks and drivers → carrier approves them for dispatch → loads run on fleet equipment → carrier calculates fleet settlement (gross, management fee, insurance, fuel advance, escrow, maintenance and other deductions, adjustments) → fleet reviews, acknowledges or disputes → carrier resolves, approves and pays → fleet pays its drivers per its own pay model.</w:t>
      </w:r>
    </w:p>
    <w:bookmarkEnd w:id="32"/>
    <w:bookmarkStart w:id="33" w:name="onboarding"/>
    <w:p>
      <w:pPr>
        <w:pStyle w:val="Heading2"/>
      </w:pPr>
      <w:r>
        <w:t xml:space="preserve">8.3 Onboarding</w:t>
      </w:r>
    </w:p>
    <w:p>
      <w:pPr>
        <w:pStyle w:val="FirstParagraph"/>
      </w:pPr>
      <w:r>
        <w:t xml:space="preserve">Started by manager, dispatcher, fleet company or invitation → details and documents → verification → approval by the responsible owner → active only when all blocking items are valid. Records in Draft or Needs Changes stay invisible to dispatch and accounting.</w:t>
      </w:r>
    </w:p>
    <w:bookmarkEnd w:id="33"/>
    <w:bookmarkStart w:id="34" w:name="compliance"/>
    <w:p>
      <w:pPr>
        <w:pStyle w:val="Heading2"/>
      </w:pPr>
      <w:r>
        <w:t xml:space="preserve">8.4 Compliance</w:t>
      </w:r>
    </w:p>
    <w:p>
      <w:pPr>
        <w:pStyle w:val="FirstParagraph"/>
      </w:pPr>
      <w:r>
        <w:t xml:space="preserve">Documents carry expiry dates; reminders at configurable intervals; expiry or rejection of a critical document sets Dispatch Eligible = No until the carrier clears it.</w:t>
      </w:r>
    </w:p>
    <w:bookmarkEnd w:id="34"/>
    <w:bookmarkEnd w:id="35"/>
    <w:bookmarkStart w:id="36" w:name="commercial-model-business-level"/>
    <w:p>
      <w:pPr>
        <w:pStyle w:val="Heading1"/>
      </w:pPr>
      <w:r>
        <w:t xml:space="preserve">9. Commercial model (business level)</w:t>
      </w:r>
    </w:p>
    <w:p>
      <w:pPr>
        <w:pStyle w:val="FirstParagraph"/>
      </w:pPr>
      <w:r>
        <w:t xml:space="preserve">The material identifies the following commercial elements without values; values are</w:t>
      </w:r>
      <w:r>
        <w:t xml:space="preserve"> </w:t>
      </w:r>
      <w:r>
        <w:rPr>
          <w:bCs/>
          <w:b/>
        </w:rPr>
        <w:t xml:space="preserve">[TBC]</w:t>
      </w:r>
      <w:r>
        <w:t xml:space="preserve"> </w:t>
      </w:r>
      <w:r>
        <w:t xml:space="preserve">and must not appear publicly until approved:</w:t>
      </w:r>
    </w:p>
    <w:p>
      <w:pPr>
        <w:numPr>
          <w:ilvl w:val="0"/>
          <w:numId w:val="1004"/>
        </w:numPr>
        <w:pStyle w:val="Compact"/>
      </w:pPr>
      <w:r>
        <w:t xml:space="preserve">Platform subscription and platform fees (iWay Admin configuration).</w:t>
      </w:r>
    </w:p>
    <w:p>
      <w:pPr>
        <w:numPr>
          <w:ilvl w:val="0"/>
          <w:numId w:val="1004"/>
        </w:numPr>
        <w:pStyle w:val="Compact"/>
      </w:pPr>
      <w:r>
        <w:t xml:space="preserve">Carrier-to-fleet management fee, fee calculation method, settlement frequency, escrow requirement and deduction rules (set per Fleet Management Agreement).</w:t>
      </w:r>
    </w:p>
    <w:p>
      <w:pPr>
        <w:numPr>
          <w:ilvl w:val="0"/>
          <w:numId w:val="1004"/>
        </w:numPr>
        <w:pStyle w:val="Compact"/>
      </w:pPr>
      <w:r>
        <w:t xml:space="preserve">Dispatcher compensation as a percentage of gross load dispatched.</w:t>
      </w:r>
    </w:p>
    <w:p>
      <w:pPr>
        <w:numPr>
          <w:ilvl w:val="0"/>
          <w:numId w:val="1004"/>
        </w:numPr>
        <w:pStyle w:val="Compact"/>
      </w:pPr>
      <w:r>
        <w:t xml:space="preserve">Factoring advance and fee percentages and recourse terms (per factoring company).</w:t>
      </w:r>
    </w:p>
    <w:p>
      <w:pPr>
        <w:numPr>
          <w:ilvl w:val="0"/>
          <w:numId w:val="1004"/>
        </w:numPr>
        <w:pStyle w:val="Compact"/>
      </w:pPr>
      <w:r>
        <w:t xml:space="preserve">Driver and owner revenue shares, admin fee and fixed deductions (per vehicle financial settings).</w:t>
      </w:r>
    </w:p>
    <w:bookmarkEnd w:id="36"/>
    <w:bookmarkStart w:id="37" w:name="compliance-and-risk-considerations"/>
    <w:p>
      <w:pPr>
        <w:pStyle w:val="Heading1"/>
      </w:pPr>
      <w:r>
        <w:t xml:space="preserve">10. Compliance and risk considerations</w:t>
      </w:r>
    </w:p>
    <w:p>
      <w:pPr>
        <w:pStyle w:val="FirstParagraph"/>
      </w:pPr>
      <w:r>
        <w:t xml:space="preserve">The material references CDL, DOT medical certificate, MVR, FMCSA authority checks, annual DOT inspection, Form 2290, W-4/W-9, direct-deposit forms, pre-employment drug screening and Clearinghouse queries. Applicability, retention periods and legal basis for each must be confirmed by counsel before collection.</w:t>
      </w:r>
      <w:r>
        <w:t xml:space="preserve"> </w:t>
      </w:r>
      <w:r>
        <w:rPr>
          <w:bCs/>
          <w:b/>
        </w:rPr>
        <w:t xml:space="preserve">[TBC OQ-08]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W w:w="5000" w:type="pct"/>
        <w:tblLayout w:type="autofi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Business risk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Likelihood / impact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Scope outgrows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High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Phased releases, re-estimation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Financial calculation defects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Fixtures, preview, audited un-approve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exposure across 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Low / Very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Layered authorization and isolation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Loss of control of assets again (as with v1 mobile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Company-owned repos and accounts from day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Public claims exceed 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Verified-capability copy rule; review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Vendor or handover delays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Medium /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Handover checklist tracked to completion</w:t>
            </w:r>
          </w:p>
        </w:tc>
      </w:tr>
    </w:tbl>
    <w:bookmarkEnd w:id="37"/>
    <w:bookmarkStart w:id="38" w:name="success-criteria-and-acceptance"/>
    <w:p>
      <w:pPr>
        <w:pStyle w:val="Heading1"/>
      </w:pPr>
      <w:r>
        <w:t xml:space="preserve">11. Success criteria and acceptance</w:t>
      </w:r>
    </w:p>
    <w:p>
      <w:pPr>
        <w:numPr>
          <w:ilvl w:val="0"/>
          <w:numId w:val="1005"/>
        </w:numPr>
        <w:pStyle w:val="Compact"/>
      </w:pPr>
      <w:r>
        <w:t xml:space="preserve">Public website passes the directive’s acceptance criteria and IP-disclosure review.</w:t>
      </w:r>
    </w:p>
    <w:p>
      <w:pPr>
        <w:numPr>
          <w:ilvl w:val="0"/>
          <w:numId w:val="1005"/>
        </w:numPr>
        <w:pStyle w:val="Compact"/>
      </w:pPr>
      <w:r>
        <w:t xml:space="preserve">A carrier completes onboarding, dispatch and delivery of a load end to end (R1 exit).</w:t>
      </w:r>
    </w:p>
    <w:p>
      <w:pPr>
        <w:numPr>
          <w:ilvl w:val="0"/>
          <w:numId w:val="1005"/>
        </w:numPr>
        <w:pStyle w:val="Compact"/>
      </w:pPr>
      <w:r>
        <w:t xml:space="preserve">Settlement fixtures pass and two parallel pay weeks reconcile with v1 (R2 exit).</w:t>
      </w:r>
    </w:p>
    <w:p>
      <w:pPr>
        <w:numPr>
          <w:ilvl w:val="0"/>
          <w:numId w:val="1005"/>
        </w:numPr>
        <w:pStyle w:val="Compact"/>
      </w:pPr>
      <w:r>
        <w:t xml:space="preserve">A fleet company’s driver completes a load and both settlement layers reconcile (R3 exit).</w:t>
      </w:r>
    </w:p>
    <w:p>
      <w:pPr>
        <w:numPr>
          <w:ilvl w:val="0"/>
          <w:numId w:val="1005"/>
        </w:numPr>
        <w:pStyle w:val="Compact"/>
      </w:pPr>
      <w:r>
        <w:t xml:space="preserve">Operators resolve a case without developer help (R4 exit).</w:t>
      </w:r>
    </w:p>
    <w:bookmarkEnd w:id="38"/>
    <w:bookmarkStart w:id="39" w:name="dependencies"/>
    <w:p>
      <w:pPr>
        <w:pStyle w:val="Heading1"/>
      </w:pPr>
      <w:r>
        <w:t xml:space="preserve">12. Dependencies</w:t>
      </w:r>
    </w:p>
    <w:p>
      <w:pPr>
        <w:pStyle w:val="FirstParagraph"/>
      </w:pPr>
      <w:r>
        <w:t xml:space="preserve">Counsel-approved privacy policy and terms; approved contact details and commercial copy; a sign-up service for early access; selection of maps, messaging, payments and factoring integrations; completion of the v1 handover; engineering ADRs; legal guidance on regulated and sensitive data.</w:t>
      </w:r>
    </w:p>
    <w:bookmarkEnd w:id="39"/>
    <w:bookmarkStart w:id="40" w:name="open-decisions"/>
    <w:p>
      <w:pPr>
        <w:pStyle w:val="Heading1"/>
      </w:pPr>
      <w:r>
        <w:t xml:space="preserve">13. Open decisions</w:t>
      </w:r>
    </w:p>
    <w:p>
      <w:pPr>
        <w:pStyle w:val="FirstParagraph"/>
      </w:pPr>
      <w:r>
        <w:t xml:space="preserve">See PRD §20 (OQ-01 to OQ-12). The three that most affect business commitments are release boundaries (OQ-01), sensitive-data handling (OQ-08) and approved commercial copy (OQ-07).</w:t>
      </w:r>
    </w:p>
    <w:bookmarkEnd w:id="40"/>
    <w:bookmarkStart w:id="41" w:name="approvals"/>
    <w:p>
      <w:pPr>
        <w:pStyle w:val="Heading1"/>
      </w:pPr>
      <w:r>
        <w:t xml:space="preserve">14. Approvals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W w:w="5000" w:type="pct"/>
        <w:tblLayout w:type="autofi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Finance / accounting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Legal /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Marketing / brand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appendix-traceability-to-sources"/>
    <w:p>
      <w:pPr>
        <w:pStyle w:val="Heading1"/>
      </w:pPr>
      <w:r>
        <w:t xml:space="preserve">Appendix — Traceability to sources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CellMar>
          <w:top w:w="50" w:type="dxa"/>
          <w:bottom w:w="50" w:type="dxa"/>
          <w:left w:w="90" w:type="dxa"/>
          <w:right w:w="90" w:type="dxa"/>
        </w:tblCellMar>
        <w:tblW w:w="5000" w:type="pct"/>
        <w:tblLayout w:type="autofi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Business requirement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BRQ-01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Directive §1–§7; Brand Kit; prototype 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BRQ-02 to BRQ-06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requirements §4–§26; Make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BRQ-07 to BRQ-09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requirements §12, §26; Rebuild Documentation (settlements, invoicing); Make refinements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BRQ-10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requirements §16–§17, §27–§35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BRQ-11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requirements §36–§42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BRQ-12 to BRQ-15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 requirements §44, §48; Rebuild Documentation (known issues, architecture, handover)</w:t>
            </w:r>
          </w:p>
        </w:tc>
      </w:tr>
    </w:tbl>
    <w:bookmarkEnd w:id="42"/>
    <w:sect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09244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color w:val="47556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I-way — Business Requirements Document</dc:title>
  <dc:creator/>
  <cp:keywords/>
  <dcterms:created xsi:type="dcterms:W3CDTF">2026-10-10T14:48:58Z</dcterms:created>
  <dcterms:modified xsi:type="dcterms:W3CDTF">2026-10-10T14:48:58Z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10, 2026</vt:lpwstr>
  </property>
  <property fmtid="{D5CDD505-2E9C-101B-9397-08002B2CF9AE}" pid="3" name="subtitle">
    <vt:lpwstr>Business case, scope and requirements</vt:lpwstr>
  </property>
</Properties>
</file>