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I-way</w:t>
      </w:r>
      <w:r>
        <w:t xml:space="preserve"> </w:t>
      </w:r>
      <w:r>
        <w:t xml:space="preserve">—</w:t>
      </w:r>
      <w:r>
        <w:t xml:space="preserve"> </w:t>
      </w:r>
      <w:r>
        <w:t xml:space="preserve">Product</w:t>
      </w:r>
      <w:r>
        <w:t xml:space="preserve"> </w:t>
      </w:r>
      <w:r>
        <w:t xml:space="preserve">Requirements</w:t>
      </w:r>
      <w:r>
        <w:t xml:space="preserve"> </w:t>
      </w:r>
      <w:r>
        <w:t xml:space="preserve">Document</w:t>
      </w:r>
    </w:p>
    <w:p>
      <w:pPr>
        <w:pStyle w:val="Subtitle"/>
      </w:pPr>
      <w:r>
        <w:t xml:space="preserve">Four-application</w:t>
      </w:r>
      <w:r>
        <w:t xml:space="preserve"> </w:t>
      </w:r>
      <w:r>
        <w:t xml:space="preserve">ecosystem</w:t>
      </w:r>
      <w:r>
        <w:t xml:space="preserve"> </w:t>
      </w:r>
      <w:r>
        <w:t xml:space="preserve">and</w:t>
      </w:r>
      <w:r>
        <w:t xml:space="preserve"> </w:t>
      </w:r>
      <w:r>
        <w:t xml:space="preserve">public</w:t>
      </w:r>
      <w:r>
        <w:t xml:space="preserve"> </w:t>
      </w:r>
      <w:r>
        <w:t xml:space="preserve">conversion</w:t>
      </w:r>
      <w:r>
        <w:t xml:space="preserve"> </w:t>
      </w:r>
      <w:r>
        <w:t xml:space="preserve">website</w:t>
      </w:r>
    </w:p>
    <w:p>
      <w:pPr>
        <w:pStyle w:val="Date"/>
      </w:pPr>
      <w:r>
        <w:t xml:space="preserve">October</w:t>
      </w:r>
      <w:r>
        <w:t xml:space="preserve"> </w:t>
      </w:r>
      <w:r>
        <w:t xml:space="preserve">10,</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Classification: INTERNAL — CONFIDENTIAL. Do not publish, deploy or place in any publicly accessible folder.</w:t>
      </w:r>
    </w:p>
    <w:tbl>
      <w:tblPr>
        <w:tblStyle w:val="Table"/>
        <w:tblLook w:firstRow="0" w:lastRow="0" w:firstColumn="0" w:lastColumn="0" w:noHBand="0" w:noVBand="0" w:val="000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W w:w="5000" w:type="pct"/>
        <w:tblLayout w:type="autofit"/>
      </w:tblPr>
      <w:tr>
        <w:tc>
          <w:tcPr>
            <w:shd w:val="clear" w:fill="092448"/>
          </w:tcPr>
          <w:p>
            <w:pPr>
              <w:pStyle w:val="Compact"/>
              <w:jc w:val="left"/>
            </w:pPr>
            <w:r>
              <w:rPr>
                <w:b/>
                <w:color w:val="FFFFFF"/>
                <w:sz w:val="18"/>
              </w:rPr>
              <w:t xml:space="preserve">Document</w:t>
            </w:r>
          </w:p>
        </w:tc>
        <w:tc>
          <w:tcPr>
            <w:shd w:val="clear" w:fill="092448"/>
          </w:tcPr>
          <w:p>
            <w:pPr>
              <w:pStyle w:val="Compact"/>
              <w:jc w:val="left"/>
            </w:pPr>
            <w:r>
              <w:rPr>
                <w:b/>
                <w:color w:val="FFFFFF"/>
                <w:sz w:val="18"/>
              </w:rPr>
              <w:t xml:space="preserve">Product Requirements Document (PRD)</w:t>
            </w:r>
          </w:p>
        </w:tc>
      </w:tr>
      <w:tr>
        <w:tc>
          <w:tcPr/>
          <w:p>
            <w:pPr>
              <w:pStyle w:val="Compact"/>
              <w:jc w:val="left"/>
            </w:pPr>
            <w:r>
              <w:rPr>
                <w:sz w:val="18"/>
              </w:rPr>
              <w:t xml:space="preserve">Product</w:t>
            </w:r>
          </w:p>
        </w:tc>
        <w:tc>
          <w:tcPr/>
          <w:p>
            <w:pPr>
              <w:pStyle w:val="Compact"/>
              <w:jc w:val="left"/>
            </w:pPr>
            <w:r>
              <w:rPr>
                <w:sz w:val="18"/>
              </w:rPr>
              <w:t xml:space="preserve">I-way</w:t>
            </w:r>
          </w:p>
        </w:tc>
      </w:tr>
      <w:tr>
        <w:tc>
          <w:tcPr/>
          <w:p>
            <w:pPr>
              <w:pStyle w:val="Compact"/>
              <w:jc w:val="left"/>
            </w:pPr>
            <w:r>
              <w:rPr>
                <w:sz w:val="18"/>
              </w:rPr>
              <w:t xml:space="preserve">Version</w:t>
            </w:r>
          </w:p>
        </w:tc>
        <w:tc>
          <w:tcPr/>
          <w:p>
            <w:pPr>
              <w:pStyle w:val="Compact"/>
              <w:jc w:val="left"/>
            </w:pPr>
            <w:r>
              <w:rPr>
                <w:sz w:val="18"/>
              </w:rPr>
              <w:t xml:space="preserve">1.0 — draft for review</w:t>
            </w:r>
          </w:p>
        </w:tc>
      </w:tr>
      <w:tr>
        <w:tc>
          <w:tcPr/>
          <w:p>
            <w:pPr>
              <w:pStyle w:val="Compact"/>
              <w:jc w:val="left"/>
            </w:pPr>
            <w:r>
              <w:rPr>
                <w:sz w:val="18"/>
              </w:rPr>
              <w:t xml:space="preserve">Date</w:t>
            </w:r>
          </w:p>
        </w:tc>
        <w:tc>
          <w:tcPr/>
          <w:p>
            <w:pPr>
              <w:pStyle w:val="Compact"/>
              <w:jc w:val="left"/>
            </w:pPr>
            <w:r>
              <w:rPr>
                <w:sz w:val="18"/>
              </w:rPr>
              <w:t xml:space="preserve">October 10, 2026</w:t>
            </w:r>
          </w:p>
        </w:tc>
      </w:tr>
      <w:tr>
        <w:tc>
          <w:tcPr/>
          <w:p>
            <w:pPr>
              <w:pStyle w:val="Compact"/>
              <w:jc w:val="left"/>
            </w:pPr>
            <w:r>
              <w:rPr>
                <w:sz w:val="18"/>
              </w:rPr>
              <w:t xml:space="preserve">Companion</w:t>
            </w:r>
          </w:p>
        </w:tc>
        <w:tc>
          <w:tcPr/>
          <w:p>
            <w:pPr>
              <w:pStyle w:val="Compact"/>
              <w:jc w:val="left"/>
            </w:pPr>
            <w:r>
              <w:rPr>
                <w:sz w:val="18"/>
              </w:rPr>
              <w:t xml:space="preserve">BRD (docs/BRD.md), Architecture (docs/ARCHITECTURE.md)</w:t>
            </w:r>
          </w:p>
        </w:tc>
      </w:tr>
      <w:tr>
        <w:tc>
          <w:tcPr/>
          <w:p>
            <w:pPr>
              <w:pStyle w:val="Compact"/>
              <w:jc w:val="left"/>
            </w:pPr>
            <w:r>
              <w:rPr>
                <w:sz w:val="18"/>
              </w:rPr>
              <w:t xml:space="preserve">Status</w:t>
            </w:r>
          </w:p>
        </w:tc>
        <w:tc>
          <w:tcPr/>
          <w:p>
            <w:pPr>
              <w:pStyle w:val="Compact"/>
              <w:jc w:val="left"/>
            </w:pPr>
            <w:r>
              <w:rPr>
                <w:sz w:val="18"/>
              </w:rPr>
              <w:t xml:space="preserve">Draft. Items marked</w:t>
            </w:r>
            <w:r>
              <w:rPr>
                <w:sz w:val="18"/>
              </w:rPr>
              <w:t xml:space="preserve"> </w:t>
            </w:r>
            <w:r>
              <w:rPr>
                <w:bCs/>
                <w:b/>
                <w:sz w:val="18"/>
              </w:rPr>
              <w:t xml:space="preserve">[DECISION]</w:t>
            </w:r>
            <w:r>
              <w:rPr>
                <w:sz w:val="18"/>
              </w:rPr>
              <w:t xml:space="preserve"> </w:t>
            </w:r>
            <w:r>
              <w:rPr>
                <w:sz w:val="18"/>
              </w:rPr>
              <w:t xml:space="preserve">or</w:t>
            </w:r>
            <w:r>
              <w:rPr>
                <w:sz w:val="18"/>
              </w:rPr>
              <w:t xml:space="preserve"> </w:t>
            </w:r>
            <w:r>
              <w:rPr>
                <w:bCs/>
                <w:b/>
                <w:sz w:val="18"/>
              </w:rPr>
              <w:t xml:space="preserve">[TBC]</w:t>
            </w:r>
            <w:r>
              <w:rPr>
                <w:sz w:val="18"/>
              </w:rPr>
              <w:t xml:space="preserve"> </w:t>
            </w:r>
            <w:r>
              <w:rPr>
                <w:sz w:val="18"/>
              </w:rPr>
              <w:t xml:space="preserve">need owner confirmation.</w:t>
            </w:r>
          </w:p>
        </w:tc>
      </w:tr>
    </w:tbl>
    <w:bookmarkStart w:id="20" w:name="purpose-and-source-basis"/>
    <w:p>
      <w:pPr>
        <w:pStyle w:val="Heading1"/>
      </w:pPr>
      <w:r>
        <w:t xml:space="preserve">1. Purpose and source basis</w:t>
      </w:r>
    </w:p>
    <w:p>
      <w:pPr>
        <w:pStyle w:val="FirstParagraph"/>
      </w:pPr>
      <w:r>
        <w:t xml:space="preserve">This PRD defines what I-way must do for its users and what the first releases include. It is written strictly from the material supplied for this design pass:</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W w:w="5000" w:type="pct"/>
        <w:tblLayout w:type="autofit"/>
      </w:tblPr>
      <w:tr>
        <w:trPr>
          <w:tblHeader w:val="true"/>
        </w:trPr>
        <w:tc>
          <w:tcPr>
            <w:shd w:val="clear" w:fill="092448"/>
          </w:tcPr>
          <w:p>
            <w:pPr>
              <w:pStyle w:val="Compact"/>
              <w:jc w:val="left"/>
            </w:pPr>
            <w:r>
              <w:rPr>
                <w:b/>
                <w:color w:val="FFFFFF"/>
                <w:sz w:val="18"/>
              </w:rPr>
              <w:t xml:space="preserve">Source</w:t>
            </w:r>
          </w:p>
        </w:tc>
        <w:tc>
          <w:tcPr>
            <w:shd w:val="clear" w:fill="092448"/>
          </w:tcPr>
          <w:p>
            <w:pPr>
              <w:pStyle w:val="Compact"/>
              <w:jc w:val="left"/>
            </w:pPr>
            <w:r>
              <w:rPr>
                <w:b/>
                <w:color w:val="FFFFFF"/>
                <w:sz w:val="18"/>
              </w:rPr>
              <w:t xml:space="preserve">What it contributes</w:t>
            </w:r>
          </w:p>
        </w:tc>
      </w:tr>
      <w:tr>
        <w:tc>
          <w:tcPr/>
          <w:p>
            <w:pPr>
              <w:pStyle w:val="Compact"/>
              <w:jc w:val="left"/>
            </w:pPr>
            <w:r>
              <w:rPr>
                <w:bCs/>
                <w:b/>
                <w:sz w:val="18"/>
              </w:rPr>
              <w:t xml:space="preserve">I-way Brand Kit</w:t>
            </w:r>
            <w:r>
              <w:rPr>
                <w:sz w:val="18"/>
              </w:rPr>
              <w:t xml:space="preserve"> </w:t>
            </w:r>
            <w:r>
              <w:rPr>
                <w:sz w:val="18"/>
              </w:rPr>
              <w:t xml:space="preserve">(logo, icon, tokens, preview)</w:t>
            </w:r>
          </w:p>
        </w:tc>
        <w:tc>
          <w:tcPr/>
          <w:p>
            <w:pPr>
              <w:pStyle w:val="Compact"/>
              <w:jc w:val="left"/>
            </w:pPr>
            <w:r>
              <w:rPr>
                <w:sz w:val="18"/>
              </w:rPr>
              <w:t xml:space="preserve">Brand identity: Navy #092448, Blue #1261F3, Cyan #00BCE8, Orange #FF681C, Amber #FFB000, Cloud #F5F8FC, Ink #111827; Inter; radii 20px card / 12px button.</w:t>
            </w:r>
          </w:p>
        </w:tc>
      </w:tr>
      <w:tr>
        <w:tc>
          <w:tcPr/>
          <w:p>
            <w:pPr>
              <w:pStyle w:val="Compact"/>
              <w:jc w:val="left"/>
            </w:pPr>
            <w:r>
              <w:rPr>
                <w:bCs/>
                <w:b/>
                <w:sz w:val="18"/>
              </w:rPr>
              <w:t xml:space="preserve">Public Experience &amp; Conversion Design Directive</w:t>
            </w:r>
          </w:p>
        </w:tc>
        <w:tc>
          <w:tcPr/>
          <w:p>
            <w:pPr>
              <w:pStyle w:val="Compact"/>
              <w:jc w:val="left"/>
            </w:pPr>
            <w:r>
              <w:rPr>
                <w:sz w:val="18"/>
              </w:rPr>
              <w:t xml:space="preserve">Public website scope, structure, copy limits, conversion rules, acceptance criteria, and the strict public/private information boundary.</w:t>
            </w:r>
          </w:p>
        </w:tc>
      </w:tr>
      <w:tr>
        <w:tc>
          <w:tcPr/>
          <w:p>
            <w:pPr>
              <w:pStyle w:val="Compact"/>
              <w:jc w:val="left"/>
            </w:pPr>
            <w:r>
              <w:rPr>
                <w:bCs/>
                <w:b/>
                <w:sz w:val="18"/>
              </w:rPr>
              <w:t xml:space="preserve">Landing-page prototype (index.html)</w:t>
            </w:r>
          </w:p>
        </w:tc>
        <w:tc>
          <w:tcPr/>
          <w:p>
            <w:pPr>
              <w:pStyle w:val="Compact"/>
              <w:jc w:val="left"/>
            </w:pPr>
            <w:r>
              <w:rPr>
                <w:sz w:val="18"/>
              </w:rPr>
              <w:t xml:space="preserve">Starting copy and layout. Replaced where it conflicted with the directive (see §2.2).</w:t>
            </w:r>
          </w:p>
        </w:tc>
      </w:tr>
      <w:tr>
        <w:tc>
          <w:tcPr/>
          <w:p>
            <w:pPr>
              <w:pStyle w:val="Compact"/>
              <w:jc w:val="left"/>
            </w:pPr>
            <w:r>
              <w:rPr>
                <w:bCs/>
                <w:b/>
                <w:sz w:val="18"/>
              </w:rPr>
              <w:t xml:space="preserve">Logistics App Design (Figma Make file)</w:t>
            </w:r>
          </w:p>
        </w:tc>
        <w:tc>
          <w:tcPr/>
          <w:p>
            <w:pPr>
              <w:pStyle w:val="Compact"/>
              <w:jc w:val="left"/>
            </w:pPr>
            <w:r>
              <w:rPr>
                <w:sz w:val="18"/>
              </w:rPr>
              <w:t xml:space="preserve">Master Product Requirements v2.0 (four applications, ownership model, responsibility matrix, business rules BR-001 to BR-012, statuses, notifications, permissions), the universal Driver App rule, and about 100 refinement requests that shaped the working prototype (load creation, assignment, onboarding, settlements, invoicing, geofence prompts, e-signature, dispatcher management, service intervals).</w:t>
            </w:r>
          </w:p>
        </w:tc>
      </w:tr>
      <w:tr>
        <w:tc>
          <w:tcPr/>
          <w:p>
            <w:pPr>
              <w:pStyle w:val="Compact"/>
              <w:jc w:val="left"/>
            </w:pPr>
            <w:r>
              <w:rPr>
                <w:bCs/>
                <w:b/>
                <w:sz w:val="18"/>
              </w:rPr>
              <w:t xml:space="preserve">Documents embedded in the Make file</w:t>
            </w:r>
          </w:p>
        </w:tc>
        <w:tc>
          <w:tcPr/>
          <w:p>
            <w:pPr>
              <w:pStyle w:val="Compact"/>
              <w:jc w:val="left"/>
            </w:pPr>
            <w:r>
              <w:rPr>
                <w:sz w:val="18"/>
              </w:rPr>
              <w:t xml:space="preserve">Project proposal, Rebuild Documentation (v1 history, rules, known issues, settlement formulas, onboarding gates), UI design and a v1 style-guide proposal.</w:t>
            </w:r>
          </w:p>
        </w:tc>
      </w:tr>
    </w:tbl>
    <w:p>
      <w:pPr>
        <w:pStyle w:val="BodyText"/>
      </w:pPr>
      <w:r>
        <w:t xml:space="preserve">Nothing in this PRD relies on facts outside those sources. Where the sources conflict or are silent, the conflict is listed in §2 or §20 rather than silently resolved.</w:t>
      </w:r>
    </w:p>
    <w:bookmarkEnd w:id="20"/>
    <w:bookmarkStart w:id="26" w:name="X7f90ab3f388fbcf1c82d1fcaecf5482abea9f71"/>
    <w:p>
      <w:pPr>
        <w:pStyle w:val="Heading1"/>
      </w:pPr>
      <w:r>
        <w:t xml:space="preserve">2. Reconciliations and decisions made in this draft</w:t>
      </w:r>
    </w:p>
    <w:bookmarkStart w:id="21" w:name="naming"/>
    <w:p>
      <w:pPr>
        <w:pStyle w:val="Heading2"/>
      </w:pPr>
      <w:r>
        <w:t xml:space="preserve">2.1 Naming</w:t>
      </w:r>
    </w:p>
    <w:p>
      <w:pPr>
        <w:pStyle w:val="FirstParagraph"/>
      </w:pPr>
      <w:r>
        <w:t xml:space="preserve">The brand kit names the product</w:t>
      </w:r>
      <w:r>
        <w:t xml:space="preserve"> </w:t>
      </w:r>
      <w:r>
        <w:rPr>
          <w:bCs/>
          <w:b/>
        </w:rPr>
        <w:t xml:space="preserve">I-way</w:t>
      </w:r>
      <w:r>
        <w:t xml:space="preserve">. The Make prototype and master requirements say</w:t>
      </w:r>
      <w:r>
        <w:t xml:space="preserve"> </w:t>
      </w:r>
      <w:r>
        <w:t xml:space="preserve">“</w:t>
      </w:r>
      <w:r>
        <w:t xml:space="preserve">iWay</w:t>
      </w:r>
      <w:r>
        <w:t xml:space="preserve">”</w:t>
      </w:r>
      <w:r>
        <w:t xml:space="preserve">. The existing production product is</w:t>
      </w:r>
      <w:r>
        <w:t xml:space="preserve"> </w:t>
      </w:r>
      <w:r>
        <w:t xml:space="preserve">“</w:t>
      </w:r>
      <w:r>
        <w:t xml:space="preserve">iWay Dispatch</w:t>
      </w:r>
      <w:r>
        <w:t xml:space="preserve">”</w:t>
      </w:r>
      <w:r>
        <w:t xml:space="preserve"> </w:t>
      </w:r>
      <w:r>
        <w:t xml:space="preserve">(v1).</w:t>
      </w:r>
      <w:r>
        <w:t xml:space="preserve"> </w:t>
      </w:r>
      <w:r>
        <w:rPr>
          <w:bCs/>
          <w:b/>
        </w:rPr>
        <w:t xml:space="preserve">This PRD uses</w:t>
      </w:r>
      <w:r>
        <w:rPr>
          <w:bCs/>
          <w:b/>
        </w:rPr>
        <w:t xml:space="preserve"> </w:t>
      </w:r>
      <w:r>
        <w:rPr>
          <w:bCs/>
          <w:b/>
        </w:rPr>
        <w:t xml:space="preserve">“</w:t>
      </w:r>
      <w:r>
        <w:rPr>
          <w:bCs/>
          <w:b/>
        </w:rPr>
        <w:t xml:space="preserve">I-way</w:t>
      </w:r>
      <w:r>
        <w:rPr>
          <w:bCs/>
          <w:b/>
        </w:rPr>
        <w:t xml:space="preserve">”</w:t>
      </w:r>
      <w:r>
        <w:rPr>
          <w:bCs/>
          <w:b/>
        </w:rPr>
        <w:t xml:space="preserve"> </w:t>
      </w:r>
      <w:r>
        <w:rPr>
          <w:bCs/>
          <w:b/>
        </w:rPr>
        <w:t xml:space="preserve">for the product and brand, and</w:t>
      </w:r>
      <w:r>
        <w:rPr>
          <w:bCs/>
          <w:b/>
        </w:rPr>
        <w:t xml:space="preserve"> </w:t>
      </w:r>
      <w:r>
        <w:rPr>
          <w:bCs/>
          <w:b/>
        </w:rPr>
        <w:t xml:space="preserve">“</w:t>
      </w:r>
      <w:r>
        <w:rPr>
          <w:bCs/>
          <w:b/>
        </w:rPr>
        <w:t xml:space="preserve">iWay Dispatch v1</w:t>
      </w:r>
      <w:r>
        <w:rPr>
          <w:bCs/>
          <w:b/>
        </w:rPr>
        <w:t xml:space="preserve">”</w:t>
      </w:r>
      <w:r>
        <w:rPr>
          <w:bCs/>
          <w:b/>
        </w:rPr>
        <w:t xml:space="preserve"> </w:t>
      </w:r>
      <w:r>
        <w:rPr>
          <w:bCs/>
          <w:b/>
        </w:rPr>
        <w:t xml:space="preserve">for the legacy system.</w:t>
      </w:r>
      <w:r>
        <w:t xml:space="preserve"> </w:t>
      </w:r>
      <w:r>
        <w:t xml:space="preserve">[DECISION D-01]</w:t>
      </w:r>
    </w:p>
    <w:bookmarkEnd w:id="21"/>
    <w:bookmarkStart w:id="22" w:name="public-site-vs.-prototype-landing-page"/>
    <w:p>
      <w:pPr>
        <w:pStyle w:val="Heading2"/>
      </w:pPr>
      <w:r>
        <w:t xml:space="preserve">2.2 Public site vs. prototype landing page</w:t>
      </w:r>
    </w:p>
    <w:p>
      <w:pPr>
        <w:pStyle w:val="FirstParagraph"/>
      </w:pPr>
      <w:r>
        <w:t xml:space="preserve">The prototype landing page in the Make file exposes internal material (a</w:t>
      </w:r>
      <w:r>
        <w:t xml:space="preserve"> </w:t>
      </w:r>
      <w:r>
        <w:t xml:space="preserve">“</w:t>
      </w:r>
      <w:r>
        <w:t xml:space="preserve">Platform Admin</w:t>
      </w:r>
      <w:r>
        <w:t xml:space="preserve">”</w:t>
      </w:r>
      <w:r>
        <w:t xml:space="preserve"> </w:t>
      </w:r>
      <w:r>
        <w:t xml:space="preserve">entry, a hierarchy diagram, epic and business-rule counts). The directive forbids this on the public site.</w:t>
      </w:r>
      <w:r>
        <w:t xml:space="preserve"> </w:t>
      </w:r>
      <w:r>
        <w:rPr>
          <w:bCs/>
          <w:b/>
        </w:rPr>
        <w:t xml:space="preserve">The public website is therefore a separate deliverable (site/public) that shows customer outcomes only.</w:t>
      </w:r>
      <w:r>
        <w:t xml:space="preserve"> </w:t>
      </w:r>
      <w:r>
        <w:t xml:space="preserve">The prototype’s four-app entry-point screen is retained only as an internal reference, not as public content.</w:t>
      </w:r>
    </w:p>
    <w:p>
      <w:pPr>
        <w:pStyle w:val="BodyText"/>
      </w:pPr>
      <w:r>
        <w:t xml:space="preserve">The supplied index.html also showed numbers such as</w:t>
      </w:r>
      <w:r>
        <w:t xml:space="preserve"> </w:t>
      </w:r>
      <w:r>
        <w:t xml:space="preserve">“</w:t>
      </w:r>
      <w:r>
        <w:t xml:space="preserve">1,248 shipments</w:t>
      </w:r>
      <w:r>
        <w:t xml:space="preserve">”</w:t>
      </w:r>
      <w:r>
        <w:t xml:space="preserve">,</w:t>
      </w:r>
      <w:r>
        <w:t xml:space="preserve"> </w:t>
      </w:r>
      <w:r>
        <w:t xml:space="preserve">“</w:t>
      </w:r>
      <w:r>
        <w:t xml:space="preserve">98% on-time</w:t>
      </w:r>
      <w:r>
        <w:t xml:space="preserve">”</w:t>
      </w:r>
      <w:r>
        <w:t xml:space="preserve"> </w:t>
      </w:r>
      <w:r>
        <w:t xml:space="preserve">and a</w:t>
      </w:r>
      <w:r>
        <w:t xml:space="preserve"> </w:t>
      </w:r>
      <w:r>
        <w:t xml:space="preserve">“</w:t>
      </w:r>
      <w:r>
        <w:t xml:space="preserve">Live concept</w:t>
      </w:r>
      <w:r>
        <w:t xml:space="preserve">”</w:t>
      </w:r>
      <w:r>
        <w:t xml:space="preserve"> </w:t>
      </w:r>
      <w:r>
        <w:t xml:space="preserve">label. These read as operational statistics and are removed. The new page uses clearly labelled illustrative sample data only.</w:t>
      </w:r>
    </w:p>
    <w:bookmarkEnd w:id="22"/>
    <w:bookmarkStart w:id="23" w:name="palette-conflict"/>
    <w:p>
      <w:pPr>
        <w:pStyle w:val="Heading2"/>
      </w:pPr>
      <w:r>
        <w:t xml:space="preserve">2.3 Palette conflict</w:t>
      </w:r>
    </w:p>
    <w:p>
      <w:pPr>
        <w:pStyle w:val="FirstParagraph"/>
      </w:pPr>
      <w:r>
        <w:t xml:space="preserve">A v1 style-guide proposal in the Make file uses an asphalt / highway-blue / amber palette and states that no brand colours had been agreed. The</w:t>
      </w:r>
      <w:r>
        <w:t xml:space="preserve"> </w:t>
      </w:r>
      <w:r>
        <w:rPr>
          <w:bCs/>
          <w:b/>
        </w:rPr>
        <w:t xml:space="preserve">I-way Brand Kit supersedes it</w:t>
      </w:r>
      <w:r>
        <w:t xml:space="preserve">. The Make prototype uses a dark amber theme that also predates the brand kit; re-theming it to the kit is a requirement (FR-DS-01). [DECISION D-02]</w:t>
      </w:r>
    </w:p>
    <w:bookmarkEnd w:id="23"/>
    <w:bookmarkStart w:id="24" w:name="release-scope"/>
    <w:p>
      <w:pPr>
        <w:pStyle w:val="Heading2"/>
      </w:pPr>
      <w:r>
        <w:t xml:space="preserve">2.4 Release scope</w:t>
      </w:r>
    </w:p>
    <w:p>
      <w:pPr>
        <w:pStyle w:val="FirstParagraph"/>
      </w:pPr>
      <w:r>
        <w:t xml:space="preserve">The Make master requirements propose a four-application MVP. Per the October 3, 2026 product-strategy follow-up, the</w:t>
      </w:r>
      <w:r>
        <w:t xml:space="preserve"> </w:t>
      </w:r>
      <w:r>
        <w:rPr>
          <w:bCs/>
          <w:b/>
        </w:rPr>
        <w:t xml:space="preserve">initial release is the driver–dispatcher relationship only</w:t>
      </w:r>
      <w:r>
        <w:t xml:space="preserve">. This PRD phases the ecosystem accordingly (§6) and keeps every Make requirement, assigned to a release. The master document itself warns that its five-month estimate belonged to a narrower design-only scope and should not be reused.</w:t>
      </w:r>
      <w:r>
        <w:t xml:space="preserve"> </w:t>
      </w:r>
      <w:r>
        <w:rPr>
          <w:bCs/>
          <w:b/>
        </w:rPr>
        <w:t xml:space="preserve">No delivery dates are committed here.</w:t>
      </w:r>
      <w:r>
        <w:t xml:space="preserve"> </w:t>
      </w:r>
      <w:r>
        <w:t xml:space="preserve">[DECISION D-03 — confirm release boundaries]</w:t>
      </w:r>
    </w:p>
    <w:bookmarkEnd w:id="24"/>
    <w:bookmarkStart w:id="25" w:name="existing-platform"/>
    <w:p>
      <w:pPr>
        <w:pStyle w:val="Heading2"/>
      </w:pPr>
      <w:r>
        <w:t xml:space="preserve">2.5 Existing platform</w:t>
      </w:r>
    </w:p>
    <w:p>
      <w:pPr>
        <w:pStyle w:val="FirstParagraph"/>
      </w:pPr>
      <w:r>
        <w:t xml:space="preserve">iWay Dispatch v1 is in production (web portal plus iOS and Android driver apps) with a documented list of failures: settlement accuracy, pay-week logic, performance, and missing self-service corrections. The proposal lists React/React Native, Node.js and MongoDB; the Rebuild Documentation records v1 as Angular, .NET and SQL Server and leaves v2 stack choice to the vendor.</w:t>
      </w:r>
      <w:r>
        <w:t xml:space="preserve"> </w:t>
      </w:r>
      <w:r>
        <w:rPr>
          <w:bCs/>
          <w:b/>
        </w:rPr>
        <w:t xml:space="preserve">The stack is therefore open and must be settled in an architecture decision record (ADR-001)</w:t>
      </w:r>
      <w:r>
        <w:t xml:space="preserve"> </w:t>
      </w:r>
      <w:r>
        <w:t xml:space="preserve">before build. [DECISION D-04]</w:t>
      </w:r>
    </w:p>
    <w:bookmarkEnd w:id="25"/>
    <w:bookmarkEnd w:id="26"/>
    <w:bookmarkStart w:id="27" w:name="vision-goals-and-non-goals"/>
    <w:p>
      <w:pPr>
        <w:pStyle w:val="Heading1"/>
      </w:pPr>
      <w:r>
        <w:t xml:space="preserve">3. Vision, goals and non-goals</w:t>
      </w:r>
    </w:p>
    <w:p>
      <w:pPr>
        <w:pStyle w:val="FirstParagraph"/>
      </w:pPr>
      <w:r>
        <w:rPr>
          <w:bCs/>
          <w:b/>
        </w:rPr>
        <w:t xml:space="preserve">Vision.</w:t>
      </w:r>
      <w:r>
        <w:t xml:space="preserve"> </w:t>
      </w:r>
      <w:r>
        <w:t xml:space="preserve">One connected logistics experience in which every party sees the same truth about a load and each function has exactly one owner.</w:t>
      </w:r>
    </w:p>
    <w:p>
      <w:pPr>
        <w:pStyle w:val="BodyText"/>
      </w:pPr>
      <w:r>
        <w:rPr>
          <w:bCs/>
          <w:b/>
        </w:rPr>
        <w:t xml:space="preserve">Product goals</w:t>
      </w:r>
    </w:p>
    <w:p>
      <w:pPr>
        <w:numPr>
          <w:ilvl w:val="0"/>
          <w:numId w:val="1001"/>
        </w:numPr>
        <w:pStyle w:val="Compact"/>
      </w:pPr>
      <w:r>
        <w:t xml:space="preserve">Give drivers one simple app to execute work, capture documents and see pay, whoever employs them.</w:t>
      </w:r>
    </w:p>
    <w:p>
      <w:pPr>
        <w:numPr>
          <w:ilvl w:val="0"/>
          <w:numId w:val="1001"/>
        </w:numPr>
        <w:pStyle w:val="Compact"/>
      </w:pPr>
      <w:r>
        <w:t xml:space="preserve">Give carriers a single command centre for dispatch, compliance and money.</w:t>
      </w:r>
    </w:p>
    <w:p>
      <w:pPr>
        <w:numPr>
          <w:ilvl w:val="0"/>
          <w:numId w:val="1001"/>
        </w:numPr>
        <w:pStyle w:val="Compact"/>
      </w:pPr>
      <w:r>
        <w:t xml:space="preserve">Let fleet companies run their own trucks, drivers and driver pay without becoming carrier administrators.</w:t>
      </w:r>
    </w:p>
    <w:p>
      <w:pPr>
        <w:numPr>
          <w:ilvl w:val="0"/>
          <w:numId w:val="1001"/>
        </w:numPr>
        <w:pStyle w:val="Compact"/>
      </w:pPr>
      <w:r>
        <w:t xml:space="preserve">Give I-way staff governed, audited visibility to operate the platform.</w:t>
      </w:r>
    </w:p>
    <w:p>
      <w:pPr>
        <w:numPr>
          <w:ilvl w:val="0"/>
          <w:numId w:val="1001"/>
        </w:numPr>
        <w:pStyle w:val="Compact"/>
      </w:pPr>
      <w:r>
        <w:t xml:space="preserve">Present I-way publicly as a polished, trustworthy brand that converts visitors to early-access sign-ups without disclosing proprietary design.</w:t>
      </w:r>
    </w:p>
    <w:p>
      <w:pPr>
        <w:pStyle w:val="FirstParagraph"/>
      </w:pPr>
      <w:r>
        <w:rPr>
          <w:bCs/>
          <w:b/>
        </w:rPr>
        <w:t xml:space="preserve">Non-goals (this PRD)</w:t>
      </w:r>
    </w:p>
    <w:p>
      <w:pPr>
        <w:numPr>
          <w:ilvl w:val="0"/>
          <w:numId w:val="1002"/>
        </w:numPr>
        <w:pStyle w:val="Compact"/>
      </w:pPr>
      <w:r>
        <w:t xml:space="preserve">No committed pricing, delivery dates, certifications, SLAs, customer logos or testimonials.</w:t>
      </w:r>
    </w:p>
    <w:p>
      <w:pPr>
        <w:numPr>
          <w:ilvl w:val="0"/>
          <w:numId w:val="1002"/>
        </w:numPr>
        <w:pStyle w:val="Compact"/>
      </w:pPr>
      <w:r>
        <w:t xml:space="preserve">No broker or shipper self-service portal (brokers receive email notifications and tracking links; a portal is a later option).</w:t>
      </w:r>
    </w:p>
    <w:p>
      <w:pPr>
        <w:numPr>
          <w:ilvl w:val="0"/>
          <w:numId w:val="1002"/>
        </w:numPr>
        <w:pStyle w:val="Compact"/>
      </w:pPr>
      <w:r>
        <w:t xml:space="preserve">No public disclosure of strategy, algorithms, architecture, settlement formulas or roadmap.</w:t>
      </w:r>
    </w:p>
    <w:p>
      <w:pPr>
        <w:numPr>
          <w:ilvl w:val="0"/>
          <w:numId w:val="1002"/>
        </w:numPr>
        <w:pStyle w:val="Compact"/>
      </w:pPr>
      <w:r>
        <w:t xml:space="preserve">No change to iWay Dispatch v1 operations; migration is covered as a release stream (§17).</w:t>
      </w:r>
    </w:p>
    <w:bookmarkEnd w:id="27"/>
    <w:bookmarkStart w:id="28" w:name="personas"/>
    <w:p>
      <w:pPr>
        <w:pStyle w:val="Heading1"/>
      </w:pPr>
      <w:r>
        <w:t xml:space="preserve">4. Personas</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W w:w="5000" w:type="pct"/>
        <w:tblLayout w:type="autofit"/>
      </w:tblPr>
      <w:tr>
        <w:trPr>
          <w:tblHeader w:val="true"/>
        </w:trPr>
        <w:tc>
          <w:tcPr>
            <w:shd w:val="clear" w:fill="092448"/>
          </w:tcPr>
          <w:p>
            <w:pPr>
              <w:pStyle w:val="Compact"/>
              <w:jc w:val="left"/>
            </w:pPr>
            <w:r>
              <w:rPr>
                <w:b/>
                <w:color w:val="FFFFFF"/>
                <w:sz w:val="18"/>
              </w:rPr>
              <w:t xml:space="preserve">Persona</w:t>
            </w:r>
          </w:p>
        </w:tc>
        <w:tc>
          <w:tcPr>
            <w:shd w:val="clear" w:fill="092448"/>
          </w:tcPr>
          <w:p>
            <w:pPr>
              <w:pStyle w:val="Compact"/>
              <w:jc w:val="left"/>
            </w:pPr>
            <w:r>
              <w:rPr>
                <w:b/>
                <w:color w:val="FFFFFF"/>
                <w:sz w:val="18"/>
              </w:rPr>
              <w:t xml:space="preserve">Application</w:t>
            </w:r>
          </w:p>
        </w:tc>
        <w:tc>
          <w:tcPr>
            <w:shd w:val="clear" w:fill="092448"/>
          </w:tcPr>
          <w:p>
            <w:pPr>
              <w:pStyle w:val="Compact"/>
              <w:jc w:val="left"/>
            </w:pPr>
            <w:r>
              <w:rPr>
                <w:b/>
                <w:color w:val="FFFFFF"/>
                <w:sz w:val="18"/>
              </w:rPr>
              <w:t xml:space="preserve">Core job</w:t>
            </w:r>
          </w:p>
        </w:tc>
        <w:tc>
          <w:tcPr>
            <w:shd w:val="clear" w:fill="092448"/>
          </w:tcPr>
          <w:p>
            <w:pPr>
              <w:pStyle w:val="Compact"/>
              <w:jc w:val="left"/>
            </w:pPr>
            <w:r>
              <w:rPr>
                <w:b/>
                <w:color w:val="FFFFFF"/>
                <w:sz w:val="18"/>
              </w:rPr>
              <w:t xml:space="preserve">Key constraint</w:t>
            </w:r>
          </w:p>
        </w:tc>
      </w:tr>
      <w:tr>
        <w:tc>
          <w:tcPr/>
          <w:p>
            <w:pPr>
              <w:pStyle w:val="Compact"/>
              <w:jc w:val="left"/>
            </w:pPr>
            <w:r>
              <w:rPr>
                <w:bCs/>
                <w:b/>
                <w:sz w:val="18"/>
              </w:rPr>
              <w:t xml:space="preserve">Driver</w:t>
            </w:r>
            <w:r>
              <w:rPr>
                <w:sz w:val="18"/>
              </w:rPr>
              <w:t xml:space="preserve"> </w:t>
            </w:r>
            <w:r>
              <w:rPr>
                <w:sz w:val="18"/>
              </w:rPr>
              <w:t xml:space="preserve">(carrier driver, fleet-company driver, owner-operator)</w:t>
            </w:r>
          </w:p>
        </w:tc>
        <w:tc>
          <w:tcPr/>
          <w:p>
            <w:pPr>
              <w:pStyle w:val="Compact"/>
              <w:jc w:val="left"/>
            </w:pPr>
            <w:r>
              <w:rPr>
                <w:sz w:val="18"/>
              </w:rPr>
              <w:t xml:space="preserve">Driver Mobile App</w:t>
            </w:r>
          </w:p>
        </w:tc>
        <w:tc>
          <w:tcPr/>
          <w:p>
            <w:pPr>
              <w:pStyle w:val="Compact"/>
              <w:jc w:val="left"/>
            </w:pPr>
            <w:r>
              <w:rPr>
                <w:sz w:val="18"/>
              </w:rPr>
              <w:t xml:space="preserve">Accept and complete loads, capture BOL/POD, keep documents valid, see pay</w:t>
            </w:r>
          </w:p>
        </w:tc>
        <w:tc>
          <w:tcPr/>
          <w:p>
            <w:pPr>
              <w:pStyle w:val="Compact"/>
              <w:jc w:val="left"/>
            </w:pPr>
            <w:r>
              <w:rPr>
                <w:sz w:val="18"/>
              </w:rPr>
              <w:t xml:space="preserve">Gloves, cabs and weak signal: large targets, offline-tolerant actions, manual fallbacks</w:t>
            </w:r>
          </w:p>
        </w:tc>
      </w:tr>
      <w:tr>
        <w:tc>
          <w:tcPr/>
          <w:p>
            <w:pPr>
              <w:pStyle w:val="Compact"/>
              <w:jc w:val="left"/>
            </w:pPr>
            <w:r>
              <w:rPr>
                <w:bCs/>
                <w:b/>
                <w:sz w:val="18"/>
              </w:rPr>
              <w:t xml:space="preserve">Dispatcher</w:t>
            </w:r>
          </w:p>
        </w:tc>
        <w:tc>
          <w:tcPr/>
          <w:p>
            <w:pPr>
              <w:pStyle w:val="Compact"/>
              <w:jc w:val="left"/>
            </w:pPr>
            <w:r>
              <w:rPr>
                <w:sz w:val="18"/>
              </w:rPr>
              <w:t xml:space="preserve">Carrier Admin</w:t>
            </w:r>
          </w:p>
        </w:tc>
        <w:tc>
          <w:tcPr/>
          <w:p>
            <w:pPr>
              <w:pStyle w:val="Compact"/>
              <w:jc w:val="left"/>
            </w:pPr>
            <w:r>
              <w:rPr>
                <w:sz w:val="18"/>
              </w:rPr>
              <w:t xml:space="preserve">Create, assign and track loads; notify brokers</w:t>
            </w:r>
          </w:p>
        </w:tc>
        <w:tc>
          <w:tcPr/>
          <w:p>
            <w:pPr>
              <w:pStyle w:val="Compact"/>
              <w:jc w:val="left"/>
            </w:pPr>
            <w:r>
              <w:rPr>
                <w:sz w:val="18"/>
              </w:rPr>
              <w:t xml:space="preserve">Needs live status and no ambiguity about who is eligible</w:t>
            </w:r>
          </w:p>
        </w:tc>
      </w:tr>
      <w:tr>
        <w:tc>
          <w:tcPr/>
          <w:p>
            <w:pPr>
              <w:pStyle w:val="Compact"/>
              <w:jc w:val="left"/>
            </w:pPr>
            <w:r>
              <w:rPr>
                <w:bCs/>
                <w:b/>
                <w:sz w:val="18"/>
              </w:rPr>
              <w:t xml:space="preserve">Carrier manager / admin</w:t>
            </w:r>
          </w:p>
        </w:tc>
        <w:tc>
          <w:tcPr/>
          <w:p>
            <w:pPr>
              <w:pStyle w:val="Compact"/>
              <w:jc w:val="left"/>
            </w:pPr>
            <w:r>
              <w:rPr>
                <w:sz w:val="18"/>
              </w:rPr>
              <w:t xml:space="preserve">Carrier Admin</w:t>
            </w:r>
          </w:p>
        </w:tc>
        <w:tc>
          <w:tcPr/>
          <w:p>
            <w:pPr>
              <w:pStyle w:val="Compact"/>
              <w:jc w:val="left"/>
            </w:pPr>
            <w:r>
              <w:rPr>
                <w:sz w:val="18"/>
              </w:rPr>
              <w:t xml:space="preserve">Master data, approvals, compliance authority, settlements</w:t>
            </w:r>
          </w:p>
        </w:tc>
        <w:tc>
          <w:tcPr/>
          <w:p>
            <w:pPr>
              <w:pStyle w:val="Compact"/>
              <w:jc w:val="left"/>
            </w:pPr>
            <w:r>
              <w:rPr>
                <w:sz w:val="18"/>
              </w:rPr>
              <w:t xml:space="preserve">Single authority for dispatch eligibility</w:t>
            </w:r>
          </w:p>
        </w:tc>
      </w:tr>
      <w:tr>
        <w:tc>
          <w:tcPr/>
          <w:p>
            <w:pPr>
              <w:pStyle w:val="Compact"/>
              <w:jc w:val="left"/>
            </w:pPr>
            <w:r>
              <w:rPr>
                <w:bCs/>
                <w:b/>
                <w:sz w:val="18"/>
              </w:rPr>
              <w:t xml:space="preserve">Accounting</w:t>
            </w:r>
          </w:p>
        </w:tc>
        <w:tc>
          <w:tcPr/>
          <w:p>
            <w:pPr>
              <w:pStyle w:val="Compact"/>
              <w:jc w:val="left"/>
            </w:pPr>
            <w:r>
              <w:rPr>
                <w:sz w:val="18"/>
              </w:rPr>
              <w:t xml:space="preserve">Carrier Admin</w:t>
            </w:r>
          </w:p>
        </w:tc>
        <w:tc>
          <w:tcPr/>
          <w:p>
            <w:pPr>
              <w:pStyle w:val="Compact"/>
              <w:jc w:val="left"/>
            </w:pPr>
            <w:r>
              <w:rPr>
                <w:sz w:val="18"/>
              </w:rPr>
              <w:t xml:space="preserve">Invoices, factoring, pay weeks, settlements, escrow</w:t>
            </w:r>
          </w:p>
        </w:tc>
        <w:tc>
          <w:tcPr/>
          <w:p>
            <w:pPr>
              <w:pStyle w:val="Compact"/>
              <w:jc w:val="left"/>
            </w:pPr>
            <w:r>
              <w:rPr>
                <w:sz w:val="18"/>
              </w:rPr>
              <w:t xml:space="preserve">Accuracy and audit above speed</w:t>
            </w:r>
          </w:p>
        </w:tc>
      </w:tr>
      <w:tr>
        <w:tc>
          <w:tcPr/>
          <w:p>
            <w:pPr>
              <w:pStyle w:val="Compact"/>
              <w:jc w:val="left"/>
            </w:pPr>
            <w:r>
              <w:rPr>
                <w:bCs/>
                <w:b/>
                <w:sz w:val="18"/>
              </w:rPr>
              <w:t xml:space="preserve">Fleet administrator</w:t>
            </w:r>
          </w:p>
        </w:tc>
        <w:tc>
          <w:tcPr/>
          <w:p>
            <w:pPr>
              <w:pStyle w:val="Compact"/>
              <w:jc w:val="left"/>
            </w:pPr>
            <w:r>
              <w:rPr>
                <w:sz w:val="18"/>
              </w:rPr>
              <w:t xml:space="preserve">Fleet Company Portal</w:t>
            </w:r>
          </w:p>
        </w:tc>
        <w:tc>
          <w:tcPr/>
          <w:p>
            <w:pPr>
              <w:pStyle w:val="Compact"/>
              <w:jc w:val="left"/>
            </w:pPr>
            <w:r>
              <w:rPr>
                <w:sz w:val="18"/>
              </w:rPr>
              <w:t xml:space="preserve">Own trucks, drivers, maintenance and driver pay</w:t>
            </w:r>
          </w:p>
        </w:tc>
        <w:tc>
          <w:tcPr/>
          <w:p>
            <w:pPr>
              <w:pStyle w:val="Compact"/>
              <w:jc w:val="left"/>
            </w:pPr>
            <w:r>
              <w:rPr>
                <w:sz w:val="18"/>
              </w:rPr>
              <w:t xml:space="preserve">Cannot approve own drivers for carrier operations</w:t>
            </w:r>
          </w:p>
        </w:tc>
      </w:tr>
      <w:tr>
        <w:tc>
          <w:tcPr/>
          <w:p>
            <w:pPr>
              <w:pStyle w:val="Compact"/>
              <w:jc w:val="left"/>
            </w:pPr>
            <w:r>
              <w:rPr>
                <w:bCs/>
                <w:b/>
                <w:sz w:val="18"/>
              </w:rPr>
              <w:t xml:space="preserve">I-way platform operator</w:t>
            </w:r>
          </w:p>
        </w:tc>
        <w:tc>
          <w:tcPr/>
          <w:p>
            <w:pPr>
              <w:pStyle w:val="Compact"/>
              <w:jc w:val="left"/>
            </w:pPr>
            <w:r>
              <w:rPr>
                <w:sz w:val="18"/>
              </w:rPr>
              <w:t xml:space="preserve">Platform Admin</w:t>
            </w:r>
          </w:p>
        </w:tc>
        <w:tc>
          <w:tcPr/>
          <w:p>
            <w:pPr>
              <w:pStyle w:val="Compact"/>
              <w:jc w:val="left"/>
            </w:pPr>
            <w:r>
              <w:rPr>
                <w:sz w:val="18"/>
              </w:rPr>
              <w:t xml:space="preserve">Onboard carriers, monitor, support, configure</w:t>
            </w:r>
          </w:p>
        </w:tc>
        <w:tc>
          <w:tcPr/>
          <w:p>
            <w:pPr>
              <w:pStyle w:val="Compact"/>
              <w:jc w:val="left"/>
            </w:pPr>
            <w:r>
              <w:rPr>
                <w:sz w:val="18"/>
              </w:rPr>
              <w:t xml:space="preserve">Cross-tenant access only with elevated permission and reason code</w:t>
            </w:r>
          </w:p>
        </w:tc>
      </w:tr>
      <w:tr>
        <w:tc>
          <w:tcPr/>
          <w:p>
            <w:pPr>
              <w:pStyle w:val="Compact"/>
              <w:jc w:val="left"/>
            </w:pPr>
            <w:r>
              <w:rPr>
                <w:bCs/>
                <w:b/>
                <w:sz w:val="18"/>
              </w:rPr>
              <w:t xml:space="preserve">Public visitor</w:t>
            </w:r>
            <w:r>
              <w:rPr>
                <w:sz w:val="18"/>
              </w:rPr>
              <w:t xml:space="preserve"> </w:t>
            </w:r>
            <w:r>
              <w:rPr>
                <w:sz w:val="18"/>
              </w:rPr>
              <w:t xml:space="preserve">(business that ships goods)</w:t>
            </w:r>
          </w:p>
        </w:tc>
        <w:tc>
          <w:tcPr/>
          <w:p>
            <w:pPr>
              <w:pStyle w:val="Compact"/>
              <w:jc w:val="left"/>
            </w:pPr>
            <w:r>
              <w:rPr>
                <w:sz w:val="18"/>
              </w:rPr>
              <w:t xml:space="preserve">Public website</w:t>
            </w:r>
          </w:p>
        </w:tc>
        <w:tc>
          <w:tcPr/>
          <w:p>
            <w:pPr>
              <w:pStyle w:val="Compact"/>
              <w:jc w:val="left"/>
            </w:pPr>
            <w:r>
              <w:rPr>
                <w:sz w:val="18"/>
              </w:rPr>
              <w:t xml:space="preserve">Understand value, trust it, join early access</w:t>
            </w:r>
          </w:p>
        </w:tc>
        <w:tc>
          <w:tcPr/>
          <w:p>
            <w:pPr>
              <w:pStyle w:val="Compact"/>
              <w:jc w:val="left"/>
            </w:pPr>
            <w:r>
              <w:rPr>
                <w:sz w:val="18"/>
              </w:rPr>
              <w:t xml:space="preserve">No forced account before understanding the product</w:t>
            </w:r>
          </w:p>
        </w:tc>
      </w:tr>
      <w:tr>
        <w:tc>
          <w:tcPr/>
          <w:p>
            <w:pPr>
              <w:pStyle w:val="Compact"/>
              <w:jc w:val="left"/>
            </w:pPr>
            <w:r>
              <w:rPr>
                <w:bCs/>
                <w:b/>
                <w:sz w:val="18"/>
              </w:rPr>
              <w:t xml:space="preserve">Broker / shipper / receiver</w:t>
            </w:r>
            <w:r>
              <w:rPr>
                <w:sz w:val="18"/>
              </w:rPr>
              <w:t xml:space="preserve"> </w:t>
            </w:r>
            <w:r>
              <w:rPr>
                <w:sz w:val="18"/>
              </w:rPr>
              <w:t xml:space="preserve">(external)</w:t>
            </w:r>
          </w:p>
        </w:tc>
        <w:tc>
          <w:tcPr/>
          <w:p>
            <w:pPr>
              <w:pStyle w:val="Compact"/>
              <w:jc w:val="left"/>
            </w:pPr>
            <w:r>
              <w:rPr>
                <w:sz w:val="18"/>
              </w:rPr>
              <w:t xml:space="preserve">Email, tracking link</w:t>
            </w:r>
          </w:p>
        </w:tc>
        <w:tc>
          <w:tcPr/>
          <w:p>
            <w:pPr>
              <w:pStyle w:val="Compact"/>
              <w:jc w:val="left"/>
            </w:pPr>
            <w:r>
              <w:rPr>
                <w:sz w:val="18"/>
              </w:rPr>
              <w:t xml:space="preserve">Receive pickup/delivery notices, documents, live location</w:t>
            </w:r>
          </w:p>
        </w:tc>
        <w:tc>
          <w:tcPr/>
          <w:p>
            <w:pPr>
              <w:pStyle w:val="Compact"/>
              <w:jc w:val="left"/>
            </w:pPr>
            <w:r>
              <w:rPr>
                <w:sz w:val="18"/>
              </w:rPr>
              <w:t xml:space="preserve">Not a logged-in user in R1–R3</w:t>
            </w:r>
          </w:p>
        </w:tc>
      </w:tr>
    </w:tbl>
    <w:bookmarkEnd w:id="28"/>
    <w:bookmarkStart w:id="34" w:name="ecosystem-and-ownership-model"/>
    <w:p>
      <w:pPr>
        <w:pStyle w:val="Heading1"/>
      </w:pPr>
      <w:r>
        <w:t xml:space="preserve">5. Ecosystem and ownership model</w:t>
      </w:r>
    </w:p>
    <w:bookmarkStart w:id="29" w:name="applications-and-primary-responsibility"/>
    <w:p>
      <w:pPr>
        <w:pStyle w:val="Heading2"/>
      </w:pPr>
      <w:r>
        <w:t xml:space="preserve">5.1 Applications and primary responsibility</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W w:w="5000" w:type="pct"/>
        <w:tblLayout w:type="autofit"/>
      </w:tblPr>
      <w:tr>
        <w:trPr>
          <w:tblHeader w:val="true"/>
        </w:trPr>
        <w:tc>
          <w:tcPr>
            <w:shd w:val="clear" w:fill="092448"/>
          </w:tcPr>
          <w:p>
            <w:pPr>
              <w:pStyle w:val="Compact"/>
              <w:jc w:val="left"/>
            </w:pPr>
            <w:r>
              <w:rPr>
                <w:b/>
                <w:color w:val="FFFFFF"/>
                <w:sz w:val="18"/>
              </w:rPr>
              <w:t xml:space="preserve">Application</w:t>
            </w:r>
          </w:p>
        </w:tc>
        <w:tc>
          <w:tcPr>
            <w:shd w:val="clear" w:fill="092448"/>
          </w:tcPr>
          <w:p>
            <w:pPr>
              <w:pStyle w:val="Compact"/>
              <w:jc w:val="left"/>
            </w:pPr>
            <w:r>
              <w:rPr>
                <w:b/>
                <w:color w:val="FFFFFF"/>
                <w:sz w:val="18"/>
              </w:rPr>
              <w:t xml:space="preserve">Primary responsibility</w:t>
            </w:r>
          </w:p>
        </w:tc>
      </w:tr>
      <w:tr>
        <w:tc>
          <w:tcPr/>
          <w:p>
            <w:pPr>
              <w:pStyle w:val="Compact"/>
              <w:jc w:val="left"/>
            </w:pPr>
            <w:r>
              <w:rPr>
                <w:sz w:val="18"/>
              </w:rPr>
              <w:t xml:space="preserve">Driver Mobile App</w:t>
            </w:r>
          </w:p>
        </w:tc>
        <w:tc>
          <w:tcPr/>
          <w:p>
            <w:pPr>
              <w:pStyle w:val="Compact"/>
              <w:jc w:val="left"/>
            </w:pPr>
            <w:r>
              <w:rPr>
                <w:sz w:val="18"/>
              </w:rPr>
              <w:t xml:space="preserve">Execute assigned transportation work</w:t>
            </w:r>
          </w:p>
        </w:tc>
      </w:tr>
      <w:tr>
        <w:tc>
          <w:tcPr/>
          <w:p>
            <w:pPr>
              <w:pStyle w:val="Compact"/>
              <w:jc w:val="left"/>
            </w:pPr>
            <w:r>
              <w:rPr>
                <w:sz w:val="18"/>
              </w:rPr>
              <w:t xml:space="preserve">Carrier Admin Portal</w:t>
            </w:r>
          </w:p>
        </w:tc>
        <w:tc>
          <w:tcPr/>
          <w:p>
            <w:pPr>
              <w:pStyle w:val="Compact"/>
              <w:jc w:val="left"/>
            </w:pPr>
            <w:r>
              <w:rPr>
                <w:sz w:val="18"/>
              </w:rPr>
              <w:t xml:space="preserve">Operate the trucking/carrier business</w:t>
            </w:r>
          </w:p>
        </w:tc>
      </w:tr>
      <w:tr>
        <w:tc>
          <w:tcPr/>
          <w:p>
            <w:pPr>
              <w:pStyle w:val="Compact"/>
              <w:jc w:val="left"/>
            </w:pPr>
            <w:r>
              <w:rPr>
                <w:sz w:val="18"/>
              </w:rPr>
              <w:t xml:space="preserve">Fleet Company Portal</w:t>
            </w:r>
          </w:p>
        </w:tc>
        <w:tc>
          <w:tcPr/>
          <w:p>
            <w:pPr>
              <w:pStyle w:val="Compact"/>
              <w:jc w:val="left"/>
            </w:pPr>
            <w:r>
              <w:rPr>
                <w:sz w:val="18"/>
              </w:rPr>
              <w:t xml:space="preserve">Manage owned trucks, drivers and the financial relationship with the carrier</w:t>
            </w:r>
          </w:p>
        </w:tc>
      </w:tr>
      <w:tr>
        <w:tc>
          <w:tcPr/>
          <w:p>
            <w:pPr>
              <w:pStyle w:val="Compact"/>
              <w:jc w:val="left"/>
            </w:pPr>
            <w:r>
              <w:rPr>
                <w:sz w:val="18"/>
              </w:rPr>
              <w:t xml:space="preserve">I-way Platform Admin</w:t>
            </w:r>
          </w:p>
        </w:tc>
        <w:tc>
          <w:tcPr/>
          <w:p>
            <w:pPr>
              <w:pStyle w:val="Compact"/>
              <w:jc w:val="left"/>
            </w:pPr>
            <w:r>
              <w:rPr>
                <w:sz w:val="18"/>
              </w:rPr>
              <w:t xml:space="preserve">Govern and operate the platform</w:t>
            </w:r>
          </w:p>
        </w:tc>
      </w:tr>
    </w:tbl>
    <w:bookmarkEnd w:id="29"/>
    <w:bookmarkStart w:id="30" w:name="principle-one-owner-per-function"/>
    <w:p>
      <w:pPr>
        <w:pStyle w:val="Heading2"/>
      </w:pPr>
      <w:r>
        <w:t xml:space="preserve">5.2 Principle: one owner per function</w:t>
      </w:r>
    </w:p>
    <w:p>
      <w:pPr>
        <w:pStyle w:val="FirstParagraph"/>
      </w:pPr>
      <w:r>
        <w:t xml:space="preserve">Every major function has one primary owner. Other applications may</w:t>
      </w:r>
      <w:r>
        <w:t xml:space="preserve"> </w:t>
      </w:r>
      <w:r>
        <w:rPr>
          <w:bCs/>
          <w:b/>
        </w:rPr>
        <w:t xml:space="preserve">View, Submit, Request, Approve or Monitor</w:t>
      </w:r>
      <w:r>
        <w:t xml:space="preserve"> </w:t>
      </w:r>
      <w:r>
        <w:t xml:space="preserve">but never independently control it. Example: a Fleet Company adds a driver; the driver completes information; the Carrier reviews and approves; the driver becomes dispatch eligible. A Fleet Company never approves its own driver for carrier operations.</w:t>
      </w:r>
    </w:p>
    <w:bookmarkEnd w:id="30"/>
    <w:bookmarkStart w:id="31" w:name="universal-driver-app-dr-mob-001"/>
    <w:p>
      <w:pPr>
        <w:pStyle w:val="Heading2"/>
      </w:pPr>
      <w:r>
        <w:t xml:space="preserve">5.3 Universal Driver App (DR-MOB-001)</w:t>
      </w:r>
    </w:p>
    <w:p>
      <w:pPr>
        <w:pStyle w:val="FirstParagraph"/>
      </w:pPr>
      <w:r>
        <w:t xml:space="preserve">One Driver App serves all driver types. The backend resolves the relationship after sign-in (driver type, carrier, fleet company, payment responsibility). Differences are data and permissions, not separate apps.</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W w:w="5000" w:type="pct"/>
        <w:tblLayout w:type="autofit"/>
      </w:tblPr>
      <w:tr>
        <w:trPr>
          <w:tblHeader w:val="true"/>
        </w:trPr>
        <w:tc>
          <w:tcPr>
            <w:shd w:val="clear" w:fill="092448"/>
          </w:tcPr>
          <w:p>
            <w:pPr>
              <w:pStyle w:val="Compact"/>
              <w:jc w:val="left"/>
            </w:pPr>
            <w:r>
              <w:rPr>
                <w:b/>
                <w:color w:val="FFFFFF"/>
                <w:sz w:val="18"/>
              </w:rPr>
              <w:t xml:space="preserve">Driver type</w:t>
            </w:r>
          </w:p>
        </w:tc>
        <w:tc>
          <w:tcPr>
            <w:shd w:val="clear" w:fill="092448"/>
          </w:tcPr>
          <w:p>
            <w:pPr>
              <w:pStyle w:val="Compact"/>
              <w:jc w:val="left"/>
            </w:pPr>
            <w:r>
              <w:rPr>
                <w:b/>
                <w:color w:val="FFFFFF"/>
                <w:sz w:val="18"/>
              </w:rPr>
              <w:t xml:space="preserve">Managed by</w:t>
            </w:r>
          </w:p>
        </w:tc>
        <w:tc>
          <w:tcPr>
            <w:shd w:val="clear" w:fill="092448"/>
          </w:tcPr>
          <w:p>
            <w:pPr>
              <w:pStyle w:val="Compact"/>
              <w:jc w:val="left"/>
            </w:pPr>
            <w:r>
              <w:rPr>
                <w:b/>
                <w:color w:val="FFFFFF"/>
                <w:sz w:val="18"/>
              </w:rPr>
              <w:t xml:space="preserve">Paid by</w:t>
            </w:r>
          </w:p>
        </w:tc>
      </w:tr>
      <w:tr>
        <w:tc>
          <w:tcPr/>
          <w:p>
            <w:pPr>
              <w:pStyle w:val="Compact"/>
              <w:jc w:val="left"/>
            </w:pPr>
            <w:r>
              <w:rPr>
                <w:sz w:val="18"/>
              </w:rPr>
              <w:t xml:space="preserve">Carrier driver</w:t>
            </w:r>
          </w:p>
        </w:tc>
        <w:tc>
          <w:tcPr/>
          <w:p>
            <w:pPr>
              <w:pStyle w:val="Compact"/>
              <w:jc w:val="left"/>
            </w:pPr>
            <w:r>
              <w:rPr>
                <w:sz w:val="18"/>
              </w:rPr>
              <w:t xml:space="preserve">Carrier</w:t>
            </w:r>
          </w:p>
        </w:tc>
        <w:tc>
          <w:tcPr/>
          <w:p>
            <w:pPr>
              <w:pStyle w:val="Compact"/>
              <w:jc w:val="left"/>
            </w:pPr>
            <w:r>
              <w:rPr>
                <w:sz w:val="18"/>
              </w:rPr>
              <w:t xml:space="preserve">Carrier</w:t>
            </w:r>
          </w:p>
        </w:tc>
      </w:tr>
      <w:tr>
        <w:tc>
          <w:tcPr/>
          <w:p>
            <w:pPr>
              <w:pStyle w:val="Compact"/>
              <w:jc w:val="left"/>
            </w:pPr>
            <w:r>
              <w:rPr>
                <w:sz w:val="18"/>
              </w:rPr>
              <w:t xml:space="preserve">Fleet-company driver</w:t>
            </w:r>
          </w:p>
        </w:tc>
        <w:tc>
          <w:tcPr/>
          <w:p>
            <w:pPr>
              <w:pStyle w:val="Compact"/>
              <w:jc w:val="left"/>
            </w:pPr>
            <w:r>
              <w:rPr>
                <w:sz w:val="18"/>
              </w:rPr>
              <w:t xml:space="preserve">Fleet company, with carrier operational oversight</w:t>
            </w:r>
          </w:p>
        </w:tc>
        <w:tc>
          <w:tcPr/>
          <w:p>
            <w:pPr>
              <w:pStyle w:val="Compact"/>
              <w:jc w:val="left"/>
            </w:pPr>
            <w:r>
              <w:rPr>
                <w:sz w:val="18"/>
              </w:rPr>
              <w:t xml:space="preserve">Fleet company</w:t>
            </w:r>
          </w:p>
        </w:tc>
      </w:tr>
      <w:tr>
        <w:tc>
          <w:tcPr/>
          <w:p>
            <w:pPr>
              <w:pStyle w:val="Compact"/>
              <w:jc w:val="left"/>
            </w:pPr>
            <w:r>
              <w:rPr>
                <w:sz w:val="18"/>
              </w:rPr>
              <w:t xml:space="preserve">Owner-operator</w:t>
            </w:r>
          </w:p>
        </w:tc>
        <w:tc>
          <w:tcPr/>
          <w:p>
            <w:pPr>
              <w:pStyle w:val="Compact"/>
              <w:jc w:val="left"/>
            </w:pPr>
            <w:r>
              <w:rPr>
                <w:sz w:val="18"/>
              </w:rPr>
              <w:t xml:space="preserve">Per carrier agreement</w:t>
            </w:r>
          </w:p>
        </w:tc>
        <w:tc>
          <w:tcPr/>
          <w:p>
            <w:pPr>
              <w:pStyle w:val="Compact"/>
              <w:jc w:val="left"/>
            </w:pPr>
            <w:r>
              <w:rPr>
                <w:sz w:val="18"/>
              </w:rPr>
              <w:t xml:space="preserve">Per agreement</w:t>
            </w:r>
          </w:p>
        </w:tc>
      </w:tr>
    </w:tbl>
    <w:bookmarkEnd w:id="31"/>
    <w:bookmarkStart w:id="32" w:name="responsibility-matrix"/>
    <w:p>
      <w:pPr>
        <w:pStyle w:val="Heading2"/>
      </w:pPr>
      <w:r>
        <w:t xml:space="preserve">5.4 Responsibility matrix</w:t>
      </w:r>
    </w:p>
    <w:p>
      <w:pPr>
        <w:pStyle w:val="FirstParagraph"/>
      </w:pPr>
      <w:r>
        <w:t xml:space="preserve">Legend:</w:t>
      </w:r>
      <w:r>
        <w:t xml:space="preserve"> </w:t>
      </w:r>
      <w:r>
        <w:rPr>
          <w:bCs/>
          <w:b/>
        </w:rPr>
        <w:t xml:space="preserve">O</w:t>
      </w:r>
      <w:r>
        <w:t xml:space="preserve"> </w:t>
      </w:r>
      <w:r>
        <w:t xml:space="preserve">own/control,</w:t>
      </w:r>
      <w:r>
        <w:t xml:space="preserve"> </w:t>
      </w:r>
      <w:r>
        <w:rPr>
          <w:bCs/>
          <w:b/>
        </w:rPr>
        <w:t xml:space="preserve">M</w:t>
      </w:r>
      <w:r>
        <w:t xml:space="preserve"> </w:t>
      </w:r>
      <w:r>
        <w:t xml:space="preserve">manage/submit,</w:t>
      </w:r>
      <w:r>
        <w:t xml:space="preserve"> </w:t>
      </w:r>
      <w:r>
        <w:rPr>
          <w:bCs/>
          <w:b/>
        </w:rPr>
        <w:t xml:space="preserve">A</w:t>
      </w:r>
      <w:r>
        <w:t xml:space="preserve"> </w:t>
      </w:r>
      <w:r>
        <w:t xml:space="preserve">approve,</w:t>
      </w:r>
      <w:r>
        <w:t xml:space="preserve"> </w:t>
      </w:r>
      <w:r>
        <w:rPr>
          <w:bCs/>
          <w:b/>
        </w:rPr>
        <w:t xml:space="preserve">V</w:t>
      </w:r>
      <w:r>
        <w:t xml:space="preserve"> </w:t>
      </w:r>
      <w:r>
        <w:t xml:space="preserve">view,</w:t>
      </w:r>
      <w:r>
        <w:t xml:space="preserve"> </w:t>
      </w:r>
      <w:r>
        <w:rPr>
          <w:bCs/>
          <w:b/>
        </w:rPr>
        <w:t xml:space="preserve">—</w:t>
      </w:r>
      <w:r>
        <w:t xml:space="preserve"> </w:t>
      </w:r>
      <w:r>
        <w:t xml:space="preserve">none. (* limited visibility.)</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W w:w="5000" w:type="pct"/>
        <w:tblLayout w:type="autofit"/>
      </w:tblPr>
      <w:tr>
        <w:trPr>
          <w:tblHeader w:val="true"/>
        </w:trPr>
        <w:tc>
          <w:tcPr>
            <w:shd w:val="clear" w:fill="092448"/>
          </w:tcPr>
          <w:p>
            <w:pPr>
              <w:pStyle w:val="Compact"/>
              <w:jc w:val="left"/>
            </w:pPr>
            <w:r>
              <w:rPr>
                <w:b/>
                <w:color w:val="FFFFFF"/>
                <w:sz w:val="18"/>
              </w:rPr>
              <w:t xml:space="preserve">Function</w:t>
            </w:r>
          </w:p>
        </w:tc>
        <w:tc>
          <w:tcPr>
            <w:shd w:val="clear" w:fill="092448"/>
          </w:tcPr>
          <w:p>
            <w:pPr>
              <w:pStyle w:val="Compact"/>
              <w:jc w:val="left"/>
            </w:pPr>
            <w:r>
              <w:rPr>
                <w:b/>
                <w:color w:val="FFFFFF"/>
                <w:sz w:val="18"/>
              </w:rPr>
              <w:t xml:space="preserve">Driver</w:t>
            </w:r>
          </w:p>
        </w:tc>
        <w:tc>
          <w:tcPr>
            <w:shd w:val="clear" w:fill="092448"/>
          </w:tcPr>
          <w:p>
            <w:pPr>
              <w:pStyle w:val="Compact"/>
              <w:jc w:val="left"/>
            </w:pPr>
            <w:r>
              <w:rPr>
                <w:b/>
                <w:color w:val="FFFFFF"/>
                <w:sz w:val="18"/>
              </w:rPr>
              <w:t xml:space="preserve">Carrier</w:t>
            </w:r>
          </w:p>
        </w:tc>
        <w:tc>
          <w:tcPr>
            <w:shd w:val="clear" w:fill="092448"/>
          </w:tcPr>
          <w:p>
            <w:pPr>
              <w:pStyle w:val="Compact"/>
              <w:jc w:val="left"/>
            </w:pPr>
            <w:r>
              <w:rPr>
                <w:b/>
                <w:color w:val="FFFFFF"/>
                <w:sz w:val="18"/>
              </w:rPr>
              <w:t xml:space="preserve">Fleet Co.</w:t>
            </w:r>
          </w:p>
        </w:tc>
        <w:tc>
          <w:tcPr>
            <w:shd w:val="clear" w:fill="092448"/>
          </w:tcPr>
          <w:p>
            <w:pPr>
              <w:pStyle w:val="Compact"/>
              <w:jc w:val="left"/>
            </w:pPr>
            <w:r>
              <w:rPr>
                <w:b/>
                <w:color w:val="FFFFFF"/>
                <w:sz w:val="18"/>
              </w:rPr>
              <w:t xml:space="preserve">Platform</w:t>
            </w:r>
          </w:p>
        </w:tc>
      </w:tr>
      <w:tr>
        <w:tc>
          <w:tcPr/>
          <w:p>
            <w:pPr>
              <w:pStyle w:val="Compact"/>
              <w:jc w:val="left"/>
            </w:pPr>
            <w:r>
              <w:rPr>
                <w:sz w:val="18"/>
              </w:rPr>
              <w:t xml:space="preserve">Execute load</w:t>
            </w:r>
          </w:p>
        </w:tc>
        <w:tc>
          <w:tcPr/>
          <w:p>
            <w:pPr>
              <w:pStyle w:val="Compact"/>
              <w:jc w:val="left"/>
            </w:pPr>
            <w:r>
              <w:rPr>
                <w:sz w:val="18"/>
              </w:rPr>
              <w:t xml:space="preserve">O</w:t>
            </w:r>
          </w:p>
        </w:tc>
        <w:tc>
          <w:tcPr/>
          <w:p>
            <w:pPr>
              <w:pStyle w:val="Compact"/>
              <w:jc w:val="left"/>
            </w:pPr>
            <w:r>
              <w:rPr>
                <w:sz w:val="18"/>
              </w:rPr>
              <w:t xml:space="preserve">M</w:t>
            </w:r>
          </w:p>
        </w:tc>
        <w:tc>
          <w:tcPr/>
          <w:p>
            <w:pPr>
              <w:pStyle w:val="Compact"/>
              <w:jc w:val="left"/>
            </w:pPr>
            <w:r>
              <w:rPr>
                <w:sz w:val="18"/>
              </w:rPr>
              <w:t xml:space="preserve">V</w:t>
            </w:r>
          </w:p>
        </w:tc>
        <w:tc>
          <w:tcPr/>
          <w:p>
            <w:pPr>
              <w:pStyle w:val="Compact"/>
              <w:jc w:val="left"/>
            </w:pPr>
            <w:r>
              <w:rPr>
                <w:sz w:val="18"/>
              </w:rPr>
              <w:t xml:space="preserve">V</w:t>
            </w:r>
          </w:p>
        </w:tc>
      </w:tr>
      <w:tr>
        <w:tc>
          <w:tcPr/>
          <w:p>
            <w:pPr>
              <w:pStyle w:val="Compact"/>
              <w:jc w:val="left"/>
            </w:pPr>
            <w:r>
              <w:rPr>
                <w:sz w:val="18"/>
              </w:rPr>
              <w:t xml:space="preserve">Create load</w:t>
            </w:r>
          </w:p>
        </w:tc>
        <w:tc>
          <w:tcPr/>
          <w:p>
            <w:pPr>
              <w:pStyle w:val="Compact"/>
              <w:jc w:val="left"/>
            </w:pPr>
            <w:r>
              <w:rPr>
                <w:sz w:val="18"/>
              </w:rPr>
              <w:t xml:space="preserve">—</w:t>
            </w:r>
          </w:p>
        </w:tc>
        <w:tc>
          <w:tcPr/>
          <w:p>
            <w:pPr>
              <w:pStyle w:val="Compact"/>
              <w:jc w:val="left"/>
            </w:pPr>
            <w:r>
              <w:rPr>
                <w:sz w:val="18"/>
              </w:rPr>
              <w:t xml:space="preserve">O</w:t>
            </w:r>
          </w:p>
        </w:tc>
        <w:tc>
          <w:tcPr/>
          <w:p>
            <w:pPr>
              <w:pStyle w:val="Compact"/>
              <w:jc w:val="left"/>
            </w:pPr>
            <w:r>
              <w:rPr>
                <w:sz w:val="18"/>
              </w:rPr>
              <w:t xml:space="preserve">—</w:t>
            </w:r>
          </w:p>
        </w:tc>
        <w:tc>
          <w:tcPr/>
          <w:p>
            <w:pPr>
              <w:pStyle w:val="Compact"/>
              <w:jc w:val="left"/>
            </w:pPr>
            <w:r>
              <w:rPr>
                <w:sz w:val="18"/>
              </w:rPr>
              <w:t xml:space="preserve">V</w:t>
            </w:r>
          </w:p>
        </w:tc>
      </w:tr>
      <w:tr>
        <w:tc>
          <w:tcPr/>
          <w:p>
            <w:pPr>
              <w:pStyle w:val="Compact"/>
              <w:jc w:val="left"/>
            </w:pPr>
            <w:r>
              <w:rPr>
                <w:sz w:val="18"/>
              </w:rPr>
              <w:t xml:space="preserve">Assign load</w:t>
            </w:r>
          </w:p>
        </w:tc>
        <w:tc>
          <w:tcPr/>
          <w:p>
            <w:pPr>
              <w:pStyle w:val="Compact"/>
              <w:jc w:val="left"/>
            </w:pPr>
            <w:r>
              <w:rPr>
                <w:sz w:val="18"/>
              </w:rPr>
              <w:t xml:space="preserve">Accept/Reject</w:t>
            </w:r>
          </w:p>
        </w:tc>
        <w:tc>
          <w:tcPr/>
          <w:p>
            <w:pPr>
              <w:pStyle w:val="Compact"/>
              <w:jc w:val="left"/>
            </w:pPr>
            <w:r>
              <w:rPr>
                <w:sz w:val="18"/>
              </w:rPr>
              <w:t xml:space="preserve">O</w:t>
            </w:r>
          </w:p>
        </w:tc>
        <w:tc>
          <w:tcPr/>
          <w:p>
            <w:pPr>
              <w:pStyle w:val="Compact"/>
              <w:jc w:val="left"/>
            </w:pPr>
            <w:r>
              <w:rPr>
                <w:sz w:val="18"/>
              </w:rPr>
              <w:t xml:space="preserve">—</w:t>
            </w:r>
          </w:p>
        </w:tc>
        <w:tc>
          <w:tcPr/>
          <w:p>
            <w:pPr>
              <w:pStyle w:val="Compact"/>
              <w:jc w:val="left"/>
            </w:pPr>
            <w:r>
              <w:rPr>
                <w:sz w:val="18"/>
              </w:rPr>
              <w:t xml:space="preserve">V</w:t>
            </w:r>
          </w:p>
        </w:tc>
      </w:tr>
      <w:tr>
        <w:tc>
          <w:tcPr/>
          <w:p>
            <w:pPr>
              <w:pStyle w:val="Compact"/>
              <w:jc w:val="left"/>
            </w:pPr>
            <w:r>
              <w:rPr>
                <w:sz w:val="18"/>
              </w:rPr>
              <w:t xml:space="preserve">Carrier driver creation</w:t>
            </w:r>
          </w:p>
        </w:tc>
        <w:tc>
          <w:tcPr/>
          <w:p>
            <w:pPr>
              <w:pStyle w:val="Compact"/>
              <w:jc w:val="left"/>
            </w:pPr>
            <w:r>
              <w:rPr>
                <w:sz w:val="18"/>
              </w:rPr>
              <w:t xml:space="preserve">M</w:t>
            </w:r>
          </w:p>
        </w:tc>
        <w:tc>
          <w:tcPr/>
          <w:p>
            <w:pPr>
              <w:pStyle w:val="Compact"/>
              <w:jc w:val="left"/>
            </w:pPr>
            <w:r>
              <w:rPr>
                <w:sz w:val="18"/>
              </w:rPr>
              <w:t xml:space="preserve">O/A</w:t>
            </w:r>
          </w:p>
        </w:tc>
        <w:tc>
          <w:tcPr/>
          <w:p>
            <w:pPr>
              <w:pStyle w:val="Compact"/>
              <w:jc w:val="left"/>
            </w:pPr>
            <w:r>
              <w:rPr>
                <w:sz w:val="18"/>
              </w:rPr>
              <w:t xml:space="preserve">—</w:t>
            </w:r>
          </w:p>
        </w:tc>
        <w:tc>
          <w:tcPr/>
          <w:p>
            <w:pPr>
              <w:pStyle w:val="Compact"/>
              <w:jc w:val="left"/>
            </w:pPr>
            <w:r>
              <w:rPr>
                <w:sz w:val="18"/>
              </w:rPr>
              <w:t xml:space="preserve">V</w:t>
            </w:r>
          </w:p>
        </w:tc>
      </w:tr>
      <w:tr>
        <w:tc>
          <w:tcPr/>
          <w:p>
            <w:pPr>
              <w:pStyle w:val="Compact"/>
              <w:jc w:val="left"/>
            </w:pPr>
            <w:r>
              <w:rPr>
                <w:sz w:val="18"/>
              </w:rPr>
              <w:t xml:space="preserve">Fleet driver creation</w:t>
            </w:r>
          </w:p>
        </w:tc>
        <w:tc>
          <w:tcPr/>
          <w:p>
            <w:pPr>
              <w:pStyle w:val="Compact"/>
              <w:jc w:val="left"/>
            </w:pPr>
            <w:r>
              <w:rPr>
                <w:sz w:val="18"/>
              </w:rPr>
              <w:t xml:space="preserve">M</w:t>
            </w:r>
          </w:p>
        </w:tc>
        <w:tc>
          <w:tcPr/>
          <w:p>
            <w:pPr>
              <w:pStyle w:val="Compact"/>
              <w:jc w:val="left"/>
            </w:pPr>
            <w:r>
              <w:rPr>
                <w:sz w:val="18"/>
              </w:rPr>
              <w:t xml:space="preserve">A</w:t>
            </w:r>
          </w:p>
        </w:tc>
        <w:tc>
          <w:tcPr/>
          <w:p>
            <w:pPr>
              <w:pStyle w:val="Compact"/>
              <w:jc w:val="left"/>
            </w:pPr>
            <w:r>
              <w:rPr>
                <w:sz w:val="18"/>
              </w:rPr>
              <w:t xml:space="preserve">O/M</w:t>
            </w:r>
          </w:p>
        </w:tc>
        <w:tc>
          <w:tcPr/>
          <w:p>
            <w:pPr>
              <w:pStyle w:val="Compact"/>
              <w:jc w:val="left"/>
            </w:pPr>
            <w:r>
              <w:rPr>
                <w:sz w:val="18"/>
              </w:rPr>
              <w:t xml:space="preserve">V</w:t>
            </w:r>
          </w:p>
        </w:tc>
      </w:tr>
      <w:tr>
        <w:tc>
          <w:tcPr/>
          <w:p>
            <w:pPr>
              <w:pStyle w:val="Compact"/>
              <w:jc w:val="left"/>
            </w:pPr>
            <w:r>
              <w:rPr>
                <w:sz w:val="18"/>
              </w:rPr>
              <w:t xml:space="preserve">Driver compliance approval</w:t>
            </w:r>
          </w:p>
        </w:tc>
        <w:tc>
          <w:tcPr/>
          <w:p>
            <w:pPr>
              <w:pStyle w:val="Compact"/>
              <w:jc w:val="left"/>
            </w:pPr>
            <w:r>
              <w:rPr>
                <w:sz w:val="18"/>
              </w:rPr>
              <w:t xml:space="preserve">Submit</w:t>
            </w:r>
          </w:p>
        </w:tc>
        <w:tc>
          <w:tcPr/>
          <w:p>
            <w:pPr>
              <w:pStyle w:val="Compact"/>
              <w:jc w:val="left"/>
            </w:pPr>
            <w:r>
              <w:rPr>
                <w:sz w:val="18"/>
              </w:rPr>
              <w:t xml:space="preserve">O/A</w:t>
            </w:r>
          </w:p>
        </w:tc>
        <w:tc>
          <w:tcPr/>
          <w:p>
            <w:pPr>
              <w:pStyle w:val="Compact"/>
              <w:jc w:val="left"/>
            </w:pPr>
            <w:r>
              <w:rPr>
                <w:sz w:val="18"/>
              </w:rPr>
              <w:t xml:space="preserve">M</w:t>
            </w:r>
          </w:p>
        </w:tc>
        <w:tc>
          <w:tcPr/>
          <w:p>
            <w:pPr>
              <w:pStyle w:val="Compact"/>
              <w:jc w:val="left"/>
            </w:pPr>
            <w:r>
              <w:rPr>
                <w:sz w:val="18"/>
              </w:rPr>
              <w:t xml:space="preserve">V</w:t>
            </w:r>
          </w:p>
        </w:tc>
      </w:tr>
      <w:tr>
        <w:tc>
          <w:tcPr/>
          <w:p>
            <w:pPr>
              <w:pStyle w:val="Compact"/>
              <w:jc w:val="left"/>
            </w:pPr>
            <w:r>
              <w:rPr>
                <w:sz w:val="18"/>
              </w:rPr>
              <w:t xml:space="preserve">Fleet truck creation</w:t>
            </w:r>
          </w:p>
        </w:tc>
        <w:tc>
          <w:tcPr/>
          <w:p>
            <w:pPr>
              <w:pStyle w:val="Compact"/>
              <w:jc w:val="left"/>
            </w:pPr>
            <w:r>
              <w:rPr>
                <w:sz w:val="18"/>
              </w:rPr>
              <w:t xml:space="preserve">—</w:t>
            </w:r>
          </w:p>
        </w:tc>
        <w:tc>
          <w:tcPr/>
          <w:p>
            <w:pPr>
              <w:pStyle w:val="Compact"/>
              <w:jc w:val="left"/>
            </w:pPr>
            <w:r>
              <w:rPr>
                <w:sz w:val="18"/>
              </w:rPr>
              <w:t xml:space="preserve">A</w:t>
            </w:r>
          </w:p>
        </w:tc>
        <w:tc>
          <w:tcPr/>
          <w:p>
            <w:pPr>
              <w:pStyle w:val="Compact"/>
              <w:jc w:val="left"/>
            </w:pPr>
            <w:r>
              <w:rPr>
                <w:sz w:val="18"/>
              </w:rPr>
              <w:t xml:space="preserve">O</w:t>
            </w:r>
          </w:p>
        </w:tc>
        <w:tc>
          <w:tcPr/>
          <w:p>
            <w:pPr>
              <w:pStyle w:val="Compact"/>
              <w:jc w:val="left"/>
            </w:pPr>
            <w:r>
              <w:rPr>
                <w:sz w:val="18"/>
              </w:rPr>
              <w:t xml:space="preserve">V</w:t>
            </w:r>
          </w:p>
        </w:tc>
      </w:tr>
      <w:tr>
        <w:tc>
          <w:tcPr/>
          <w:p>
            <w:pPr>
              <w:pStyle w:val="Compact"/>
              <w:jc w:val="left"/>
            </w:pPr>
            <w:r>
              <w:rPr>
                <w:sz w:val="18"/>
              </w:rPr>
              <w:t xml:space="preserve">Carrier truck creation</w:t>
            </w:r>
          </w:p>
        </w:tc>
        <w:tc>
          <w:tcPr/>
          <w:p>
            <w:pPr>
              <w:pStyle w:val="Compact"/>
              <w:jc w:val="left"/>
            </w:pPr>
            <w:r>
              <w:rPr>
                <w:sz w:val="18"/>
              </w:rPr>
              <w:t xml:space="preserve">—</w:t>
            </w:r>
          </w:p>
        </w:tc>
        <w:tc>
          <w:tcPr/>
          <w:p>
            <w:pPr>
              <w:pStyle w:val="Compact"/>
              <w:jc w:val="left"/>
            </w:pPr>
            <w:r>
              <w:rPr>
                <w:sz w:val="18"/>
              </w:rPr>
              <w:t xml:space="preserve">O</w:t>
            </w:r>
          </w:p>
        </w:tc>
        <w:tc>
          <w:tcPr/>
          <w:p>
            <w:pPr>
              <w:pStyle w:val="Compact"/>
              <w:jc w:val="left"/>
            </w:pPr>
            <w:r>
              <w:rPr>
                <w:sz w:val="18"/>
              </w:rPr>
              <w:t xml:space="preserve">—</w:t>
            </w:r>
          </w:p>
        </w:tc>
        <w:tc>
          <w:tcPr/>
          <w:p>
            <w:pPr>
              <w:pStyle w:val="Compact"/>
              <w:jc w:val="left"/>
            </w:pPr>
            <w:r>
              <w:rPr>
                <w:sz w:val="18"/>
              </w:rPr>
              <w:t xml:space="preserve">V</w:t>
            </w:r>
          </w:p>
        </w:tc>
      </w:tr>
      <w:tr>
        <w:tc>
          <w:tcPr/>
          <w:p>
            <w:pPr>
              <w:pStyle w:val="Compact"/>
              <w:jc w:val="left"/>
            </w:pPr>
            <w:r>
              <w:rPr>
                <w:sz w:val="18"/>
              </w:rPr>
              <w:t xml:space="preserve">Dispatch eligibility</w:t>
            </w:r>
          </w:p>
        </w:tc>
        <w:tc>
          <w:tcPr/>
          <w:p>
            <w:pPr>
              <w:pStyle w:val="Compact"/>
              <w:jc w:val="left"/>
            </w:pPr>
            <w:r>
              <w:rPr>
                <w:sz w:val="18"/>
              </w:rPr>
              <w:t xml:space="preserve">—</w:t>
            </w:r>
          </w:p>
        </w:tc>
        <w:tc>
          <w:tcPr/>
          <w:p>
            <w:pPr>
              <w:pStyle w:val="Compact"/>
              <w:jc w:val="left"/>
            </w:pPr>
            <w:r>
              <w:rPr>
                <w:sz w:val="18"/>
              </w:rPr>
              <w:t xml:space="preserve">O</w:t>
            </w:r>
          </w:p>
        </w:tc>
        <w:tc>
          <w:tcPr/>
          <w:p>
            <w:pPr>
              <w:pStyle w:val="Compact"/>
              <w:jc w:val="left"/>
            </w:pPr>
            <w:r>
              <w:rPr>
                <w:sz w:val="18"/>
              </w:rPr>
              <w:t xml:space="preserve">—</w:t>
            </w:r>
          </w:p>
        </w:tc>
        <w:tc>
          <w:tcPr/>
          <w:p>
            <w:pPr>
              <w:pStyle w:val="Compact"/>
              <w:jc w:val="left"/>
            </w:pPr>
            <w:r>
              <w:rPr>
                <w:sz w:val="18"/>
              </w:rPr>
              <w:t xml:space="preserve">V</w:t>
            </w:r>
          </w:p>
        </w:tc>
      </w:tr>
      <w:tr>
        <w:tc>
          <w:tcPr/>
          <w:p>
            <w:pPr>
              <w:pStyle w:val="Compact"/>
              <w:jc w:val="left"/>
            </w:pPr>
            <w:r>
              <w:rPr>
                <w:sz w:val="18"/>
              </w:rPr>
              <w:t xml:space="preserve">Customer / broker management</w:t>
            </w:r>
          </w:p>
        </w:tc>
        <w:tc>
          <w:tcPr/>
          <w:p>
            <w:pPr>
              <w:pStyle w:val="Compact"/>
              <w:jc w:val="left"/>
            </w:pPr>
            <w:r>
              <w:rPr>
                <w:sz w:val="18"/>
              </w:rPr>
              <w:t xml:space="preserve">—</w:t>
            </w:r>
          </w:p>
        </w:tc>
        <w:tc>
          <w:tcPr/>
          <w:p>
            <w:pPr>
              <w:pStyle w:val="Compact"/>
              <w:jc w:val="left"/>
            </w:pPr>
            <w:r>
              <w:rPr>
                <w:sz w:val="18"/>
              </w:rPr>
              <w:t xml:space="preserve">O</w:t>
            </w:r>
          </w:p>
        </w:tc>
        <w:tc>
          <w:tcPr/>
          <w:p>
            <w:pPr>
              <w:pStyle w:val="Compact"/>
              <w:jc w:val="left"/>
            </w:pPr>
            <w:r>
              <w:rPr>
                <w:sz w:val="18"/>
              </w:rPr>
              <w:t xml:space="preserve">—</w:t>
            </w:r>
          </w:p>
        </w:tc>
        <w:tc>
          <w:tcPr/>
          <w:p>
            <w:pPr>
              <w:pStyle w:val="Compact"/>
              <w:jc w:val="left"/>
            </w:pPr>
            <w:r>
              <w:rPr>
                <w:sz w:val="18"/>
              </w:rPr>
              <w:t xml:space="preserve">V</w:t>
            </w:r>
          </w:p>
        </w:tc>
      </w:tr>
      <w:tr>
        <w:tc>
          <w:tcPr/>
          <w:p>
            <w:pPr>
              <w:pStyle w:val="Compact"/>
              <w:jc w:val="left"/>
            </w:pPr>
            <w:r>
              <w:rPr>
                <w:sz w:val="18"/>
              </w:rPr>
              <w:t xml:space="preserve">Carrier load rate</w:t>
            </w:r>
          </w:p>
        </w:tc>
        <w:tc>
          <w:tcPr/>
          <w:p>
            <w:pPr>
              <w:pStyle w:val="Compact"/>
              <w:jc w:val="left"/>
            </w:pPr>
            <w:r>
              <w:rPr>
                <w:sz w:val="18"/>
              </w:rPr>
              <w:t xml:space="preserve">—</w:t>
            </w:r>
          </w:p>
        </w:tc>
        <w:tc>
          <w:tcPr/>
          <w:p>
            <w:pPr>
              <w:pStyle w:val="Compact"/>
              <w:jc w:val="left"/>
            </w:pPr>
            <w:r>
              <w:rPr>
                <w:sz w:val="18"/>
              </w:rPr>
              <w:t xml:space="preserve">O</w:t>
            </w:r>
          </w:p>
        </w:tc>
        <w:tc>
          <w:tcPr/>
          <w:p>
            <w:pPr>
              <w:pStyle w:val="Compact"/>
              <w:jc w:val="left"/>
            </w:pPr>
            <w:r>
              <w:rPr>
                <w:sz w:val="18"/>
              </w:rPr>
              <w:t xml:space="preserve">—</w:t>
            </w:r>
          </w:p>
        </w:tc>
        <w:tc>
          <w:tcPr/>
          <w:p>
            <w:pPr>
              <w:pStyle w:val="Compact"/>
              <w:jc w:val="left"/>
            </w:pPr>
            <w:r>
              <w:rPr>
                <w:sz w:val="18"/>
              </w:rPr>
              <w:t xml:space="preserve">V</w:t>
            </w:r>
          </w:p>
        </w:tc>
      </w:tr>
      <w:tr>
        <w:tc>
          <w:tcPr/>
          <w:p>
            <w:pPr>
              <w:pStyle w:val="Compact"/>
              <w:jc w:val="left"/>
            </w:pPr>
            <w:r>
              <w:rPr>
                <w:sz w:val="18"/>
              </w:rPr>
              <w:t xml:space="preserve">GPS / load tracking</w:t>
            </w:r>
          </w:p>
        </w:tc>
        <w:tc>
          <w:tcPr/>
          <w:p>
            <w:pPr>
              <w:pStyle w:val="Compact"/>
              <w:jc w:val="left"/>
            </w:pPr>
            <w:r>
              <w:rPr>
                <w:sz w:val="18"/>
              </w:rPr>
              <w:t xml:space="preserve">M</w:t>
            </w:r>
          </w:p>
        </w:tc>
        <w:tc>
          <w:tcPr/>
          <w:p>
            <w:pPr>
              <w:pStyle w:val="Compact"/>
              <w:jc w:val="left"/>
            </w:pPr>
            <w:r>
              <w:rPr>
                <w:sz w:val="18"/>
              </w:rPr>
              <w:t xml:space="preserve">O</w:t>
            </w:r>
          </w:p>
        </w:tc>
        <w:tc>
          <w:tcPr/>
          <w:p>
            <w:pPr>
              <w:pStyle w:val="Compact"/>
              <w:jc w:val="left"/>
            </w:pPr>
            <w:r>
              <w:rPr>
                <w:sz w:val="18"/>
              </w:rPr>
              <w:t xml:space="preserve">V</w:t>
            </w:r>
          </w:p>
        </w:tc>
        <w:tc>
          <w:tcPr/>
          <w:p>
            <w:pPr>
              <w:pStyle w:val="Compact"/>
              <w:jc w:val="left"/>
            </w:pPr>
            <w:r>
              <w:rPr>
                <w:sz w:val="18"/>
              </w:rPr>
              <w:t xml:space="preserve">V</w:t>
            </w:r>
          </w:p>
        </w:tc>
      </w:tr>
      <w:tr>
        <w:tc>
          <w:tcPr/>
          <w:p>
            <w:pPr>
              <w:pStyle w:val="Compact"/>
              <w:jc w:val="left"/>
            </w:pPr>
            <w:r>
              <w:rPr>
                <w:sz w:val="18"/>
              </w:rPr>
              <w:t xml:space="preserve">POD submission</w:t>
            </w:r>
          </w:p>
        </w:tc>
        <w:tc>
          <w:tcPr/>
          <w:p>
            <w:pPr>
              <w:pStyle w:val="Compact"/>
              <w:jc w:val="left"/>
            </w:pPr>
            <w:r>
              <w:rPr>
                <w:sz w:val="18"/>
              </w:rPr>
              <w:t xml:space="preserve">O</w:t>
            </w:r>
          </w:p>
        </w:tc>
        <w:tc>
          <w:tcPr/>
          <w:p>
            <w:pPr>
              <w:pStyle w:val="Compact"/>
              <w:jc w:val="left"/>
            </w:pPr>
            <w:r>
              <w:rPr>
                <w:sz w:val="18"/>
              </w:rPr>
              <w:t xml:space="preserve">M/A</w:t>
            </w:r>
          </w:p>
        </w:tc>
        <w:tc>
          <w:tcPr/>
          <w:p>
            <w:pPr>
              <w:pStyle w:val="Compact"/>
              <w:jc w:val="left"/>
            </w:pPr>
            <w:r>
              <w:rPr>
                <w:sz w:val="18"/>
              </w:rPr>
              <w:t xml:space="preserve">V</w:t>
            </w:r>
          </w:p>
        </w:tc>
        <w:tc>
          <w:tcPr/>
          <w:p>
            <w:pPr>
              <w:pStyle w:val="Compact"/>
              <w:jc w:val="left"/>
            </w:pPr>
            <w:r>
              <w:rPr>
                <w:sz w:val="18"/>
              </w:rPr>
              <w:t xml:space="preserve">V</w:t>
            </w:r>
          </w:p>
        </w:tc>
      </w:tr>
      <w:tr>
        <w:tc>
          <w:tcPr/>
          <w:p>
            <w:pPr>
              <w:pStyle w:val="Compact"/>
              <w:jc w:val="left"/>
            </w:pPr>
            <w:r>
              <w:rPr>
                <w:sz w:val="18"/>
              </w:rPr>
              <w:t xml:space="preserve">Carrier driver settlement</w:t>
            </w:r>
          </w:p>
        </w:tc>
        <w:tc>
          <w:tcPr/>
          <w:p>
            <w:pPr>
              <w:pStyle w:val="Compact"/>
              <w:jc w:val="left"/>
            </w:pPr>
            <w:r>
              <w:rPr>
                <w:sz w:val="18"/>
              </w:rPr>
              <w:t xml:space="preserve">V</w:t>
            </w:r>
          </w:p>
        </w:tc>
        <w:tc>
          <w:tcPr/>
          <w:p>
            <w:pPr>
              <w:pStyle w:val="Compact"/>
              <w:jc w:val="left"/>
            </w:pPr>
            <w:r>
              <w:rPr>
                <w:sz w:val="18"/>
              </w:rPr>
              <w:t xml:space="preserve">O</w:t>
            </w:r>
          </w:p>
        </w:tc>
        <w:tc>
          <w:tcPr/>
          <w:p>
            <w:pPr>
              <w:pStyle w:val="Compact"/>
              <w:jc w:val="left"/>
            </w:pPr>
            <w:r>
              <w:rPr>
                <w:sz w:val="18"/>
              </w:rPr>
              <w:t xml:space="preserve">—</w:t>
            </w:r>
          </w:p>
        </w:tc>
        <w:tc>
          <w:tcPr/>
          <w:p>
            <w:pPr>
              <w:pStyle w:val="Compact"/>
              <w:jc w:val="left"/>
            </w:pPr>
            <w:r>
              <w:rPr>
                <w:sz w:val="18"/>
              </w:rPr>
              <w:t xml:space="preserve">V</w:t>
            </w:r>
          </w:p>
        </w:tc>
      </w:tr>
      <w:tr>
        <w:tc>
          <w:tcPr/>
          <w:p>
            <w:pPr>
              <w:pStyle w:val="Compact"/>
              <w:jc w:val="left"/>
            </w:pPr>
            <w:r>
              <w:rPr>
                <w:sz w:val="18"/>
              </w:rPr>
              <w:t xml:space="preserve">Fleet settlement</w:t>
            </w:r>
          </w:p>
        </w:tc>
        <w:tc>
          <w:tcPr/>
          <w:p>
            <w:pPr>
              <w:pStyle w:val="Compact"/>
              <w:jc w:val="left"/>
            </w:pPr>
            <w:r>
              <w:rPr>
                <w:sz w:val="18"/>
              </w:rPr>
              <w:t xml:space="preserve">—</w:t>
            </w:r>
          </w:p>
        </w:tc>
        <w:tc>
          <w:tcPr/>
          <w:p>
            <w:pPr>
              <w:pStyle w:val="Compact"/>
              <w:jc w:val="left"/>
            </w:pPr>
            <w:r>
              <w:rPr>
                <w:sz w:val="18"/>
              </w:rPr>
              <w:t xml:space="preserve">O</w:t>
            </w:r>
          </w:p>
        </w:tc>
        <w:tc>
          <w:tcPr/>
          <w:p>
            <w:pPr>
              <w:pStyle w:val="Compact"/>
              <w:jc w:val="left"/>
            </w:pPr>
            <w:r>
              <w:rPr>
                <w:sz w:val="18"/>
              </w:rPr>
              <w:t xml:space="preserve">V/Dispute</w:t>
            </w:r>
          </w:p>
        </w:tc>
        <w:tc>
          <w:tcPr/>
          <w:p>
            <w:pPr>
              <w:pStyle w:val="Compact"/>
              <w:jc w:val="left"/>
            </w:pPr>
            <w:r>
              <w:rPr>
                <w:sz w:val="18"/>
              </w:rPr>
              <w:t xml:space="preserve">V</w:t>
            </w:r>
          </w:p>
        </w:tc>
      </w:tr>
      <w:tr>
        <w:tc>
          <w:tcPr/>
          <w:p>
            <w:pPr>
              <w:pStyle w:val="Compact"/>
              <w:jc w:val="left"/>
            </w:pPr>
            <w:r>
              <w:rPr>
                <w:sz w:val="18"/>
              </w:rPr>
              <w:t xml:space="preserve">Fleet driver pay</w:t>
            </w:r>
          </w:p>
        </w:tc>
        <w:tc>
          <w:tcPr/>
          <w:p>
            <w:pPr>
              <w:pStyle w:val="Compact"/>
              <w:jc w:val="left"/>
            </w:pPr>
            <w:r>
              <w:rPr>
                <w:sz w:val="18"/>
              </w:rPr>
              <w:t xml:space="preserve">V</w:t>
            </w:r>
          </w:p>
        </w:tc>
        <w:tc>
          <w:tcPr/>
          <w:p>
            <w:pPr>
              <w:pStyle w:val="Compact"/>
              <w:jc w:val="left"/>
            </w:pPr>
            <w:r>
              <w:rPr>
                <w:sz w:val="18"/>
              </w:rPr>
              <w:t xml:space="preserve">—</w:t>
            </w:r>
          </w:p>
        </w:tc>
        <w:tc>
          <w:tcPr/>
          <w:p>
            <w:pPr>
              <w:pStyle w:val="Compact"/>
              <w:jc w:val="left"/>
            </w:pPr>
            <w:r>
              <w:rPr>
                <w:sz w:val="18"/>
              </w:rPr>
              <w:t xml:space="preserve">O</w:t>
            </w:r>
          </w:p>
        </w:tc>
        <w:tc>
          <w:tcPr/>
          <w:p>
            <w:pPr>
              <w:pStyle w:val="Compact"/>
              <w:jc w:val="left"/>
            </w:pPr>
            <w:r>
              <w:rPr>
                <w:sz w:val="18"/>
              </w:rPr>
              <w:t xml:space="preserve">V*</w:t>
            </w:r>
          </w:p>
        </w:tc>
      </w:tr>
      <w:tr>
        <w:tc>
          <w:tcPr/>
          <w:p>
            <w:pPr>
              <w:pStyle w:val="Compact"/>
              <w:jc w:val="left"/>
            </w:pPr>
            <w:r>
              <w:rPr>
                <w:sz w:val="18"/>
              </w:rPr>
              <w:t xml:space="preserve">Carrier escrow</w:t>
            </w:r>
          </w:p>
        </w:tc>
        <w:tc>
          <w:tcPr/>
          <w:p>
            <w:pPr>
              <w:pStyle w:val="Compact"/>
              <w:jc w:val="left"/>
            </w:pPr>
            <w:r>
              <w:rPr>
                <w:sz w:val="18"/>
              </w:rPr>
              <w:t xml:space="preserve">V</w:t>
            </w:r>
          </w:p>
        </w:tc>
        <w:tc>
          <w:tcPr/>
          <w:p>
            <w:pPr>
              <w:pStyle w:val="Compact"/>
              <w:jc w:val="left"/>
            </w:pPr>
            <w:r>
              <w:rPr>
                <w:sz w:val="18"/>
              </w:rPr>
              <w:t xml:space="preserve">O</w:t>
            </w:r>
          </w:p>
        </w:tc>
        <w:tc>
          <w:tcPr/>
          <w:p>
            <w:pPr>
              <w:pStyle w:val="Compact"/>
              <w:jc w:val="left"/>
            </w:pPr>
            <w:r>
              <w:rPr>
                <w:sz w:val="18"/>
              </w:rPr>
              <w:t xml:space="preserve">—</w:t>
            </w:r>
          </w:p>
        </w:tc>
        <w:tc>
          <w:tcPr/>
          <w:p>
            <w:pPr>
              <w:pStyle w:val="Compact"/>
              <w:jc w:val="left"/>
            </w:pPr>
            <w:r>
              <w:rPr>
                <w:sz w:val="18"/>
              </w:rPr>
              <w:t xml:space="preserve">V</w:t>
            </w:r>
          </w:p>
        </w:tc>
      </w:tr>
      <w:tr>
        <w:tc>
          <w:tcPr/>
          <w:p>
            <w:pPr>
              <w:pStyle w:val="Compact"/>
              <w:jc w:val="left"/>
            </w:pPr>
            <w:r>
              <w:rPr>
                <w:sz w:val="18"/>
              </w:rPr>
              <w:t xml:space="preserve">Fleet escrow</w:t>
            </w:r>
          </w:p>
        </w:tc>
        <w:tc>
          <w:tcPr/>
          <w:p>
            <w:pPr>
              <w:pStyle w:val="Compact"/>
              <w:jc w:val="left"/>
            </w:pPr>
            <w:r>
              <w:rPr>
                <w:sz w:val="18"/>
              </w:rPr>
              <w:t xml:space="preserve">—</w:t>
            </w:r>
          </w:p>
        </w:tc>
        <w:tc>
          <w:tcPr/>
          <w:p>
            <w:pPr>
              <w:pStyle w:val="Compact"/>
              <w:jc w:val="left"/>
            </w:pPr>
            <w:r>
              <w:rPr>
                <w:sz w:val="18"/>
              </w:rPr>
              <w:t xml:space="preserve">O</w:t>
            </w:r>
          </w:p>
        </w:tc>
        <w:tc>
          <w:tcPr/>
          <w:p>
            <w:pPr>
              <w:pStyle w:val="Compact"/>
              <w:jc w:val="left"/>
            </w:pPr>
            <w:r>
              <w:rPr>
                <w:sz w:val="18"/>
              </w:rPr>
              <w:t xml:space="preserve">V/Dispute</w:t>
            </w:r>
          </w:p>
        </w:tc>
        <w:tc>
          <w:tcPr/>
          <w:p>
            <w:pPr>
              <w:pStyle w:val="Compact"/>
              <w:jc w:val="left"/>
            </w:pPr>
            <w:r>
              <w:rPr>
                <w:sz w:val="18"/>
              </w:rPr>
              <w:t xml:space="preserve">V</w:t>
            </w:r>
          </w:p>
        </w:tc>
      </w:tr>
      <w:tr>
        <w:tc>
          <w:tcPr/>
          <w:p>
            <w:pPr>
              <w:pStyle w:val="Compact"/>
              <w:jc w:val="left"/>
            </w:pPr>
            <w:r>
              <w:rPr>
                <w:sz w:val="18"/>
              </w:rPr>
              <w:t xml:space="preserve">Fleet maintenance</w:t>
            </w:r>
          </w:p>
        </w:tc>
        <w:tc>
          <w:tcPr/>
          <w:p>
            <w:pPr>
              <w:pStyle w:val="Compact"/>
              <w:jc w:val="left"/>
            </w:pPr>
            <w:r>
              <w:rPr>
                <w:sz w:val="18"/>
              </w:rPr>
              <w:t xml:space="preserve">—</w:t>
            </w:r>
          </w:p>
        </w:tc>
        <w:tc>
          <w:tcPr/>
          <w:p>
            <w:pPr>
              <w:pStyle w:val="Compact"/>
              <w:jc w:val="left"/>
            </w:pPr>
            <w:r>
              <w:rPr>
                <w:sz w:val="18"/>
              </w:rPr>
              <w:t xml:space="preserve">V/A*</w:t>
            </w:r>
          </w:p>
        </w:tc>
        <w:tc>
          <w:tcPr/>
          <w:p>
            <w:pPr>
              <w:pStyle w:val="Compact"/>
              <w:jc w:val="left"/>
            </w:pPr>
            <w:r>
              <w:rPr>
                <w:sz w:val="18"/>
              </w:rPr>
              <w:t xml:space="preserve">O</w:t>
            </w:r>
          </w:p>
        </w:tc>
        <w:tc>
          <w:tcPr/>
          <w:p>
            <w:pPr>
              <w:pStyle w:val="Compact"/>
              <w:jc w:val="left"/>
            </w:pPr>
            <w:r>
              <w:rPr>
                <w:sz w:val="18"/>
              </w:rPr>
              <w:t xml:space="preserve">V</w:t>
            </w:r>
          </w:p>
        </w:tc>
      </w:tr>
      <w:tr>
        <w:tc>
          <w:tcPr/>
          <w:p>
            <w:pPr>
              <w:pStyle w:val="Compact"/>
              <w:jc w:val="left"/>
            </w:pPr>
            <w:r>
              <w:rPr>
                <w:sz w:val="18"/>
              </w:rPr>
              <w:t xml:space="preserve">Carrier maintenance</w:t>
            </w:r>
          </w:p>
        </w:tc>
        <w:tc>
          <w:tcPr/>
          <w:p>
            <w:pPr>
              <w:pStyle w:val="Compact"/>
              <w:jc w:val="left"/>
            </w:pPr>
            <w:r>
              <w:rPr>
                <w:sz w:val="18"/>
              </w:rPr>
              <w:t xml:space="preserve">—</w:t>
            </w:r>
          </w:p>
        </w:tc>
        <w:tc>
          <w:tcPr/>
          <w:p>
            <w:pPr>
              <w:pStyle w:val="Compact"/>
              <w:jc w:val="left"/>
            </w:pPr>
            <w:r>
              <w:rPr>
                <w:sz w:val="18"/>
              </w:rPr>
              <w:t xml:space="preserve">O</w:t>
            </w:r>
          </w:p>
        </w:tc>
        <w:tc>
          <w:tcPr/>
          <w:p>
            <w:pPr>
              <w:pStyle w:val="Compact"/>
              <w:jc w:val="left"/>
            </w:pPr>
            <w:r>
              <w:rPr>
                <w:sz w:val="18"/>
              </w:rPr>
              <w:t xml:space="preserve">—</w:t>
            </w:r>
          </w:p>
        </w:tc>
        <w:tc>
          <w:tcPr/>
          <w:p>
            <w:pPr>
              <w:pStyle w:val="Compact"/>
              <w:jc w:val="left"/>
            </w:pPr>
            <w:r>
              <w:rPr>
                <w:sz w:val="18"/>
              </w:rPr>
              <w:t xml:space="preserve">V</w:t>
            </w:r>
          </w:p>
        </w:tc>
      </w:tr>
      <w:tr>
        <w:tc>
          <w:tcPr/>
          <w:p>
            <w:pPr>
              <w:pStyle w:val="Compact"/>
              <w:jc w:val="left"/>
            </w:pPr>
            <w:r>
              <w:rPr>
                <w:sz w:val="18"/>
              </w:rPr>
              <w:t xml:space="preserve">Carrier onboarding</w:t>
            </w:r>
          </w:p>
        </w:tc>
        <w:tc>
          <w:tcPr/>
          <w:p>
            <w:pPr>
              <w:pStyle w:val="Compact"/>
              <w:jc w:val="left"/>
            </w:pPr>
            <w:r>
              <w:rPr>
                <w:sz w:val="18"/>
              </w:rPr>
              <w:t xml:space="preserve">—</w:t>
            </w:r>
          </w:p>
        </w:tc>
        <w:tc>
          <w:tcPr/>
          <w:p>
            <w:pPr>
              <w:pStyle w:val="Compact"/>
              <w:jc w:val="left"/>
            </w:pPr>
            <w:r>
              <w:rPr>
                <w:sz w:val="18"/>
              </w:rPr>
              <w:t xml:space="preserve">M</w:t>
            </w:r>
          </w:p>
        </w:tc>
        <w:tc>
          <w:tcPr/>
          <w:p>
            <w:pPr>
              <w:pStyle w:val="Compact"/>
              <w:jc w:val="left"/>
            </w:pPr>
            <w:r>
              <w:rPr>
                <w:sz w:val="18"/>
              </w:rPr>
              <w:t xml:space="preserve">—</w:t>
            </w:r>
          </w:p>
        </w:tc>
        <w:tc>
          <w:tcPr/>
          <w:p>
            <w:pPr>
              <w:pStyle w:val="Compact"/>
              <w:jc w:val="left"/>
            </w:pPr>
            <w:r>
              <w:rPr>
                <w:sz w:val="18"/>
              </w:rPr>
              <w:t xml:space="preserve">O/A</w:t>
            </w:r>
          </w:p>
        </w:tc>
      </w:tr>
      <w:tr>
        <w:tc>
          <w:tcPr/>
          <w:p>
            <w:pPr>
              <w:pStyle w:val="Compact"/>
              <w:jc w:val="left"/>
            </w:pPr>
            <w:r>
              <w:rPr>
                <w:sz w:val="18"/>
              </w:rPr>
              <w:t xml:space="preserve">Fleet company onboarding</w:t>
            </w:r>
          </w:p>
        </w:tc>
        <w:tc>
          <w:tcPr/>
          <w:p>
            <w:pPr>
              <w:pStyle w:val="Compact"/>
              <w:jc w:val="left"/>
            </w:pPr>
            <w:r>
              <w:rPr>
                <w:sz w:val="18"/>
              </w:rPr>
              <w:t xml:space="preserve">—</w:t>
            </w:r>
          </w:p>
        </w:tc>
        <w:tc>
          <w:tcPr/>
          <w:p>
            <w:pPr>
              <w:pStyle w:val="Compact"/>
              <w:jc w:val="left"/>
            </w:pPr>
            <w:r>
              <w:rPr>
                <w:sz w:val="18"/>
              </w:rPr>
              <w:t xml:space="preserve">O/A</w:t>
            </w:r>
          </w:p>
        </w:tc>
        <w:tc>
          <w:tcPr/>
          <w:p>
            <w:pPr>
              <w:pStyle w:val="Compact"/>
              <w:jc w:val="left"/>
            </w:pPr>
            <w:r>
              <w:rPr>
                <w:sz w:val="18"/>
              </w:rPr>
              <w:t xml:space="preserve">M</w:t>
            </w:r>
          </w:p>
        </w:tc>
        <w:tc>
          <w:tcPr/>
          <w:p>
            <w:pPr>
              <w:pStyle w:val="Compact"/>
              <w:jc w:val="left"/>
            </w:pPr>
            <w:r>
              <w:rPr>
                <w:sz w:val="18"/>
              </w:rPr>
              <w:t xml:space="preserve">V</w:t>
            </w:r>
          </w:p>
        </w:tc>
      </w:tr>
      <w:tr>
        <w:tc>
          <w:tcPr/>
          <w:p>
            <w:pPr>
              <w:pStyle w:val="Compact"/>
              <w:jc w:val="left"/>
            </w:pPr>
            <w:r>
              <w:rPr>
                <w:sz w:val="18"/>
              </w:rPr>
              <w:t xml:space="preserve">Carrier user management</w:t>
            </w:r>
          </w:p>
        </w:tc>
        <w:tc>
          <w:tcPr/>
          <w:p>
            <w:pPr>
              <w:pStyle w:val="Compact"/>
              <w:jc w:val="left"/>
            </w:pPr>
            <w:r>
              <w:rPr>
                <w:sz w:val="18"/>
              </w:rPr>
              <w:t xml:space="preserve">—</w:t>
            </w:r>
          </w:p>
        </w:tc>
        <w:tc>
          <w:tcPr/>
          <w:p>
            <w:pPr>
              <w:pStyle w:val="Compact"/>
              <w:jc w:val="left"/>
            </w:pPr>
            <w:r>
              <w:rPr>
                <w:sz w:val="18"/>
              </w:rPr>
              <w:t xml:space="preserve">O</w:t>
            </w:r>
          </w:p>
        </w:tc>
        <w:tc>
          <w:tcPr/>
          <w:p>
            <w:pPr>
              <w:pStyle w:val="Compact"/>
              <w:jc w:val="left"/>
            </w:pPr>
            <w:r>
              <w:rPr>
                <w:sz w:val="18"/>
              </w:rPr>
              <w:t xml:space="preserve">—</w:t>
            </w:r>
          </w:p>
        </w:tc>
        <w:tc>
          <w:tcPr/>
          <w:p>
            <w:pPr>
              <w:pStyle w:val="Compact"/>
              <w:jc w:val="left"/>
            </w:pPr>
            <w:r>
              <w:rPr>
                <w:sz w:val="18"/>
              </w:rPr>
              <w:t xml:space="preserve">V</w:t>
            </w:r>
          </w:p>
        </w:tc>
      </w:tr>
      <w:tr>
        <w:tc>
          <w:tcPr/>
          <w:p>
            <w:pPr>
              <w:pStyle w:val="Compact"/>
              <w:jc w:val="left"/>
            </w:pPr>
            <w:r>
              <w:rPr>
                <w:sz w:val="18"/>
              </w:rPr>
              <w:t xml:space="preserve">Fleet user management</w:t>
            </w:r>
          </w:p>
        </w:tc>
        <w:tc>
          <w:tcPr/>
          <w:p>
            <w:pPr>
              <w:pStyle w:val="Compact"/>
              <w:jc w:val="left"/>
            </w:pPr>
            <w:r>
              <w:rPr>
                <w:sz w:val="18"/>
              </w:rPr>
              <w:t xml:space="preserve">—</w:t>
            </w:r>
          </w:p>
        </w:tc>
        <w:tc>
          <w:tcPr/>
          <w:p>
            <w:pPr>
              <w:pStyle w:val="Compact"/>
              <w:jc w:val="left"/>
            </w:pPr>
            <w:r>
              <w:rPr>
                <w:sz w:val="18"/>
              </w:rPr>
              <w:t xml:space="preserve">—</w:t>
            </w:r>
          </w:p>
        </w:tc>
        <w:tc>
          <w:tcPr/>
          <w:p>
            <w:pPr>
              <w:pStyle w:val="Compact"/>
              <w:jc w:val="left"/>
            </w:pPr>
            <w:r>
              <w:rPr>
                <w:sz w:val="18"/>
              </w:rPr>
              <w:t xml:space="preserve">O</w:t>
            </w:r>
          </w:p>
        </w:tc>
        <w:tc>
          <w:tcPr/>
          <w:p>
            <w:pPr>
              <w:pStyle w:val="Compact"/>
              <w:jc w:val="left"/>
            </w:pPr>
            <w:r>
              <w:rPr>
                <w:sz w:val="18"/>
              </w:rPr>
              <w:t xml:space="preserve">V</w:t>
            </w:r>
          </w:p>
        </w:tc>
      </w:tr>
      <w:tr>
        <w:tc>
          <w:tcPr/>
          <w:p>
            <w:pPr>
              <w:pStyle w:val="Compact"/>
              <w:jc w:val="left"/>
            </w:pPr>
            <w:r>
              <w:rPr>
                <w:sz w:val="18"/>
              </w:rPr>
              <w:t xml:space="preserve">Platform user management</w:t>
            </w:r>
          </w:p>
        </w:tc>
        <w:tc>
          <w:tcPr/>
          <w:p>
            <w:pPr>
              <w:pStyle w:val="Compact"/>
              <w:jc w:val="left"/>
            </w:pPr>
            <w:r>
              <w:rPr>
                <w:sz w:val="18"/>
              </w:rPr>
              <w:t xml:space="preserve">—</w:t>
            </w:r>
          </w:p>
        </w:tc>
        <w:tc>
          <w:tcPr/>
          <w:p>
            <w:pPr>
              <w:pStyle w:val="Compact"/>
              <w:jc w:val="left"/>
            </w:pPr>
            <w:r>
              <w:rPr>
                <w:sz w:val="18"/>
              </w:rPr>
              <w:t xml:space="preserve">—</w:t>
            </w:r>
          </w:p>
        </w:tc>
        <w:tc>
          <w:tcPr/>
          <w:p>
            <w:pPr>
              <w:pStyle w:val="Compact"/>
              <w:jc w:val="left"/>
            </w:pPr>
            <w:r>
              <w:rPr>
                <w:sz w:val="18"/>
              </w:rPr>
              <w:t xml:space="preserve">—</w:t>
            </w:r>
          </w:p>
        </w:tc>
        <w:tc>
          <w:tcPr/>
          <w:p>
            <w:pPr>
              <w:pStyle w:val="Compact"/>
              <w:jc w:val="left"/>
            </w:pPr>
            <w:r>
              <w:rPr>
                <w:sz w:val="18"/>
              </w:rPr>
              <w:t xml:space="preserve">O</w:t>
            </w:r>
          </w:p>
        </w:tc>
      </w:tr>
      <w:tr>
        <w:tc>
          <w:tcPr/>
          <w:p>
            <w:pPr>
              <w:pStyle w:val="Compact"/>
              <w:jc w:val="left"/>
            </w:pPr>
            <w:r>
              <w:rPr>
                <w:sz w:val="18"/>
              </w:rPr>
              <w:t xml:space="preserve">Platform configuration</w:t>
            </w:r>
          </w:p>
        </w:tc>
        <w:tc>
          <w:tcPr/>
          <w:p>
            <w:pPr>
              <w:pStyle w:val="Compact"/>
              <w:jc w:val="left"/>
            </w:pPr>
            <w:r>
              <w:rPr>
                <w:sz w:val="18"/>
              </w:rPr>
              <w:t xml:space="preserve">—</w:t>
            </w:r>
          </w:p>
        </w:tc>
        <w:tc>
          <w:tcPr/>
          <w:p>
            <w:pPr>
              <w:pStyle w:val="Compact"/>
              <w:jc w:val="left"/>
            </w:pPr>
            <w:r>
              <w:rPr>
                <w:sz w:val="18"/>
              </w:rPr>
              <w:t xml:space="preserve">—</w:t>
            </w:r>
          </w:p>
        </w:tc>
        <w:tc>
          <w:tcPr/>
          <w:p>
            <w:pPr>
              <w:pStyle w:val="Compact"/>
              <w:jc w:val="left"/>
            </w:pPr>
            <w:r>
              <w:rPr>
                <w:sz w:val="18"/>
              </w:rPr>
              <w:t xml:space="preserve">—</w:t>
            </w:r>
          </w:p>
        </w:tc>
        <w:tc>
          <w:tcPr/>
          <w:p>
            <w:pPr>
              <w:pStyle w:val="Compact"/>
              <w:jc w:val="left"/>
            </w:pPr>
            <w:r>
              <w:rPr>
                <w:sz w:val="18"/>
              </w:rPr>
              <w:t xml:space="preserve">O</w:t>
            </w:r>
          </w:p>
        </w:tc>
      </w:tr>
    </w:tbl>
    <w:bookmarkEnd w:id="32"/>
    <w:bookmarkStart w:id="33" w:name="business-rules"/>
    <w:p>
      <w:pPr>
        <w:pStyle w:val="Heading2"/>
      </w:pPr>
      <w:r>
        <w:t xml:space="preserve">5.5 Business rules</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Layout w:type="fixed"/>
        <w:tblW w:w="9900" w:type="dxa"/>
      </w:tblPr>
      <w:tblGrid>
        <w:gridCol w:w="1510"/>
        <w:gridCol w:w="8389"/>
      </w:tblGrid>
      <w:tr>
        <w:trPr>
          <w:tblHeader w:val="true"/>
        </w:trPr>
        <w:tc>
          <w:tcPr>
            <w:tcW w:w="1510" w:type="dxa"/>
            <w:shd w:val="clear" w:fill="092448"/>
          </w:tcPr>
          <w:p>
            <w:pPr>
              <w:pStyle w:val="Compact"/>
              <w:jc w:val="left"/>
            </w:pPr>
            <w:r>
              <w:rPr>
                <w:b/>
                <w:color w:val="FFFFFF"/>
                <w:sz w:val="18"/>
              </w:rPr>
              <w:t xml:space="preserve">ID</w:t>
            </w:r>
          </w:p>
        </w:tc>
        <w:tc>
          <w:tcPr>
            <w:tcW w:w="8389" w:type="dxa"/>
            <w:shd w:val="clear" w:fill="092448"/>
          </w:tcPr>
          <w:p>
            <w:pPr>
              <w:pStyle w:val="Compact"/>
              <w:jc w:val="left"/>
            </w:pPr>
            <w:r>
              <w:rPr>
                <w:b/>
                <w:color w:val="FFFFFF"/>
                <w:sz w:val="18"/>
              </w:rPr>
              <w:t xml:space="preserve">Rule</w:t>
            </w:r>
          </w:p>
        </w:tc>
      </w:tr>
      <w:tr>
        <w:tc>
          <w:tcPr>
            <w:tcW w:w="1510" w:type="dxa"/>
          </w:tcPr>
          <w:p>
            <w:pPr>
              <w:pStyle w:val="Compact"/>
              <w:jc w:val="left"/>
            </w:pPr>
            <w:r>
              <w:rPr>
                <w:sz w:val="18"/>
              </w:rPr>
              <w:t xml:space="preserve">BR-001</w:t>
            </w:r>
          </w:p>
        </w:tc>
        <w:tc>
          <w:tcPr>
            <w:tcW w:w="8389" w:type="dxa"/>
          </w:tcPr>
          <w:p>
            <w:pPr>
              <w:pStyle w:val="Compact"/>
              <w:jc w:val="left"/>
            </w:pPr>
            <w:r>
              <w:rPr>
                <w:sz w:val="18"/>
              </w:rPr>
              <w:t xml:space="preserve">Only the Carrier can create and commercially manage Carrier loads.</w:t>
            </w:r>
          </w:p>
        </w:tc>
      </w:tr>
      <w:tr>
        <w:tc>
          <w:tcPr>
            <w:tcW w:w="1510" w:type="dxa"/>
          </w:tcPr>
          <w:p>
            <w:pPr>
              <w:pStyle w:val="Compact"/>
              <w:jc w:val="left"/>
            </w:pPr>
            <w:r>
              <w:rPr>
                <w:sz w:val="18"/>
              </w:rPr>
              <w:t xml:space="preserve">BR-002</w:t>
            </w:r>
          </w:p>
        </w:tc>
        <w:tc>
          <w:tcPr>
            <w:tcW w:w="8389" w:type="dxa"/>
          </w:tcPr>
          <w:p>
            <w:pPr>
              <w:pStyle w:val="Compact"/>
              <w:jc w:val="left"/>
            </w:pPr>
            <w:r>
              <w:rPr>
                <w:sz w:val="18"/>
              </w:rPr>
              <w:t xml:space="preserve">Only authorized Carrier users can assign or reassign loads.</w:t>
            </w:r>
          </w:p>
        </w:tc>
      </w:tr>
      <w:tr>
        <w:tc>
          <w:tcPr>
            <w:tcW w:w="1510" w:type="dxa"/>
          </w:tcPr>
          <w:p>
            <w:pPr>
              <w:pStyle w:val="Compact"/>
              <w:jc w:val="left"/>
            </w:pPr>
            <w:r>
              <w:rPr>
                <w:sz w:val="18"/>
              </w:rPr>
              <w:t xml:space="preserve">BR-003</w:t>
            </w:r>
          </w:p>
        </w:tc>
        <w:tc>
          <w:tcPr>
            <w:tcW w:w="8389" w:type="dxa"/>
          </w:tcPr>
          <w:p>
            <w:pPr>
              <w:pStyle w:val="Compact"/>
              <w:jc w:val="left"/>
            </w:pPr>
            <w:r>
              <w:rPr>
                <w:sz w:val="18"/>
              </w:rPr>
              <w:t xml:space="preserve">Drivers execute assignments but cannot modify commercial load terms.</w:t>
            </w:r>
          </w:p>
        </w:tc>
      </w:tr>
      <w:tr>
        <w:tc>
          <w:tcPr>
            <w:tcW w:w="1510" w:type="dxa"/>
          </w:tcPr>
          <w:p>
            <w:pPr>
              <w:pStyle w:val="Compact"/>
              <w:jc w:val="left"/>
            </w:pPr>
            <w:r>
              <w:rPr>
                <w:sz w:val="18"/>
              </w:rPr>
              <w:t xml:space="preserve">BR-004</w:t>
            </w:r>
          </w:p>
        </w:tc>
        <w:tc>
          <w:tcPr>
            <w:tcW w:w="8389" w:type="dxa"/>
          </w:tcPr>
          <w:p>
            <w:pPr>
              <w:pStyle w:val="Compact"/>
              <w:jc w:val="left"/>
            </w:pPr>
            <w:r>
              <w:rPr>
                <w:sz w:val="18"/>
              </w:rPr>
              <w:t xml:space="preserve">The Fleet Company manages its drivers’ employment and pay relationship.</w:t>
            </w:r>
          </w:p>
        </w:tc>
      </w:tr>
      <w:tr>
        <w:tc>
          <w:tcPr>
            <w:tcW w:w="1510" w:type="dxa"/>
          </w:tcPr>
          <w:p>
            <w:pPr>
              <w:pStyle w:val="Compact"/>
              <w:jc w:val="left"/>
            </w:pPr>
            <w:r>
              <w:rPr>
                <w:sz w:val="18"/>
              </w:rPr>
              <w:t xml:space="preserve">BR-005</w:t>
            </w:r>
          </w:p>
        </w:tc>
        <w:tc>
          <w:tcPr>
            <w:tcW w:w="8389" w:type="dxa"/>
          </w:tcPr>
          <w:p>
            <w:pPr>
              <w:pStyle w:val="Compact"/>
              <w:jc w:val="left"/>
            </w:pPr>
            <w:r>
              <w:rPr>
                <w:sz w:val="18"/>
              </w:rPr>
              <w:t xml:space="preserve">The Carrier has final authority over whether any driver or equipment may operate under it.</w:t>
            </w:r>
          </w:p>
        </w:tc>
      </w:tr>
      <w:tr>
        <w:tc>
          <w:tcPr>
            <w:tcW w:w="1510" w:type="dxa"/>
          </w:tcPr>
          <w:p>
            <w:pPr>
              <w:pStyle w:val="Compact"/>
              <w:jc w:val="left"/>
            </w:pPr>
            <w:r>
              <w:rPr>
                <w:sz w:val="18"/>
              </w:rPr>
              <w:t xml:space="preserve">BR-006</w:t>
            </w:r>
          </w:p>
        </w:tc>
        <w:tc>
          <w:tcPr>
            <w:tcW w:w="8389" w:type="dxa"/>
          </w:tcPr>
          <w:p>
            <w:pPr>
              <w:pStyle w:val="Compact"/>
              <w:jc w:val="left"/>
            </w:pPr>
            <w:r>
              <w:rPr>
                <w:sz w:val="18"/>
              </w:rPr>
              <w:t xml:space="preserve">The Carrier calculates and approves payments owed to Fleet Companies.</w:t>
            </w:r>
          </w:p>
        </w:tc>
      </w:tr>
      <w:tr>
        <w:tc>
          <w:tcPr>
            <w:tcW w:w="1510" w:type="dxa"/>
          </w:tcPr>
          <w:p>
            <w:pPr>
              <w:pStyle w:val="Compact"/>
              <w:jc w:val="left"/>
            </w:pPr>
            <w:r>
              <w:rPr>
                <w:sz w:val="18"/>
              </w:rPr>
              <w:t xml:space="preserve">BR-007</w:t>
            </w:r>
          </w:p>
        </w:tc>
        <w:tc>
          <w:tcPr>
            <w:tcW w:w="8389" w:type="dxa"/>
          </w:tcPr>
          <w:p>
            <w:pPr>
              <w:pStyle w:val="Compact"/>
              <w:jc w:val="left"/>
            </w:pPr>
            <w:r>
              <w:rPr>
                <w:sz w:val="18"/>
              </w:rPr>
              <w:t xml:space="preserve">The Fleet Company controls payment to its own drivers.</w:t>
            </w:r>
          </w:p>
        </w:tc>
      </w:tr>
      <w:tr>
        <w:tc>
          <w:tcPr>
            <w:tcW w:w="1510" w:type="dxa"/>
          </w:tcPr>
          <w:p>
            <w:pPr>
              <w:pStyle w:val="Compact"/>
              <w:jc w:val="left"/>
            </w:pPr>
            <w:r>
              <w:rPr>
                <w:sz w:val="18"/>
              </w:rPr>
              <w:t xml:space="preserve">BR-008</w:t>
            </w:r>
          </w:p>
        </w:tc>
        <w:tc>
          <w:tcPr>
            <w:tcW w:w="8389" w:type="dxa"/>
          </w:tcPr>
          <w:p>
            <w:pPr>
              <w:pStyle w:val="Compact"/>
              <w:jc w:val="left"/>
            </w:pPr>
            <w:r>
              <w:rPr>
                <w:sz w:val="18"/>
              </w:rPr>
              <w:t xml:space="preserve">Platform Admin governs the platform but does not perform normal Carrier dispatch.</w:t>
            </w:r>
          </w:p>
        </w:tc>
      </w:tr>
      <w:tr>
        <w:tc>
          <w:tcPr>
            <w:tcW w:w="1510" w:type="dxa"/>
          </w:tcPr>
          <w:p>
            <w:pPr>
              <w:pStyle w:val="Compact"/>
              <w:jc w:val="left"/>
            </w:pPr>
            <w:r>
              <w:rPr>
                <w:sz w:val="18"/>
              </w:rPr>
              <w:t xml:space="preserve">BR-009</w:t>
            </w:r>
          </w:p>
        </w:tc>
        <w:tc>
          <w:tcPr>
            <w:tcW w:w="8389" w:type="dxa"/>
          </w:tcPr>
          <w:p>
            <w:pPr>
              <w:pStyle w:val="Compact"/>
              <w:jc w:val="left"/>
            </w:pPr>
            <w:r>
              <w:rPr>
                <w:sz w:val="18"/>
              </w:rPr>
              <w:t xml:space="preserve">Equipment ownership is explicit and changes only through an audited ownership-transfer process.</w:t>
            </w:r>
          </w:p>
        </w:tc>
      </w:tr>
      <w:tr>
        <w:tc>
          <w:tcPr>
            <w:tcW w:w="1510" w:type="dxa"/>
          </w:tcPr>
          <w:p>
            <w:pPr>
              <w:pStyle w:val="Compact"/>
              <w:jc w:val="left"/>
            </w:pPr>
            <w:r>
              <w:rPr>
                <w:sz w:val="18"/>
              </w:rPr>
              <w:t xml:space="preserve">BR-010</w:t>
            </w:r>
          </w:p>
        </w:tc>
        <w:tc>
          <w:tcPr>
            <w:tcW w:w="8389" w:type="dxa"/>
          </w:tcPr>
          <w:p>
            <w:pPr>
              <w:pStyle w:val="Compact"/>
              <w:jc w:val="left"/>
            </w:pPr>
            <w:r>
              <w:rPr>
                <w:sz w:val="18"/>
              </w:rPr>
              <w:t xml:space="preserve">One Carrier cannot access another Carrier’s operational or financial information.</w:t>
            </w:r>
          </w:p>
        </w:tc>
      </w:tr>
      <w:tr>
        <w:tc>
          <w:tcPr>
            <w:tcW w:w="1510" w:type="dxa"/>
          </w:tcPr>
          <w:p>
            <w:pPr>
              <w:pStyle w:val="Compact"/>
              <w:jc w:val="left"/>
            </w:pPr>
            <w:r>
              <w:rPr>
                <w:sz w:val="18"/>
              </w:rPr>
              <w:t xml:space="preserve">BR-011</w:t>
            </w:r>
          </w:p>
        </w:tc>
        <w:tc>
          <w:tcPr>
            <w:tcW w:w="8389" w:type="dxa"/>
          </w:tcPr>
          <w:p>
            <w:pPr>
              <w:pStyle w:val="Compact"/>
              <w:jc w:val="left"/>
            </w:pPr>
            <w:r>
              <w:rPr>
                <w:sz w:val="18"/>
              </w:rPr>
              <w:t xml:space="preserve">One Fleet Company cannot access another’s drivers, equipment, loads, earnings or settlements.</w:t>
            </w:r>
          </w:p>
        </w:tc>
      </w:tr>
      <w:tr>
        <w:tc>
          <w:tcPr>
            <w:tcW w:w="1510" w:type="dxa"/>
          </w:tcPr>
          <w:p>
            <w:pPr>
              <w:pStyle w:val="Compact"/>
              <w:jc w:val="left"/>
            </w:pPr>
            <w:r>
              <w:rPr>
                <w:sz w:val="18"/>
              </w:rPr>
              <w:t xml:space="preserve">BR-012</w:t>
            </w:r>
          </w:p>
        </w:tc>
        <w:tc>
          <w:tcPr>
            <w:tcW w:w="8389" w:type="dxa"/>
          </w:tcPr>
          <w:p>
            <w:pPr>
              <w:pStyle w:val="Compact"/>
              <w:jc w:val="left"/>
            </w:pPr>
            <w:r>
              <w:rPr>
                <w:sz w:val="18"/>
              </w:rPr>
              <w:t xml:space="preserve">Financial, compliance, dispatch, user-access and status-changing actions generate audit events.</w:t>
            </w:r>
          </w:p>
        </w:tc>
      </w:tr>
    </w:tbl>
    <w:p>
      <w:pPr>
        <w:pStyle w:val="BodyText"/>
      </w:pPr>
      <w:r>
        <w:t xml:space="preserve">Additional rules carried from the Rebuild Documentation and prototype refinements:</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Layout w:type="fixed"/>
        <w:tblW w:w="9900" w:type="dxa"/>
      </w:tblPr>
      <w:tblGrid>
        <w:gridCol w:w="1510"/>
        <w:gridCol w:w="8389"/>
      </w:tblGrid>
      <w:tr>
        <w:trPr>
          <w:tblHeader w:val="true"/>
        </w:trPr>
        <w:tc>
          <w:tcPr>
            <w:tcW w:w="1510" w:type="dxa"/>
            <w:shd w:val="clear" w:fill="092448"/>
          </w:tcPr>
          <w:p>
            <w:pPr>
              <w:pStyle w:val="Compact"/>
              <w:jc w:val="left"/>
            </w:pPr>
            <w:r>
              <w:rPr>
                <w:b/>
                <w:color w:val="FFFFFF"/>
                <w:sz w:val="18"/>
              </w:rPr>
              <w:t xml:space="preserve">ID</w:t>
            </w:r>
          </w:p>
        </w:tc>
        <w:tc>
          <w:tcPr>
            <w:tcW w:w="8389" w:type="dxa"/>
            <w:shd w:val="clear" w:fill="092448"/>
          </w:tcPr>
          <w:p>
            <w:pPr>
              <w:pStyle w:val="Compact"/>
              <w:jc w:val="left"/>
            </w:pPr>
            <w:r>
              <w:rPr>
                <w:b/>
                <w:color w:val="FFFFFF"/>
                <w:sz w:val="18"/>
              </w:rPr>
              <w:t xml:space="preserve">Rule</w:t>
            </w:r>
          </w:p>
        </w:tc>
      </w:tr>
      <w:tr>
        <w:tc>
          <w:tcPr>
            <w:tcW w:w="1510" w:type="dxa"/>
          </w:tcPr>
          <w:p>
            <w:pPr>
              <w:pStyle w:val="Compact"/>
              <w:jc w:val="left"/>
            </w:pPr>
            <w:r>
              <w:rPr>
                <w:sz w:val="18"/>
              </w:rPr>
              <w:t xml:space="preserve">BR-013</w:t>
            </w:r>
          </w:p>
        </w:tc>
        <w:tc>
          <w:tcPr>
            <w:tcW w:w="8389" w:type="dxa"/>
          </w:tcPr>
          <w:p>
            <w:pPr>
              <w:pStyle w:val="Compact"/>
              <w:jc w:val="left"/>
            </w:pPr>
            <w:r>
              <w:rPr>
                <w:sz w:val="18"/>
              </w:rPr>
              <w:t xml:space="preserve">A load has one broker (or a direct paying customer), at least one pickup and one delivery stop, and at most one active driver and vehicle assignment. Reassignment ends the previous assignment.</w:t>
            </w:r>
          </w:p>
        </w:tc>
      </w:tr>
      <w:tr>
        <w:tc>
          <w:tcPr>
            <w:tcW w:w="1510" w:type="dxa"/>
          </w:tcPr>
          <w:p>
            <w:pPr>
              <w:pStyle w:val="Compact"/>
              <w:jc w:val="left"/>
            </w:pPr>
            <w:r>
              <w:rPr>
                <w:sz w:val="18"/>
              </w:rPr>
              <w:t xml:space="preserve">BR-014</w:t>
            </w:r>
          </w:p>
        </w:tc>
        <w:tc>
          <w:tcPr>
            <w:tcW w:w="8389" w:type="dxa"/>
          </w:tcPr>
          <w:p>
            <w:pPr>
              <w:pStyle w:val="Compact"/>
              <w:jc w:val="left"/>
            </w:pPr>
            <w:r>
              <w:rPr>
                <w:sz w:val="18"/>
              </w:rPr>
              <w:t xml:space="preserve">A vehicle has exactly one owner and at most one assigned driver at a time.</w:t>
            </w:r>
          </w:p>
        </w:tc>
      </w:tr>
      <w:tr>
        <w:tc>
          <w:tcPr>
            <w:tcW w:w="1510" w:type="dxa"/>
          </w:tcPr>
          <w:p>
            <w:pPr>
              <w:pStyle w:val="Compact"/>
              <w:jc w:val="left"/>
            </w:pPr>
            <w:r>
              <w:rPr>
                <w:sz w:val="18"/>
              </w:rPr>
              <w:t xml:space="preserve">BR-015</w:t>
            </w:r>
          </w:p>
        </w:tc>
        <w:tc>
          <w:tcPr>
            <w:tcW w:w="8389" w:type="dxa"/>
          </w:tcPr>
          <w:p>
            <w:pPr>
              <w:pStyle w:val="Compact"/>
              <w:jc w:val="left"/>
            </w:pPr>
            <w:r>
              <w:rPr>
                <w:sz w:val="18"/>
              </w:rPr>
              <w:t xml:space="preserve">Master records are deactivated, not hard-deleted. Loads and invoices are voided, not deleted.</w:t>
            </w:r>
          </w:p>
        </w:tc>
      </w:tr>
      <w:tr>
        <w:tc>
          <w:tcPr>
            <w:tcW w:w="1510" w:type="dxa"/>
          </w:tcPr>
          <w:p>
            <w:pPr>
              <w:pStyle w:val="Compact"/>
              <w:jc w:val="left"/>
            </w:pPr>
            <w:r>
              <w:rPr>
                <w:sz w:val="18"/>
              </w:rPr>
              <w:t xml:space="preserve">BR-016</w:t>
            </w:r>
          </w:p>
        </w:tc>
        <w:tc>
          <w:tcPr>
            <w:tcW w:w="8389" w:type="dxa"/>
          </w:tcPr>
          <w:p>
            <w:pPr>
              <w:pStyle w:val="Compact"/>
              <w:jc w:val="left"/>
            </w:pPr>
            <w:r>
              <w:rPr>
                <w:sz w:val="18"/>
              </w:rPr>
              <w:t xml:space="preserve">Times are stored in UTC and evaluated in the carrier’s time zone. A load belongs to the pay week containing its first pickup date in that zone.</w:t>
            </w:r>
          </w:p>
        </w:tc>
      </w:tr>
      <w:tr>
        <w:tc>
          <w:tcPr>
            <w:tcW w:w="1510" w:type="dxa"/>
          </w:tcPr>
          <w:p>
            <w:pPr>
              <w:pStyle w:val="Compact"/>
              <w:jc w:val="left"/>
            </w:pPr>
            <w:r>
              <w:rPr>
                <w:sz w:val="18"/>
              </w:rPr>
              <w:t xml:space="preserve">BR-017</w:t>
            </w:r>
          </w:p>
        </w:tc>
        <w:tc>
          <w:tcPr>
            <w:tcW w:w="8389" w:type="dxa"/>
          </w:tcPr>
          <w:p>
            <w:pPr>
              <w:pStyle w:val="Compact"/>
              <w:jc w:val="left"/>
            </w:pPr>
            <w:r>
              <w:rPr>
                <w:sz w:val="18"/>
              </w:rPr>
              <w:t xml:space="preserve">Each settlement deduction applies once per payee per pay week. Approved settlements are immutable except through an audited un-approve with reason.</w:t>
            </w:r>
          </w:p>
        </w:tc>
      </w:tr>
      <w:tr>
        <w:tc>
          <w:tcPr>
            <w:tcW w:w="1510" w:type="dxa"/>
          </w:tcPr>
          <w:p>
            <w:pPr>
              <w:pStyle w:val="Compact"/>
              <w:jc w:val="left"/>
            </w:pPr>
            <w:r>
              <w:rPr>
                <w:sz w:val="18"/>
              </w:rPr>
              <w:t xml:space="preserve">BR-018</w:t>
            </w:r>
          </w:p>
        </w:tc>
        <w:tc>
          <w:tcPr>
            <w:tcW w:w="8389" w:type="dxa"/>
          </w:tcPr>
          <w:p>
            <w:pPr>
              <w:pStyle w:val="Compact"/>
              <w:jc w:val="left"/>
            </w:pPr>
            <w:r>
              <w:rPr>
                <w:sz w:val="18"/>
              </w:rPr>
              <w:t xml:space="preserve">Escrow progress is system-calculated from approved settlements and is never manually editable.</w:t>
            </w:r>
          </w:p>
        </w:tc>
      </w:tr>
      <w:tr>
        <w:tc>
          <w:tcPr>
            <w:tcW w:w="1510" w:type="dxa"/>
          </w:tcPr>
          <w:p>
            <w:pPr>
              <w:pStyle w:val="Compact"/>
              <w:jc w:val="left"/>
            </w:pPr>
            <w:r>
              <w:rPr>
                <w:sz w:val="18"/>
              </w:rPr>
              <w:t xml:space="preserve">BR-019</w:t>
            </w:r>
          </w:p>
        </w:tc>
        <w:tc>
          <w:tcPr>
            <w:tcW w:w="8389" w:type="dxa"/>
          </w:tcPr>
          <w:p>
            <w:pPr>
              <w:pStyle w:val="Compact"/>
              <w:jc w:val="left"/>
            </w:pPr>
            <w:r>
              <w:rPr>
                <w:sz w:val="18"/>
              </w:rPr>
              <w:t xml:space="preserve">A factored load’s invoice is payable to the factoring company; a non-factored load bills to the broker/customer.</w:t>
            </w:r>
          </w:p>
        </w:tc>
      </w:tr>
      <w:tr>
        <w:tc>
          <w:tcPr>
            <w:tcW w:w="1510" w:type="dxa"/>
          </w:tcPr>
          <w:p>
            <w:pPr>
              <w:pStyle w:val="Compact"/>
              <w:jc w:val="left"/>
            </w:pPr>
            <w:r>
              <w:rPr>
                <w:sz w:val="18"/>
              </w:rPr>
              <w:t xml:space="preserve">BR-020</w:t>
            </w:r>
          </w:p>
        </w:tc>
        <w:tc>
          <w:tcPr>
            <w:tcW w:w="8389" w:type="dxa"/>
          </w:tcPr>
          <w:p>
            <w:pPr>
              <w:pStyle w:val="Compact"/>
              <w:jc w:val="left"/>
            </w:pPr>
            <w:r>
              <w:rPr>
                <w:sz w:val="18"/>
              </w:rPr>
              <w:t xml:space="preserve">Critical non-compliance sets Dispatch Eligible = No.</w:t>
            </w:r>
          </w:p>
        </w:tc>
      </w:tr>
    </w:tbl>
    <w:bookmarkEnd w:id="33"/>
    <w:bookmarkEnd w:id="34"/>
    <w:bookmarkStart w:id="35" w:name="release-plan"/>
    <w:p>
      <w:pPr>
        <w:pStyle w:val="Heading1"/>
      </w:pPr>
      <w:r>
        <w:t xml:space="preserve">6. Release plan</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W w:w="5000" w:type="pct"/>
        <w:tblLayout w:type="autofit"/>
      </w:tblPr>
      <w:tr>
        <w:trPr>
          <w:tblHeader w:val="true"/>
        </w:trPr>
        <w:tc>
          <w:tcPr>
            <w:shd w:val="clear" w:fill="092448"/>
          </w:tcPr>
          <w:p>
            <w:pPr>
              <w:pStyle w:val="Compact"/>
              <w:jc w:val="left"/>
            </w:pPr>
            <w:r>
              <w:rPr>
                <w:b/>
                <w:color w:val="FFFFFF"/>
                <w:sz w:val="18"/>
              </w:rPr>
              <w:t xml:space="preserve">Release</w:t>
            </w:r>
          </w:p>
        </w:tc>
        <w:tc>
          <w:tcPr>
            <w:shd w:val="clear" w:fill="092448"/>
          </w:tcPr>
          <w:p>
            <w:pPr>
              <w:pStyle w:val="Compact"/>
              <w:jc w:val="left"/>
            </w:pPr>
            <w:r>
              <w:rPr>
                <w:b/>
                <w:color w:val="FFFFFF"/>
                <w:sz w:val="18"/>
              </w:rPr>
              <w:t xml:space="preserve">Theme</w:t>
            </w:r>
          </w:p>
        </w:tc>
        <w:tc>
          <w:tcPr>
            <w:shd w:val="clear" w:fill="092448"/>
          </w:tcPr>
          <w:p>
            <w:pPr>
              <w:pStyle w:val="Compact"/>
              <w:jc w:val="left"/>
            </w:pPr>
            <w:r>
              <w:rPr>
                <w:b/>
                <w:color w:val="FFFFFF"/>
                <w:sz w:val="18"/>
              </w:rPr>
              <w:t xml:space="preserve">Contents</w:t>
            </w:r>
          </w:p>
        </w:tc>
        <w:tc>
          <w:tcPr>
            <w:shd w:val="clear" w:fill="092448"/>
          </w:tcPr>
          <w:p>
            <w:pPr>
              <w:pStyle w:val="Compact"/>
              <w:jc w:val="left"/>
            </w:pPr>
            <w:r>
              <w:rPr>
                <w:b/>
                <w:color w:val="FFFFFF"/>
                <w:sz w:val="18"/>
              </w:rPr>
              <w:t xml:space="preserve">Exit criteria</w:t>
            </w:r>
          </w:p>
        </w:tc>
      </w:tr>
      <w:tr>
        <w:tc>
          <w:tcPr/>
          <w:p>
            <w:pPr>
              <w:pStyle w:val="Compact"/>
              <w:jc w:val="left"/>
            </w:pPr>
            <w:r>
              <w:rPr>
                <w:bCs/>
                <w:b/>
                <w:sz w:val="18"/>
              </w:rPr>
              <w:t xml:space="preserve">R0</w:t>
            </w:r>
          </w:p>
        </w:tc>
        <w:tc>
          <w:tcPr/>
          <w:p>
            <w:pPr>
              <w:pStyle w:val="Compact"/>
              <w:jc w:val="left"/>
            </w:pPr>
            <w:r>
              <w:rPr>
                <w:sz w:val="18"/>
              </w:rPr>
              <w:t xml:space="preserve">Public presence</w:t>
            </w:r>
          </w:p>
        </w:tc>
        <w:tc>
          <w:tcPr/>
          <w:p>
            <w:pPr>
              <w:pStyle w:val="Compact"/>
              <w:jc w:val="left"/>
            </w:pPr>
            <w:r>
              <w:rPr>
                <w:sz w:val="18"/>
              </w:rPr>
              <w:t xml:space="preserve">Public website, early-access capture, sign-in chooser, brand tokens, IP-disclosure review</w:t>
            </w:r>
          </w:p>
        </w:tc>
        <w:tc>
          <w:tcPr/>
          <w:p>
            <w:pPr>
              <w:pStyle w:val="Compact"/>
              <w:jc w:val="left"/>
            </w:pPr>
            <w:r>
              <w:rPr>
                <w:sz w:val="18"/>
              </w:rPr>
              <w:t xml:space="preserve">Directive acceptance criteria met (§14); legal pages approved; sign-up service connected</w:t>
            </w:r>
          </w:p>
        </w:tc>
      </w:tr>
      <w:tr>
        <w:tc>
          <w:tcPr/>
          <w:p>
            <w:pPr>
              <w:pStyle w:val="Compact"/>
              <w:jc w:val="left"/>
            </w:pPr>
            <w:r>
              <w:rPr>
                <w:bCs/>
                <w:b/>
                <w:sz w:val="18"/>
              </w:rPr>
              <w:t xml:space="preserve">R1</w:t>
            </w:r>
          </w:p>
        </w:tc>
        <w:tc>
          <w:tcPr/>
          <w:p>
            <w:pPr>
              <w:pStyle w:val="Compact"/>
              <w:jc w:val="left"/>
            </w:pPr>
            <w:r>
              <w:rPr>
                <w:sz w:val="18"/>
              </w:rPr>
              <w:t xml:space="preserve">Driver–dispatcher core (initial release)</w:t>
            </w:r>
          </w:p>
        </w:tc>
        <w:tc>
          <w:tcPr/>
          <w:p>
            <w:pPr>
              <w:pStyle w:val="Compact"/>
              <w:jc w:val="left"/>
            </w:pPr>
            <w:r>
              <w:rPr>
                <w:sz w:val="18"/>
              </w:rPr>
              <w:t xml:space="preserve">Identity and RBAC; minimal platform operations to create carrier tenants; carrier onboarding of drivers, equipment, customers and brokers; load create/assign/dispatch; Driver App execution, documents, geofence, BOL/POD; notifications; audit</w:t>
            </w:r>
          </w:p>
        </w:tc>
        <w:tc>
          <w:tcPr/>
          <w:p>
            <w:pPr>
              <w:pStyle w:val="Compact"/>
              <w:jc w:val="left"/>
            </w:pPr>
            <w:r>
              <w:rPr>
                <w:sz w:val="18"/>
              </w:rPr>
              <w:t xml:space="preserve">A carrier can onboard a driver and truck, dispatch a load, and the driver completes it with POD captured</w:t>
            </w:r>
          </w:p>
        </w:tc>
      </w:tr>
      <w:tr>
        <w:tc>
          <w:tcPr/>
          <w:p>
            <w:pPr>
              <w:pStyle w:val="Compact"/>
              <w:jc w:val="left"/>
            </w:pPr>
            <w:r>
              <w:rPr>
                <w:bCs/>
                <w:b/>
                <w:sz w:val="18"/>
              </w:rPr>
              <w:t xml:space="preserve">R2</w:t>
            </w:r>
          </w:p>
        </w:tc>
        <w:tc>
          <w:tcPr/>
          <w:p>
            <w:pPr>
              <w:pStyle w:val="Compact"/>
              <w:jc w:val="left"/>
            </w:pPr>
            <w:r>
              <w:rPr>
                <w:sz w:val="18"/>
              </w:rPr>
              <w:t xml:space="preserve">Money</w:t>
            </w:r>
          </w:p>
        </w:tc>
        <w:tc>
          <w:tcPr/>
          <w:p>
            <w:pPr>
              <w:pStyle w:val="Compact"/>
              <w:jc w:val="left"/>
            </w:pPr>
            <w:r>
              <w:rPr>
                <w:sz w:val="18"/>
              </w:rPr>
              <w:t xml:space="preserve">Invoicing, factoring submission, payment tracking, pay weeks, driver/owner settlements, escrow, driver earnings and statements, reports</w:t>
            </w:r>
          </w:p>
        </w:tc>
        <w:tc>
          <w:tcPr/>
          <w:p>
            <w:pPr>
              <w:pStyle w:val="Compact"/>
              <w:jc w:val="left"/>
            </w:pPr>
            <w:r>
              <w:rPr>
                <w:sz w:val="18"/>
              </w:rPr>
              <w:t xml:space="preserve">Settlement formulas reproduce agreed fixtures (§12.4); un-approve and audit working</w:t>
            </w:r>
          </w:p>
        </w:tc>
      </w:tr>
      <w:tr>
        <w:tc>
          <w:tcPr/>
          <w:p>
            <w:pPr>
              <w:pStyle w:val="Compact"/>
              <w:jc w:val="left"/>
            </w:pPr>
            <w:r>
              <w:rPr>
                <w:bCs/>
                <w:b/>
                <w:sz w:val="18"/>
              </w:rPr>
              <w:t xml:space="preserve">R3</w:t>
            </w:r>
          </w:p>
        </w:tc>
        <w:tc>
          <w:tcPr/>
          <w:p>
            <w:pPr>
              <w:pStyle w:val="Compact"/>
              <w:jc w:val="left"/>
            </w:pPr>
            <w:r>
              <w:rPr>
                <w:sz w:val="18"/>
              </w:rPr>
              <w:t xml:space="preserve">Fleet companies</w:t>
            </w:r>
          </w:p>
        </w:tc>
        <w:tc>
          <w:tcPr/>
          <w:p>
            <w:pPr>
              <w:pStyle w:val="Compact"/>
              <w:jc w:val="left"/>
            </w:pPr>
            <w:r>
              <w:rPr>
                <w:sz w:val="18"/>
              </w:rPr>
              <w:t xml:space="preserve">Fleet Company Portal, Fleet Management Agreements, fleet settlements, driver pay, fleet escrow, managed-fleet driver flows</w:t>
            </w:r>
          </w:p>
        </w:tc>
        <w:tc>
          <w:tcPr/>
          <w:p>
            <w:pPr>
              <w:pStyle w:val="Compact"/>
              <w:jc w:val="left"/>
            </w:pPr>
            <w:r>
              <w:rPr>
                <w:sz w:val="18"/>
              </w:rPr>
              <w:t xml:space="preserve">A fleet company’s driver runs a load and both settlement layers reconcile</w:t>
            </w:r>
          </w:p>
        </w:tc>
      </w:tr>
      <w:tr>
        <w:tc>
          <w:tcPr/>
          <w:p>
            <w:pPr>
              <w:pStyle w:val="Compact"/>
              <w:jc w:val="left"/>
            </w:pPr>
            <w:r>
              <w:rPr>
                <w:bCs/>
                <w:b/>
                <w:sz w:val="18"/>
              </w:rPr>
              <w:t xml:space="preserve">R4</w:t>
            </w:r>
          </w:p>
        </w:tc>
        <w:tc>
          <w:tcPr/>
          <w:p>
            <w:pPr>
              <w:pStyle w:val="Compact"/>
              <w:jc w:val="left"/>
            </w:pPr>
            <w:r>
              <w:rPr>
                <w:sz w:val="18"/>
              </w:rPr>
              <w:t xml:space="preserve">Platform operations at scale</w:t>
            </w:r>
          </w:p>
        </w:tc>
        <w:tc>
          <w:tcPr/>
          <w:p>
            <w:pPr>
              <w:pStyle w:val="Compact"/>
              <w:jc w:val="left"/>
            </w:pPr>
            <w:r>
              <w:rPr>
                <w:sz w:val="18"/>
              </w:rPr>
              <w:t xml:space="preserve">Full Platform Admin: carrier lifecycle, cases, billing, risk, configuration, payment monitoring</w:t>
            </w:r>
          </w:p>
        </w:tc>
        <w:tc>
          <w:tcPr/>
          <w:p>
            <w:pPr>
              <w:pStyle w:val="Compact"/>
              <w:jc w:val="left"/>
            </w:pPr>
            <w:r>
              <w:rPr>
                <w:sz w:val="18"/>
              </w:rPr>
              <w:t xml:space="preserve">Operators resolve cases without developer intervention</w:t>
            </w:r>
          </w:p>
        </w:tc>
      </w:tr>
    </w:tbl>
    <w:p>
      <w:pPr>
        <w:pStyle w:val="BodyText"/>
      </w:pPr>
      <w:r>
        <w:t xml:space="preserve">Epics map to releases in §16. The Make master MVP boundary (all four applications) is retained as the long-term target; moving fleet and full admin into R1 would require re-estimation. [DECISION D-03]</w:t>
      </w:r>
    </w:p>
    <w:bookmarkEnd w:id="35"/>
    <w:bookmarkStart w:id="41" w:name="application-requirements"/>
    <w:p>
      <w:pPr>
        <w:pStyle w:val="Heading1"/>
      </w:pPr>
      <w:r>
        <w:t xml:space="preserve">7. Application requirements</w:t>
      </w:r>
    </w:p>
    <w:p>
      <w:pPr>
        <w:pStyle w:val="FirstParagraph"/>
      </w:pPr>
      <w:r>
        <w:t xml:space="preserve">Priority:</w:t>
      </w:r>
      <w:r>
        <w:t xml:space="preserve"> </w:t>
      </w:r>
      <w:r>
        <w:rPr>
          <w:bCs/>
          <w:b/>
        </w:rPr>
        <w:t xml:space="preserve">P0</w:t>
      </w:r>
      <w:r>
        <w:t xml:space="preserve"> </w:t>
      </w:r>
      <w:r>
        <w:t xml:space="preserve">must ship in the release,</w:t>
      </w:r>
      <w:r>
        <w:t xml:space="preserve"> </w:t>
      </w:r>
      <w:r>
        <w:rPr>
          <w:bCs/>
          <w:b/>
        </w:rPr>
        <w:t xml:space="preserve">P1</w:t>
      </w:r>
      <w:r>
        <w:t xml:space="preserve"> </w:t>
      </w:r>
      <w:r>
        <w:t xml:space="preserve">should,</w:t>
      </w:r>
      <w:r>
        <w:t xml:space="preserve"> </w:t>
      </w:r>
      <w:r>
        <w:rPr>
          <w:bCs/>
          <w:b/>
        </w:rPr>
        <w:t xml:space="preserve">P2</w:t>
      </w:r>
      <w:r>
        <w:t xml:space="preserve"> </w:t>
      </w:r>
      <w:r>
        <w:t xml:space="preserve">later. Rel = target release.</w:t>
      </w:r>
    </w:p>
    <w:bookmarkStart w:id="36" w:name="driver-mobile-app"/>
    <w:p>
      <w:pPr>
        <w:pStyle w:val="Heading2"/>
      </w:pPr>
      <w:r>
        <w:t xml:space="preserve">7.1 Driver Mobile App</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Layout w:type="fixed"/>
        <w:tblW w:w="9900" w:type="dxa"/>
      </w:tblPr>
      <w:tblGrid>
        <w:gridCol w:w="1188"/>
        <w:gridCol w:w="6600"/>
        <w:gridCol w:w="1056"/>
        <w:gridCol w:w="1056"/>
      </w:tblGrid>
      <w:tr>
        <w:trPr>
          <w:tblHeader w:val="true"/>
        </w:trPr>
        <w:tc>
          <w:tcPr>
            <w:tcW w:w="1188" w:type="dxa"/>
            <w:shd w:val="clear" w:fill="092448"/>
          </w:tcPr>
          <w:p>
            <w:pPr>
              <w:pStyle w:val="Compact"/>
              <w:jc w:val="left"/>
            </w:pPr>
            <w:r>
              <w:rPr>
                <w:b/>
                <w:color w:val="FFFFFF"/>
                <w:sz w:val="18"/>
              </w:rPr>
              <w:t xml:space="preserve">ID</w:t>
            </w:r>
          </w:p>
        </w:tc>
        <w:tc>
          <w:tcPr>
            <w:tcW w:w="6600" w:type="dxa"/>
            <w:shd w:val="clear" w:fill="092448"/>
          </w:tcPr>
          <w:p>
            <w:pPr>
              <w:pStyle w:val="Compact"/>
              <w:jc w:val="left"/>
            </w:pPr>
            <w:r>
              <w:rPr>
                <w:b/>
                <w:color w:val="FFFFFF"/>
                <w:sz w:val="18"/>
              </w:rPr>
              <w:t xml:space="preserve">Requirement</w:t>
            </w:r>
          </w:p>
        </w:tc>
        <w:tc>
          <w:tcPr>
            <w:tcW w:w="1056" w:type="dxa"/>
            <w:shd w:val="clear" w:fill="092448"/>
          </w:tcPr>
          <w:p>
            <w:pPr>
              <w:pStyle w:val="Compact"/>
              <w:jc w:val="left"/>
            </w:pPr>
            <w:r>
              <w:rPr>
                <w:b/>
                <w:color w:val="FFFFFF"/>
                <w:sz w:val="18"/>
              </w:rPr>
              <w:t xml:space="preserve">Pri</w:t>
            </w:r>
          </w:p>
        </w:tc>
        <w:tc>
          <w:tcPr>
            <w:tcW w:w="1056" w:type="dxa"/>
            <w:shd w:val="clear" w:fill="092448"/>
          </w:tcPr>
          <w:p>
            <w:pPr>
              <w:pStyle w:val="Compact"/>
              <w:jc w:val="left"/>
            </w:pPr>
            <w:r>
              <w:rPr>
                <w:b/>
                <w:color w:val="FFFFFF"/>
                <w:sz w:val="18"/>
              </w:rPr>
              <w:t xml:space="preserve">Rel</w:t>
            </w:r>
          </w:p>
        </w:tc>
      </w:tr>
      <w:tr>
        <w:tc>
          <w:tcPr>
            <w:tcW w:w="1188" w:type="dxa"/>
          </w:tcPr>
          <w:p>
            <w:pPr>
              <w:pStyle w:val="Compact"/>
              <w:jc w:val="left"/>
            </w:pPr>
            <w:r>
              <w:rPr>
                <w:sz w:val="18"/>
              </w:rPr>
              <w:t xml:space="preserve">FR-DRV-001</w:t>
            </w:r>
          </w:p>
        </w:tc>
        <w:tc>
          <w:tcPr>
            <w:tcW w:w="6600" w:type="dxa"/>
          </w:tcPr>
          <w:p>
            <w:pPr>
              <w:pStyle w:val="Compact"/>
              <w:jc w:val="left"/>
            </w:pPr>
            <w:r>
              <w:rPr>
                <w:sz w:val="18"/>
              </w:rPr>
              <w:t xml:space="preserve">Sign in/out, reset password, set/change PIN, biometric sign-in, MFA when triggered, trusted device, notification preferences. Drivers cannot create their own carrier/fleet relationship.</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FR-DRV-002</w:t>
            </w:r>
          </w:p>
        </w:tc>
        <w:tc>
          <w:tcPr>
            <w:tcW w:w="6600" w:type="dxa"/>
          </w:tcPr>
          <w:p>
            <w:pPr>
              <w:pStyle w:val="Compact"/>
              <w:jc w:val="left"/>
            </w:pPr>
            <w:r>
              <w:rPr>
                <w:sz w:val="18"/>
              </w:rPr>
              <w:t xml:space="preserve">Invite-based onboarding: accept invitation, verify phone/email, profile, CDL, emergency contact, employment information requested by the owning company, document upload, agreements, optional banking, submit.</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FR-DRV-003</w:t>
            </w:r>
          </w:p>
        </w:tc>
        <w:tc>
          <w:tcPr>
            <w:tcW w:w="6600" w:type="dxa"/>
          </w:tcPr>
          <w:p>
            <w:pPr>
              <w:pStyle w:val="Compact"/>
              <w:jc w:val="left"/>
            </w:pPr>
            <w:r>
              <w:rPr>
                <w:sz w:val="18"/>
              </w:rPr>
              <w:t xml:space="preserve">Onboarding status visible: Invited → Registration Started → Profile Incomplete → Documents Required → Submitted → Under Review → Approved → Active/Dispatch Eligible; exceptions Needs Information, Rejected, Restricted, Suspended, Inactive.</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FR-DRV-004</w:t>
            </w:r>
          </w:p>
        </w:tc>
        <w:tc>
          <w:tcPr>
            <w:tcW w:w="6600" w:type="dxa"/>
          </w:tcPr>
          <w:p>
            <w:pPr>
              <w:pStyle w:val="Compact"/>
              <w:jc w:val="left"/>
            </w:pPr>
            <w:r>
              <w:rPr>
                <w:sz w:val="18"/>
              </w:rPr>
              <w:t xml:space="preserve">Home: current and next load, status, pickup/delivery appointments, miles remaining, ETA, recent messages, compliance alerts, earnings summary, settlement notification.</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FR-DRV-005</w:t>
            </w:r>
          </w:p>
        </w:tc>
        <w:tc>
          <w:tcPr>
            <w:tcW w:w="6600" w:type="dxa"/>
          </w:tcPr>
          <w:p>
            <w:pPr>
              <w:pStyle w:val="Compact"/>
              <w:jc w:val="left"/>
            </w:pPr>
            <w:r>
              <w:rPr>
                <w:sz w:val="18"/>
              </w:rPr>
              <w:t xml:space="preserve">Receive assignment, view load, accept, or reject with reason. Drivers cannot create, re-rate, reassign or cancel loads.</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FR-DRV-006</w:t>
            </w:r>
          </w:p>
        </w:tc>
        <w:tc>
          <w:tcPr>
            <w:tcW w:w="6600" w:type="dxa"/>
          </w:tcPr>
          <w:p>
            <w:pPr>
              <w:pStyle w:val="Compact"/>
              <w:jc w:val="left"/>
            </w:pPr>
            <w:r>
              <w:rPr>
                <w:sz w:val="18"/>
              </w:rPr>
              <w:t xml:space="preserve">Execution flow per stop: navigate, confirm arrival, loading, loaded, in transit, arrive at delivery, unloading, delivered, POD submitted. With multiple pickups and drop-offs, each stop is confirmed individually.</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FR-DRV-007</w:t>
            </w:r>
          </w:p>
        </w:tc>
        <w:tc>
          <w:tcPr>
            <w:tcW w:w="6600" w:type="dxa"/>
          </w:tcPr>
          <w:p>
            <w:pPr>
              <w:pStyle w:val="Compact"/>
              <w:jc w:val="left"/>
            </w:pPr>
            <w:r>
              <w:rPr>
                <w:sz w:val="18"/>
              </w:rPr>
              <w:t xml:space="preserve">Geofence arrival prompt with a manual</w:t>
            </w:r>
            <w:r>
              <w:rPr>
                <w:sz w:val="18"/>
              </w:rPr>
              <w:t xml:space="preserve"> </w:t>
            </w:r>
            <w:r>
              <w:rPr>
                <w:sz w:val="18"/>
              </w:rPr>
              <w:t xml:space="preserve">“</w:t>
            </w:r>
            <w:r>
              <w:rPr>
                <w:sz w:val="18"/>
              </w:rPr>
              <w:t xml:space="preserve">confirm arrival</w:t>
            </w:r>
            <w:r>
              <w:rPr>
                <w:sz w:val="18"/>
              </w:rPr>
              <w:t xml:space="preserve">”</w:t>
            </w:r>
            <w:r>
              <w:rPr>
                <w:sz w:val="18"/>
              </w:rPr>
              <w:t xml:space="preserve"> </w:t>
            </w:r>
            <w:r>
              <w:rPr>
                <w:sz w:val="18"/>
              </w:rPr>
              <w:t xml:space="preserve">fallback when the prompt fails (network or location). Prompt must not obscure key load information.</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FR-DRV-008</w:t>
            </w:r>
          </w:p>
        </w:tc>
        <w:tc>
          <w:tcPr>
            <w:tcW w:w="6600" w:type="dxa"/>
          </w:tcPr>
          <w:p>
            <w:pPr>
              <w:pStyle w:val="Compact"/>
              <w:jc w:val="left"/>
            </w:pPr>
            <w:r>
              <w:rPr>
                <w:sz w:val="18"/>
              </w:rPr>
              <w:t xml:space="preserve">Active load screen shows a clear pickup-to-delivery route line including intermediate stops, and a tracking map with truck position.</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FR-DRV-009</w:t>
            </w:r>
          </w:p>
        </w:tc>
        <w:tc>
          <w:tcPr>
            <w:tcW w:w="6600" w:type="dxa"/>
          </w:tcPr>
          <w:p>
            <w:pPr>
              <w:pStyle w:val="Compact"/>
              <w:jc w:val="left"/>
            </w:pPr>
            <w:r>
              <w:rPr>
                <w:sz w:val="18"/>
              </w:rPr>
              <w:t xml:space="preserve">View the rate confirmation as a PDF.</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FR-DRV-010</w:t>
            </w:r>
          </w:p>
        </w:tc>
        <w:tc>
          <w:tcPr>
            <w:tcW w:w="6600" w:type="dxa"/>
          </w:tcPr>
          <w:p>
            <w:pPr>
              <w:pStyle w:val="Compact"/>
              <w:jc w:val="left"/>
            </w:pPr>
            <w:r>
              <w:rPr>
                <w:sz w:val="18"/>
              </w:rPr>
              <w:t xml:space="preserve">Capture BOL at pickup with electronic signatures (drawn signature) by driver and shipper; same document carried to the receiver for signature at delivery; the signed PDF is pushed to the broker and the carrier’s load record.</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FR-DRV-011</w:t>
            </w:r>
          </w:p>
        </w:tc>
        <w:tc>
          <w:tcPr>
            <w:tcW w:w="6600" w:type="dxa"/>
          </w:tcPr>
          <w:p>
            <w:pPr>
              <w:pStyle w:val="Compact"/>
              <w:jc w:val="left"/>
            </w:pPr>
            <w:r>
              <w:rPr>
                <w:sz w:val="18"/>
              </w:rPr>
              <w:t xml:space="preserve">Report exceptions (delay, detention, breakdown, accident, cargo, pickup/delivery/route/weather issue, other) with photo, comment, location, timestamp, attachment.</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FR-DRV-012</w:t>
            </w:r>
          </w:p>
        </w:tc>
        <w:tc>
          <w:tcPr>
            <w:tcW w:w="6600" w:type="dxa"/>
          </w:tcPr>
          <w:p>
            <w:pPr>
              <w:pStyle w:val="Compact"/>
              <w:jc w:val="left"/>
            </w:pPr>
            <w:r>
              <w:rPr>
                <w:sz w:val="18"/>
              </w:rPr>
              <w:t xml:space="preserve">Documents: view, upload, replace, submit CDL, medical certificate, MVR where applicable, agreements; load documents (BOL, POD, lumper, scale ticket, fuel/expense receipt). A</w:t>
            </w:r>
            <w:r>
              <w:rPr>
                <w:sz w:val="18"/>
              </w:rPr>
              <w:t xml:space="preserve"> </w:t>
            </w:r>
            <w:r>
              <w:rPr>
                <w:bCs/>
                <w:b/>
                <w:sz w:val="18"/>
              </w:rPr>
              <w:t xml:space="preserve">Renew</w:t>
            </w:r>
            <w:r>
              <w:rPr>
                <w:sz w:val="18"/>
              </w:rPr>
              <w:t xml:space="preserve"> </w:t>
            </w:r>
            <w:r>
              <w:rPr>
                <w:sz w:val="18"/>
              </w:rPr>
              <w:t xml:space="preserve">action replaces expired documents. Drivers cannot approve their own documents.</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FR-DRV-013</w:t>
            </w:r>
          </w:p>
        </w:tc>
        <w:tc>
          <w:tcPr>
            <w:tcW w:w="6600" w:type="dxa"/>
          </w:tcPr>
          <w:p>
            <w:pPr>
              <w:pStyle w:val="Compact"/>
              <w:jc w:val="left"/>
            </w:pPr>
            <w:r>
              <w:rPr>
                <w:sz w:val="18"/>
              </w:rPr>
              <w:t xml:space="preserve">Compliance view: Valid, Expiring Soon, Expired, Under Review, Rejected, with configurable reminders (e.g. 60/30/14/7 days). Carrier decides eligibility.</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FR-DRV-014</w:t>
            </w:r>
          </w:p>
        </w:tc>
        <w:tc>
          <w:tcPr>
            <w:tcW w:w="6600" w:type="dxa"/>
          </w:tcPr>
          <w:p>
            <w:pPr>
              <w:pStyle w:val="Compact"/>
              <w:jc w:val="left"/>
            </w:pPr>
            <w:r>
              <w:rPr>
                <w:sz w:val="18"/>
              </w:rPr>
              <w:t xml:space="preserve">See the assigned dispatcher on each load, with chat and call.</w:t>
            </w:r>
          </w:p>
        </w:tc>
        <w:tc>
          <w:tcPr>
            <w:tcW w:w="1056" w:type="dxa"/>
          </w:tcPr>
          <w:p>
            <w:pPr>
              <w:pStyle w:val="Compact"/>
              <w:jc w:val="left"/>
            </w:pPr>
            <w:r>
              <w:rPr>
                <w:sz w:val="18"/>
              </w:rPr>
              <w:t xml:space="preserve">P1</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FR-DRV-015</w:t>
            </w:r>
          </w:p>
        </w:tc>
        <w:tc>
          <w:tcPr>
            <w:tcW w:w="6600" w:type="dxa"/>
          </w:tcPr>
          <w:p>
            <w:pPr>
              <w:pStyle w:val="Compact"/>
              <w:jc w:val="left"/>
            </w:pPr>
            <w:r>
              <w:rPr>
                <w:sz w:val="18"/>
              </w:rPr>
              <w:t xml:space="preserve">Assigned truck page populated from the carrier’s equipment record, with truck documents (registration/cab card, insurance, annual DOT inspection, lease if applicable).</w:t>
            </w:r>
          </w:p>
        </w:tc>
        <w:tc>
          <w:tcPr>
            <w:tcW w:w="1056" w:type="dxa"/>
          </w:tcPr>
          <w:p>
            <w:pPr>
              <w:pStyle w:val="Compact"/>
              <w:jc w:val="left"/>
            </w:pPr>
            <w:r>
              <w:rPr>
                <w:sz w:val="18"/>
              </w:rPr>
              <w:t xml:space="preserve">P1</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FR-DRV-016</w:t>
            </w:r>
          </w:p>
        </w:tc>
        <w:tc>
          <w:tcPr>
            <w:tcW w:w="6600" w:type="dxa"/>
          </w:tcPr>
          <w:p>
            <w:pPr>
              <w:pStyle w:val="Compact"/>
              <w:jc w:val="left"/>
            </w:pPr>
            <w:r>
              <w:rPr>
                <w:sz w:val="18"/>
              </w:rPr>
              <w:t xml:space="preserve">Driver can add truck service information; entries sync with the carrier’s truck service history.</w:t>
            </w:r>
          </w:p>
        </w:tc>
        <w:tc>
          <w:tcPr>
            <w:tcW w:w="1056" w:type="dxa"/>
          </w:tcPr>
          <w:p>
            <w:pPr>
              <w:pStyle w:val="Compact"/>
              <w:jc w:val="left"/>
            </w:pPr>
            <w:r>
              <w:rPr>
                <w:sz w:val="18"/>
              </w:rPr>
              <w:t xml:space="preserve">P1</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FR-DRV-017</w:t>
            </w:r>
          </w:p>
        </w:tc>
        <w:tc>
          <w:tcPr>
            <w:tcW w:w="6600" w:type="dxa"/>
          </w:tcPr>
          <w:p>
            <w:pPr>
              <w:pStyle w:val="Compact"/>
              <w:jc w:val="left"/>
            </w:pPr>
            <w:r>
              <w:rPr>
                <w:sz w:val="18"/>
              </w:rPr>
              <w:t xml:space="preserve">Service-due prompt when the odometer approaches the carrier-configured service interval, using load distance and driver geolocation while driver and truck are both in service.</w:t>
            </w:r>
          </w:p>
        </w:tc>
        <w:tc>
          <w:tcPr>
            <w:tcW w:w="1056" w:type="dxa"/>
          </w:tcPr>
          <w:p>
            <w:pPr>
              <w:pStyle w:val="Compact"/>
              <w:jc w:val="left"/>
            </w:pPr>
            <w:r>
              <w:rPr>
                <w:sz w:val="18"/>
              </w:rPr>
              <w:t xml:space="preserve">P1</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FR-DRV-018</w:t>
            </w:r>
          </w:p>
        </w:tc>
        <w:tc>
          <w:tcPr>
            <w:tcW w:w="6600" w:type="dxa"/>
          </w:tcPr>
          <w:p>
            <w:pPr>
              <w:pStyle w:val="Compact"/>
              <w:jc w:val="left"/>
            </w:pPr>
            <w:r>
              <w:rPr>
                <w:sz w:val="18"/>
              </w:rPr>
              <w:t xml:space="preserve">Profile: direct-deposit information viewable and editable; notification settings, change password and help/support pages functional.</w:t>
            </w:r>
          </w:p>
        </w:tc>
        <w:tc>
          <w:tcPr>
            <w:tcW w:w="1056" w:type="dxa"/>
          </w:tcPr>
          <w:p>
            <w:pPr>
              <w:pStyle w:val="Compact"/>
              <w:jc w:val="left"/>
            </w:pPr>
            <w:r>
              <w:rPr>
                <w:sz w:val="18"/>
              </w:rPr>
              <w:t xml:space="preserve">P1</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FR-DRV-019</w:t>
            </w:r>
          </w:p>
        </w:tc>
        <w:tc>
          <w:tcPr>
            <w:tcW w:w="6600" w:type="dxa"/>
          </w:tcPr>
          <w:p>
            <w:pPr>
              <w:pStyle w:val="Compact"/>
              <w:jc w:val="left"/>
            </w:pPr>
            <w:r>
              <w:rPr>
                <w:sz w:val="18"/>
              </w:rPr>
              <w:t xml:space="preserve">Earnings: current week, month-to-date, year-to-date, annual, all-time; load earnings, deductions, escrow, reimbursements, net settlement; previous settlement breakdown with PDF; summary reports (this week, last week, last month, YTD) with PDF. Source depends on driver type; fleet drivers do not see the carrier-to-fleet settlement.</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R2</w:t>
            </w:r>
          </w:p>
        </w:tc>
      </w:tr>
      <w:tr>
        <w:tc>
          <w:tcPr>
            <w:tcW w:w="1188" w:type="dxa"/>
          </w:tcPr>
          <w:p>
            <w:pPr>
              <w:pStyle w:val="Compact"/>
              <w:jc w:val="left"/>
            </w:pPr>
            <w:r>
              <w:rPr>
                <w:sz w:val="18"/>
              </w:rPr>
              <w:t xml:space="preserve">FR-DRV-020</w:t>
            </w:r>
          </w:p>
        </w:tc>
        <w:tc>
          <w:tcPr>
            <w:tcW w:w="6600" w:type="dxa"/>
          </w:tcPr>
          <w:p>
            <w:pPr>
              <w:pStyle w:val="Compact"/>
              <w:jc w:val="left"/>
            </w:pPr>
            <w:r>
              <w:rPr>
                <w:sz w:val="18"/>
              </w:rPr>
              <w:t xml:space="preserve">Submit expenses against a load.</w:t>
            </w:r>
          </w:p>
        </w:tc>
        <w:tc>
          <w:tcPr>
            <w:tcW w:w="1056" w:type="dxa"/>
          </w:tcPr>
          <w:p>
            <w:pPr>
              <w:pStyle w:val="Compact"/>
              <w:jc w:val="left"/>
            </w:pPr>
            <w:r>
              <w:rPr>
                <w:sz w:val="18"/>
              </w:rPr>
              <w:t xml:space="preserve">P1</w:t>
            </w:r>
          </w:p>
        </w:tc>
        <w:tc>
          <w:tcPr>
            <w:tcW w:w="1056" w:type="dxa"/>
          </w:tcPr>
          <w:p>
            <w:pPr>
              <w:pStyle w:val="Compact"/>
              <w:jc w:val="left"/>
            </w:pPr>
            <w:r>
              <w:rPr>
                <w:sz w:val="18"/>
              </w:rPr>
              <w:t xml:space="preserve">R2</w:t>
            </w:r>
          </w:p>
        </w:tc>
      </w:tr>
      <w:tr>
        <w:tc>
          <w:tcPr>
            <w:tcW w:w="1188" w:type="dxa"/>
          </w:tcPr>
          <w:p>
            <w:pPr>
              <w:pStyle w:val="Compact"/>
              <w:jc w:val="left"/>
            </w:pPr>
            <w:r>
              <w:rPr>
                <w:sz w:val="18"/>
              </w:rPr>
              <w:t xml:space="preserve">FR-DRV-021</w:t>
            </w:r>
          </w:p>
        </w:tc>
        <w:tc>
          <w:tcPr>
            <w:tcW w:w="6600" w:type="dxa"/>
          </w:tcPr>
          <w:p>
            <w:pPr>
              <w:pStyle w:val="Compact"/>
              <w:jc w:val="left"/>
            </w:pPr>
            <w:r>
              <w:rPr>
                <w:sz w:val="18"/>
              </w:rPr>
              <w:t xml:space="preserve">The app is a true mobile application (not a desktop layout in a frame). Offline-tolerant queueing for status, photos and signatures. [DECISION D-05: native vs. cross-platform, see ADR-002]</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bl>
    <w:bookmarkEnd w:id="36"/>
    <w:bookmarkStart w:id="37" w:name="carrier-admin-portal"/>
    <w:p>
      <w:pPr>
        <w:pStyle w:val="Heading2"/>
      </w:pPr>
      <w:r>
        <w:t xml:space="preserve">7.2 Carrier Admin Portal</w:t>
      </w:r>
    </w:p>
    <w:p>
      <w:pPr>
        <w:pStyle w:val="FirstParagraph"/>
      </w:pPr>
      <w:r>
        <w:t xml:space="preserve">Navigation (from the master requirements;</w:t>
      </w:r>
      <w:r>
        <w:t xml:space="preserve"> </w:t>
      </w:r>
      <w:r>
        <w:t xml:space="preserve">“</w:t>
      </w:r>
      <w:r>
        <w:t xml:space="preserve">Asset</w:t>
      </w:r>
      <w:r>
        <w:t xml:space="preserve">”</w:t>
      </w:r>
      <w:r>
        <w:t xml:space="preserve"> </w:t>
      </w:r>
      <w:r>
        <w:t xml:space="preserve">combines drivers and equipment per later refinement): Dashboard, Dispatch, Loads, Onboarding, Asset (Drivers, Equipment), Fleet Companies, Customers, Brokers, Factoring, Documents, Compliance, Maintenance, Settlements, Accounting, Reports, Users &amp; Roles, Settings.</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Layout w:type="fixed"/>
        <w:tblW w:w="9900" w:type="dxa"/>
      </w:tblPr>
      <w:tblGrid>
        <w:gridCol w:w="1188"/>
        <w:gridCol w:w="6600"/>
        <w:gridCol w:w="1056"/>
        <w:gridCol w:w="1056"/>
      </w:tblGrid>
      <w:tr>
        <w:trPr>
          <w:tblHeader w:val="true"/>
        </w:trPr>
        <w:tc>
          <w:tcPr>
            <w:tcW w:w="1188" w:type="dxa"/>
            <w:shd w:val="clear" w:fill="092448"/>
          </w:tcPr>
          <w:p>
            <w:pPr>
              <w:pStyle w:val="Compact"/>
              <w:jc w:val="left"/>
            </w:pPr>
            <w:r>
              <w:rPr>
                <w:b/>
                <w:color w:val="FFFFFF"/>
                <w:sz w:val="18"/>
              </w:rPr>
              <w:t xml:space="preserve">ID</w:t>
            </w:r>
          </w:p>
        </w:tc>
        <w:tc>
          <w:tcPr>
            <w:tcW w:w="6600" w:type="dxa"/>
            <w:shd w:val="clear" w:fill="092448"/>
          </w:tcPr>
          <w:p>
            <w:pPr>
              <w:pStyle w:val="Compact"/>
              <w:jc w:val="left"/>
            </w:pPr>
            <w:r>
              <w:rPr>
                <w:b/>
                <w:color w:val="FFFFFF"/>
                <w:sz w:val="18"/>
              </w:rPr>
              <w:t xml:space="preserve">Requirement</w:t>
            </w:r>
          </w:p>
        </w:tc>
        <w:tc>
          <w:tcPr>
            <w:tcW w:w="1056" w:type="dxa"/>
            <w:shd w:val="clear" w:fill="092448"/>
          </w:tcPr>
          <w:p>
            <w:pPr>
              <w:pStyle w:val="Compact"/>
              <w:jc w:val="left"/>
            </w:pPr>
            <w:r>
              <w:rPr>
                <w:b/>
                <w:color w:val="FFFFFF"/>
                <w:sz w:val="18"/>
              </w:rPr>
              <w:t xml:space="preserve">Pri</w:t>
            </w:r>
          </w:p>
        </w:tc>
        <w:tc>
          <w:tcPr>
            <w:tcW w:w="1056" w:type="dxa"/>
            <w:shd w:val="clear" w:fill="092448"/>
          </w:tcPr>
          <w:p>
            <w:pPr>
              <w:pStyle w:val="Compact"/>
              <w:jc w:val="left"/>
            </w:pPr>
            <w:r>
              <w:rPr>
                <w:b/>
                <w:color w:val="FFFFFF"/>
                <w:sz w:val="18"/>
              </w:rPr>
              <w:t xml:space="preserve">Rel</w:t>
            </w:r>
          </w:p>
        </w:tc>
      </w:tr>
      <w:tr>
        <w:tc>
          <w:tcPr>
            <w:tcW w:w="1188" w:type="dxa"/>
          </w:tcPr>
          <w:p>
            <w:pPr>
              <w:pStyle w:val="Compact"/>
              <w:jc w:val="left"/>
            </w:pPr>
            <w:r>
              <w:rPr>
                <w:sz w:val="18"/>
              </w:rPr>
              <w:t xml:space="preserve">FR-CAR-001</w:t>
            </w:r>
          </w:p>
        </w:tc>
        <w:tc>
          <w:tcPr>
            <w:tcW w:w="6600" w:type="dxa"/>
          </w:tcPr>
          <w:p>
            <w:pPr>
              <w:pStyle w:val="Compact"/>
              <w:jc w:val="left"/>
            </w:pPr>
            <w:r>
              <w:rPr>
                <w:sz w:val="18"/>
              </w:rPr>
              <w:t xml:space="preserve">Dashboard KPIs: active loads, unassigned, awaiting acceptance, pickups/deliveries today, delayed, available drivers/trucks, compliance exceptions, revenue, settlements payable; fleet breakdown (carrier fleet vs. managed fleet) when R3 is live.</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FR-CAR-002</w:t>
            </w:r>
          </w:p>
        </w:tc>
        <w:tc>
          <w:tcPr>
            <w:tcW w:w="6600" w:type="dxa"/>
          </w:tcPr>
          <w:p>
            <w:pPr>
              <w:pStyle w:val="Compact"/>
              <w:jc w:val="left"/>
            </w:pPr>
            <w:r>
              <w:rPr>
                <w:bCs/>
                <w:b/>
                <w:sz w:val="18"/>
              </w:rPr>
              <w:t xml:space="preserve">Create load</w:t>
            </w:r>
            <w:r>
              <w:rPr>
                <w:sz w:val="18"/>
              </w:rPr>
              <w:t xml:space="preserve"> </w:t>
            </w:r>
            <w:r>
              <w:rPr>
                <w:sz w:val="18"/>
              </w:rPr>
              <w:t xml:space="preserve">wizard exactly per the documented flow: (1) customer and broker (inline add; time zone auto-set), (2) pickups and drop-offs with multiple stops, schedule windows and private notes, (3) rate and line items, commodity type, optional dimensions, (4) billing: factored shows factoring company only, non-factored shows Bill To only. Select the responsible dispatcher.</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FR-CAR-003</w:t>
            </w:r>
          </w:p>
        </w:tc>
        <w:tc>
          <w:tcPr>
            <w:tcW w:w="6600" w:type="dxa"/>
          </w:tcPr>
          <w:p>
            <w:pPr>
              <w:pStyle w:val="Compact"/>
              <w:jc w:val="left"/>
            </w:pPr>
            <w:r>
              <w:rPr>
                <w:sz w:val="18"/>
              </w:rPr>
              <w:t xml:space="preserve">Load manager: Active and Completed lists with search; request dates in the carrier’s time zone.</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FR-CAR-004</w:t>
            </w:r>
          </w:p>
        </w:tc>
        <w:tc>
          <w:tcPr>
            <w:tcW w:w="6600" w:type="dxa"/>
          </w:tcPr>
          <w:p>
            <w:pPr>
              <w:pStyle w:val="Compact"/>
              <w:jc w:val="left"/>
            </w:pPr>
            <w:r>
              <w:rPr>
                <w:bCs/>
                <w:b/>
                <w:sz w:val="18"/>
              </w:rPr>
              <w:t xml:space="preserve">Load detail</w:t>
            </w:r>
            <w:r>
              <w:rPr>
                <w:sz w:val="18"/>
              </w:rPr>
              <w:t xml:space="preserve"> </w:t>
            </w:r>
            <w:r>
              <w:rPr>
                <w:sz w:val="18"/>
              </w:rPr>
              <w:t xml:space="preserve">page: all list fields plus full stop detail, current location, miles driven and remaining (in transit) or total (completed), rate confirmation, driver-uploaded PODs/BOLs/photos, assigned driver and dispatcher, and a control to email a live location/tracking link to the broker contact.</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FR-CAR-005</w:t>
            </w:r>
          </w:p>
        </w:tc>
        <w:tc>
          <w:tcPr>
            <w:tcW w:w="6600" w:type="dxa"/>
          </w:tcPr>
          <w:p>
            <w:pPr>
              <w:pStyle w:val="Compact"/>
              <w:jc w:val="left"/>
            </w:pPr>
            <w:r>
              <w:rPr>
                <w:sz w:val="18"/>
              </w:rPr>
              <w:t xml:space="preserve">Assign/reassign driver and truck; assigning a new load to a driver works end to end; one active assignment per load (BR-013).</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FR-CAR-006</w:t>
            </w:r>
          </w:p>
        </w:tc>
        <w:tc>
          <w:tcPr>
            <w:tcW w:w="6600" w:type="dxa"/>
          </w:tcPr>
          <w:p>
            <w:pPr>
              <w:pStyle w:val="Compact"/>
              <w:jc w:val="left"/>
            </w:pPr>
            <w:r>
              <w:rPr>
                <w:sz w:val="18"/>
              </w:rPr>
              <w:t xml:space="preserve">Dispatch board shows all resources with ownership visible; live-tracking map (US map with truck positions and route lines between pickup and delivery).</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FR-CAR-007</w:t>
            </w:r>
          </w:p>
        </w:tc>
        <w:tc>
          <w:tcPr>
            <w:tcW w:w="6600" w:type="dxa"/>
          </w:tcPr>
          <w:p>
            <w:pPr>
              <w:pStyle w:val="Compact"/>
              <w:jc w:val="left"/>
            </w:pPr>
            <w:r>
              <w:rPr>
                <w:sz w:val="18"/>
              </w:rPr>
              <w:t xml:space="preserve">Edit load in any status with audit;</w:t>
            </w:r>
            <w:r>
              <w:rPr>
                <w:sz w:val="18"/>
              </w:rPr>
              <w:t xml:space="preserve"> </w:t>
            </w:r>
            <w:r>
              <w:rPr>
                <w:bCs/>
                <w:b/>
                <w:sz w:val="18"/>
              </w:rPr>
              <w:t xml:space="preserve">void</w:t>
            </w:r>
            <w:r>
              <w:rPr>
                <w:sz w:val="18"/>
              </w:rPr>
              <w:t xml:space="preserve"> </w:t>
            </w:r>
            <w:r>
              <w:rPr>
                <w:sz w:val="18"/>
              </w:rPr>
              <w:t xml:space="preserve">instead of delete; TONU with reason and rate edit.</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FR-CAR-008</w:t>
            </w:r>
          </w:p>
        </w:tc>
        <w:tc>
          <w:tcPr>
            <w:tcW w:w="6600" w:type="dxa"/>
          </w:tcPr>
          <w:p>
            <w:pPr>
              <w:pStyle w:val="Compact"/>
              <w:jc w:val="left"/>
            </w:pPr>
            <w:r>
              <w:rPr>
                <w:sz w:val="18"/>
              </w:rPr>
              <w:t xml:space="preserve">Broker notification emails when a load is picked up and when delivered, to the broker email in the carrier’s book of record; a further event sends driver-uploaded BOL/POD documents to that email.</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FR-CAR-009</w:t>
            </w:r>
          </w:p>
        </w:tc>
        <w:tc>
          <w:tcPr>
            <w:tcW w:w="6600" w:type="dxa"/>
          </w:tcPr>
          <w:p>
            <w:pPr>
              <w:pStyle w:val="Compact"/>
              <w:jc w:val="left"/>
            </w:pPr>
            <w:r>
              <w:rPr>
                <w:bCs/>
                <w:b/>
                <w:sz w:val="18"/>
              </w:rPr>
              <w:t xml:space="preserve">Onboarding hub</w:t>
            </w:r>
            <w:r>
              <w:rPr>
                <w:sz w:val="18"/>
              </w:rPr>
              <w:t xml:space="preserve">:</w:t>
            </w:r>
            <w:r>
              <w:rPr>
                <w:sz w:val="18"/>
              </w:rPr>
              <w:t xml:space="preserve"> </w:t>
            </w:r>
            <w:r>
              <w:rPr>
                <w:sz w:val="18"/>
              </w:rPr>
              <w:t xml:space="preserve">“</w:t>
            </w:r>
            <w:r>
              <w:rPr>
                <w:sz w:val="18"/>
              </w:rPr>
              <w:t xml:space="preserve">New</w:t>
            </w:r>
            <w:r>
              <w:rPr>
                <w:sz w:val="18"/>
              </w:rPr>
              <w:t xml:space="preserve">”</w:t>
            </w:r>
            <w:r>
              <w:rPr>
                <w:sz w:val="18"/>
              </w:rPr>
              <w:t xml:space="preserve"> </w:t>
            </w:r>
            <w:r>
              <w:rPr>
                <w:sz w:val="18"/>
              </w:rPr>
              <w:t xml:space="preserve">for driver, vehicle, truck owner, broker, customer and factoring company. Queue of in-progress items with working Open and Review actions. Admin-completed onboarding as well as invite-driven onboarding for driver, owner and truck. Draft / needs-changes records stay invisible to dispatch until approved.</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FR-CAR-010</w:t>
            </w:r>
          </w:p>
        </w:tc>
        <w:tc>
          <w:tcPr>
            <w:tcW w:w="6600" w:type="dxa"/>
          </w:tcPr>
          <w:p>
            <w:pPr>
              <w:pStyle w:val="Compact"/>
              <w:jc w:val="left"/>
            </w:pPr>
            <w:r>
              <w:rPr>
                <w:sz w:val="18"/>
              </w:rPr>
              <w:t xml:space="preserve">Broker records support an optional address; factoring company records support an optional address.</w:t>
            </w:r>
          </w:p>
        </w:tc>
        <w:tc>
          <w:tcPr>
            <w:tcW w:w="1056" w:type="dxa"/>
          </w:tcPr>
          <w:p>
            <w:pPr>
              <w:pStyle w:val="Compact"/>
              <w:jc w:val="left"/>
            </w:pPr>
            <w:r>
              <w:rPr>
                <w:sz w:val="18"/>
              </w:rPr>
              <w:t xml:space="preserve">P1</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FR-CAR-011</w:t>
            </w:r>
          </w:p>
        </w:tc>
        <w:tc>
          <w:tcPr>
            <w:tcW w:w="6600" w:type="dxa"/>
          </w:tcPr>
          <w:p>
            <w:pPr>
              <w:pStyle w:val="Compact"/>
              <w:jc w:val="left"/>
            </w:pPr>
            <w:r>
              <w:rPr>
                <w:bCs/>
                <w:b/>
                <w:sz w:val="18"/>
              </w:rPr>
              <w:t xml:space="preserve">Asset</w:t>
            </w:r>
            <w:r>
              <w:rPr>
                <w:sz w:val="18"/>
              </w:rPr>
              <w:t xml:space="preserve"> </w:t>
            </w:r>
            <w:r>
              <w:rPr>
                <w:sz w:val="18"/>
              </w:rPr>
              <w:t xml:space="preserve">nav with sub-navigation Drivers and Assets. Truck list shows owner of truck; truck details editable.</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FR-CAR-012</w:t>
            </w:r>
          </w:p>
        </w:tc>
        <w:tc>
          <w:tcPr>
            <w:tcW w:w="6600" w:type="dxa"/>
          </w:tcPr>
          <w:p>
            <w:pPr>
              <w:pStyle w:val="Compact"/>
              <w:jc w:val="left"/>
            </w:pPr>
            <w:r>
              <w:rPr>
                <w:sz w:val="18"/>
              </w:rPr>
              <w:t xml:space="preserve">Add-vehicle flow with vehicle types including box truck and reefer and truck size; steps in a left-hand step list with a financial-settings step (revenue share between truck and driver, other deductions). Required truck documents: annual DOT inspection, registration/cab card, lease agreement where needed, insurance.</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FR-CAR-013</w:t>
            </w:r>
          </w:p>
        </w:tc>
        <w:tc>
          <w:tcPr>
            <w:tcW w:w="6600" w:type="dxa"/>
          </w:tcPr>
          <w:p>
            <w:pPr>
              <w:pStyle w:val="Compact"/>
              <w:jc w:val="left"/>
            </w:pPr>
            <w:r>
              <w:rPr>
                <w:sz w:val="18"/>
              </w:rPr>
              <w:t xml:space="preserve">Truck detail: assign or update drivers; edit financial settings in isolation (only that section opens) with the ability to add other deduction lines; document and maintenance cards open only the relevant section on Update.</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FR-CAR-014</w:t>
            </w:r>
          </w:p>
        </w:tc>
        <w:tc>
          <w:tcPr>
            <w:tcW w:w="6600" w:type="dxa"/>
          </w:tcPr>
          <w:p>
            <w:pPr>
              <w:pStyle w:val="Compact"/>
              <w:jc w:val="left"/>
            </w:pPr>
            <w:r>
              <w:rPr>
                <w:sz w:val="18"/>
              </w:rPr>
              <w:t xml:space="preserve">Service intervals: carrier states miles-until-service at truck setup; value carries to truck detail and the driver’s truck page; warnings in both when the odometer approaches the interval (FR-DRV-017). Service history entered by admin or driver appears on the truck detail.</w:t>
            </w:r>
          </w:p>
        </w:tc>
        <w:tc>
          <w:tcPr>
            <w:tcW w:w="1056" w:type="dxa"/>
          </w:tcPr>
          <w:p>
            <w:pPr>
              <w:pStyle w:val="Compact"/>
              <w:jc w:val="left"/>
            </w:pPr>
            <w:r>
              <w:rPr>
                <w:sz w:val="18"/>
              </w:rPr>
              <w:t xml:space="preserve">P1</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FR-CAR-015</w:t>
            </w:r>
          </w:p>
        </w:tc>
        <w:tc>
          <w:tcPr>
            <w:tcW w:w="6600" w:type="dxa"/>
          </w:tcPr>
          <w:p>
            <w:pPr>
              <w:pStyle w:val="Compact"/>
              <w:jc w:val="left"/>
            </w:pPr>
            <w:r>
              <w:rPr>
                <w:sz w:val="18"/>
              </w:rPr>
              <w:t xml:space="preserve">Driver detail: statuses, full profile and documents (including driver application, W-4, motor vehicle record), edit driver opens Profile + Employment, edit pay + deductions opens only that section with time-stamped edits, escrow summary (total to collect, collected so far; automated, non-editable per BR-018), pay-settlement history with PDF per line.</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 / R2</w:t>
            </w:r>
          </w:p>
        </w:tc>
      </w:tr>
      <w:tr>
        <w:tc>
          <w:tcPr>
            <w:tcW w:w="1188" w:type="dxa"/>
          </w:tcPr>
          <w:p>
            <w:pPr>
              <w:pStyle w:val="Compact"/>
              <w:jc w:val="left"/>
            </w:pPr>
            <w:r>
              <w:rPr>
                <w:sz w:val="18"/>
              </w:rPr>
              <w:t xml:space="preserve">FR-CAR-016</w:t>
            </w:r>
          </w:p>
        </w:tc>
        <w:tc>
          <w:tcPr>
            <w:tcW w:w="6600" w:type="dxa"/>
          </w:tcPr>
          <w:p>
            <w:pPr>
              <w:pStyle w:val="Compact"/>
              <w:jc w:val="left"/>
            </w:pPr>
            <w:r>
              <w:rPr>
                <w:sz w:val="18"/>
              </w:rPr>
              <w:t xml:space="preserve">Driver onboarding progress is visible for invited drivers and adapted for admin-completed onboarding.</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FR-CAR-017</w:t>
            </w:r>
          </w:p>
        </w:tc>
        <w:tc>
          <w:tcPr>
            <w:tcW w:w="6600" w:type="dxa"/>
          </w:tcPr>
          <w:p>
            <w:pPr>
              <w:pStyle w:val="Compact"/>
              <w:jc w:val="left"/>
            </w:pPr>
            <w:r>
              <w:rPr>
                <w:sz w:val="18"/>
              </w:rPr>
              <w:t xml:space="preserve">Dispatcher management: onboard and update dispatchers; payment terms as a percentage of gross load dispatched, editable; onboarding captures required identity and payment information (SSN, ID card, account information) under the sensitive-data rules in §12.3; performance views (week-to-date, last settlement, month-to-date, year-to-date); settlement history with PDF.</w:t>
            </w:r>
          </w:p>
        </w:tc>
        <w:tc>
          <w:tcPr>
            <w:tcW w:w="1056" w:type="dxa"/>
          </w:tcPr>
          <w:p>
            <w:pPr>
              <w:pStyle w:val="Compact"/>
              <w:jc w:val="left"/>
            </w:pPr>
            <w:r>
              <w:rPr>
                <w:sz w:val="18"/>
              </w:rPr>
              <w:t xml:space="preserve">P1</w:t>
            </w:r>
          </w:p>
        </w:tc>
        <w:tc>
          <w:tcPr>
            <w:tcW w:w="1056" w:type="dxa"/>
          </w:tcPr>
          <w:p>
            <w:pPr>
              <w:pStyle w:val="Compact"/>
              <w:jc w:val="left"/>
            </w:pPr>
            <w:r>
              <w:rPr>
                <w:sz w:val="18"/>
              </w:rPr>
              <w:t xml:space="preserve">R2</w:t>
            </w:r>
          </w:p>
        </w:tc>
      </w:tr>
      <w:tr>
        <w:tc>
          <w:tcPr>
            <w:tcW w:w="1188" w:type="dxa"/>
          </w:tcPr>
          <w:p>
            <w:pPr>
              <w:pStyle w:val="Compact"/>
              <w:jc w:val="left"/>
            </w:pPr>
            <w:r>
              <w:rPr>
                <w:sz w:val="18"/>
              </w:rPr>
              <w:t xml:space="preserve">FR-CAR-018</w:t>
            </w:r>
          </w:p>
        </w:tc>
        <w:tc>
          <w:tcPr>
            <w:tcW w:w="6600" w:type="dxa"/>
          </w:tcPr>
          <w:p>
            <w:pPr>
              <w:pStyle w:val="Compact"/>
              <w:jc w:val="left"/>
            </w:pPr>
            <w:r>
              <w:rPr>
                <w:sz w:val="18"/>
              </w:rPr>
              <w:t xml:space="preserve">Compliance: carrier authority over drivers, equipment and fleet companies; document expiry reminders; critical non-compliance sets Dispatch Eligible = No (BR-020).</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FR-CAR-019</w:t>
            </w:r>
          </w:p>
        </w:tc>
        <w:tc>
          <w:tcPr>
            <w:tcW w:w="6600" w:type="dxa"/>
          </w:tcPr>
          <w:p>
            <w:pPr>
              <w:pStyle w:val="Compact"/>
              <w:jc w:val="left"/>
            </w:pPr>
            <w:r>
              <w:rPr>
                <w:sz w:val="18"/>
              </w:rPr>
              <w:t xml:space="preserve">Customer/broker management (customers, shippers, receivers, brokers, rates, payment terms, history). Shippers and receivers are saved facilities.</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FR-CAR-020</w:t>
            </w:r>
          </w:p>
        </w:tc>
        <w:tc>
          <w:tcPr>
            <w:tcW w:w="6600" w:type="dxa"/>
          </w:tcPr>
          <w:p>
            <w:pPr>
              <w:pStyle w:val="Compact"/>
              <w:jc w:val="left"/>
            </w:pPr>
            <w:r>
              <w:rPr>
                <w:sz w:val="18"/>
              </w:rPr>
              <w:t xml:space="preserve">Users &amp; Roles: carrier user management; roles include manager, dispatcher, accounting.</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FR-CAR-021</w:t>
            </w:r>
          </w:p>
        </w:tc>
        <w:tc>
          <w:tcPr>
            <w:tcW w:w="6600" w:type="dxa"/>
          </w:tcPr>
          <w:p>
            <w:pPr>
              <w:pStyle w:val="Compact"/>
              <w:jc w:val="left"/>
            </w:pPr>
            <w:r>
              <w:rPr>
                <w:bCs/>
                <w:b/>
                <w:sz w:val="18"/>
              </w:rPr>
              <w:t xml:space="preserve">Settlements</w:t>
            </w:r>
            <w:r>
              <w:rPr>
                <w:sz w:val="18"/>
              </w:rPr>
              <w:t xml:space="preserve">: pay-week tabs previous / current / next; move a load to another week (appears in that week’s tab); add adjustment; no adjustments on an approved settlement; settlement details visible per payee; search previous settlements and open the approved PDF; preview → approve per payee → PDF → un-approve with reason.</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R2</w:t>
            </w:r>
          </w:p>
        </w:tc>
      </w:tr>
      <w:tr>
        <w:tc>
          <w:tcPr>
            <w:tcW w:w="1188" w:type="dxa"/>
          </w:tcPr>
          <w:p>
            <w:pPr>
              <w:pStyle w:val="Compact"/>
              <w:jc w:val="left"/>
            </w:pPr>
            <w:r>
              <w:rPr>
                <w:sz w:val="18"/>
              </w:rPr>
              <w:t xml:space="preserve">FR-CAR-022</w:t>
            </w:r>
          </w:p>
        </w:tc>
        <w:tc>
          <w:tcPr>
            <w:tcW w:w="6600" w:type="dxa"/>
          </w:tcPr>
          <w:p>
            <w:pPr>
              <w:pStyle w:val="Compact"/>
              <w:jc w:val="left"/>
            </w:pPr>
            <w:r>
              <w:rPr>
                <w:sz w:val="18"/>
              </w:rPr>
              <w:t xml:space="preserve">Settlement calculation follows §12.4 and the vehicle’s financial settings; end to end from load creation through driver completion to settlement.</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R2</w:t>
            </w:r>
          </w:p>
        </w:tc>
      </w:tr>
      <w:tr>
        <w:tc>
          <w:tcPr>
            <w:tcW w:w="1188" w:type="dxa"/>
          </w:tcPr>
          <w:p>
            <w:pPr>
              <w:pStyle w:val="Compact"/>
              <w:jc w:val="left"/>
            </w:pPr>
            <w:r>
              <w:rPr>
                <w:sz w:val="18"/>
              </w:rPr>
              <w:t xml:space="preserve">FR-CAR-023</w:t>
            </w:r>
          </w:p>
        </w:tc>
        <w:tc>
          <w:tcPr>
            <w:tcW w:w="6600" w:type="dxa"/>
          </w:tcPr>
          <w:p>
            <w:pPr>
              <w:pStyle w:val="Compact"/>
              <w:jc w:val="left"/>
            </w:pPr>
            <w:r>
              <w:rPr>
                <w:sz w:val="18"/>
              </w:rPr>
              <w:t xml:space="preserve">Completed-loads section;</w:t>
            </w:r>
            <w:r>
              <w:rPr>
                <w:sz w:val="18"/>
              </w:rPr>
              <w:t xml:space="preserve"> </w:t>
            </w:r>
            <w:r>
              <w:rPr>
                <w:bCs/>
                <w:b/>
                <w:sz w:val="18"/>
              </w:rPr>
              <w:t xml:space="preserve">generate invoice</w:t>
            </w:r>
            <w:r>
              <w:rPr>
                <w:sz w:val="18"/>
              </w:rPr>
              <w:t xml:space="preserve"> </w:t>
            </w:r>
            <w:r>
              <w:rPr>
                <w:sz w:val="18"/>
              </w:rPr>
              <w:t xml:space="preserve">(invoice number format carrier prefix + year + sequence); a review page lists links to POD, rate confirmation and broker-created invoice before sending; download of all three; send to broker or factoring company; final invoice visible from the load manager; manual download for emailing.</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R2</w:t>
            </w:r>
          </w:p>
        </w:tc>
      </w:tr>
      <w:tr>
        <w:tc>
          <w:tcPr>
            <w:tcW w:w="1188" w:type="dxa"/>
          </w:tcPr>
          <w:p>
            <w:pPr>
              <w:pStyle w:val="Compact"/>
              <w:jc w:val="left"/>
            </w:pPr>
            <w:r>
              <w:rPr>
                <w:sz w:val="18"/>
              </w:rPr>
              <w:t xml:space="preserve">FR-CAR-024</w:t>
            </w:r>
          </w:p>
        </w:tc>
        <w:tc>
          <w:tcPr>
            <w:tcW w:w="6600" w:type="dxa"/>
          </w:tcPr>
          <w:p>
            <w:pPr>
              <w:pStyle w:val="Compact"/>
              <w:jc w:val="left"/>
            </w:pPr>
            <w:r>
              <w:rPr>
                <w:sz w:val="18"/>
              </w:rPr>
              <w:t xml:space="preserve">Payment tracking: record broker/factor payments manually (date, amount, notes) and by integration, with status Unpaid / Partially paid / Paid / Void and reconciliation to factoring remittance.</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R2</w:t>
            </w:r>
          </w:p>
        </w:tc>
      </w:tr>
      <w:tr>
        <w:tc>
          <w:tcPr>
            <w:tcW w:w="1188" w:type="dxa"/>
          </w:tcPr>
          <w:p>
            <w:pPr>
              <w:pStyle w:val="Compact"/>
              <w:jc w:val="left"/>
            </w:pPr>
            <w:r>
              <w:rPr>
                <w:sz w:val="18"/>
              </w:rPr>
              <w:t xml:space="preserve">FR-CAR-025</w:t>
            </w:r>
          </w:p>
        </w:tc>
        <w:tc>
          <w:tcPr>
            <w:tcW w:w="6600" w:type="dxa"/>
          </w:tcPr>
          <w:p>
            <w:pPr>
              <w:pStyle w:val="Compact"/>
              <w:jc w:val="left"/>
            </w:pPr>
            <w:r>
              <w:rPr>
                <w:sz w:val="18"/>
              </w:rPr>
              <w:t xml:space="preserve">Reports (§12.4 list) and dashboard KPIs for accounting.</w:t>
            </w:r>
          </w:p>
        </w:tc>
        <w:tc>
          <w:tcPr>
            <w:tcW w:w="1056" w:type="dxa"/>
          </w:tcPr>
          <w:p>
            <w:pPr>
              <w:pStyle w:val="Compact"/>
              <w:jc w:val="left"/>
            </w:pPr>
            <w:r>
              <w:rPr>
                <w:sz w:val="18"/>
              </w:rPr>
              <w:t xml:space="preserve">P1</w:t>
            </w:r>
          </w:p>
        </w:tc>
        <w:tc>
          <w:tcPr>
            <w:tcW w:w="1056" w:type="dxa"/>
          </w:tcPr>
          <w:p>
            <w:pPr>
              <w:pStyle w:val="Compact"/>
              <w:jc w:val="left"/>
            </w:pPr>
            <w:r>
              <w:rPr>
                <w:sz w:val="18"/>
              </w:rPr>
              <w:t xml:space="preserve">R2</w:t>
            </w:r>
          </w:p>
        </w:tc>
      </w:tr>
      <w:tr>
        <w:tc>
          <w:tcPr>
            <w:tcW w:w="1188" w:type="dxa"/>
          </w:tcPr>
          <w:p>
            <w:pPr>
              <w:pStyle w:val="Compact"/>
              <w:jc w:val="left"/>
            </w:pPr>
            <w:r>
              <w:rPr>
                <w:sz w:val="18"/>
              </w:rPr>
              <w:t xml:space="preserve">FR-CAR-026</w:t>
            </w:r>
          </w:p>
        </w:tc>
        <w:tc>
          <w:tcPr>
            <w:tcW w:w="6600" w:type="dxa"/>
          </w:tcPr>
          <w:p>
            <w:pPr>
              <w:pStyle w:val="Compact"/>
              <w:jc w:val="left"/>
            </w:pPr>
            <w:r>
              <w:rPr>
                <w:sz w:val="18"/>
              </w:rPr>
              <w:t xml:space="preserve">Fleet Companies (create, invite, review, approve, agreement, fees, escrow, settlement frequency, documents, banking, approve trucks/drivers, restrict, suspend, terminate); Fleet Management Agreement as its own object with statuses Draft, Pending Signature, Active, Suspended, Expired, Terminated.</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R3</w:t>
            </w:r>
          </w:p>
        </w:tc>
      </w:tr>
      <w:tr>
        <w:tc>
          <w:tcPr>
            <w:tcW w:w="1188" w:type="dxa"/>
          </w:tcPr>
          <w:p>
            <w:pPr>
              <w:pStyle w:val="Compact"/>
              <w:jc w:val="left"/>
            </w:pPr>
            <w:r>
              <w:rPr>
                <w:sz w:val="18"/>
              </w:rPr>
              <w:t xml:space="preserve">FR-CAR-027</w:t>
            </w:r>
          </w:p>
        </w:tc>
        <w:tc>
          <w:tcPr>
            <w:tcW w:w="6600" w:type="dxa"/>
          </w:tcPr>
          <w:p>
            <w:pPr>
              <w:pStyle w:val="Compact"/>
              <w:jc w:val="left"/>
            </w:pPr>
            <w:r>
              <w:rPr>
                <w:sz w:val="18"/>
              </w:rPr>
              <w:t xml:space="preserve">Fleet settlement: gross revenue, management fee, insurance, fuel advance, escrow, maintenance deductions, other deductions, adjustments, net payable; the carrier approves and pays.</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R3</w:t>
            </w:r>
          </w:p>
        </w:tc>
      </w:tr>
    </w:tbl>
    <w:bookmarkEnd w:id="37"/>
    <w:bookmarkStart w:id="38" w:name="fleet-company-portal-r3"/>
    <w:p>
      <w:pPr>
        <w:pStyle w:val="Heading2"/>
      </w:pPr>
      <w:r>
        <w:t xml:space="preserve">7.3 Fleet Company Portal (R3)</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Layout w:type="fixed"/>
        <w:tblW w:w="9900" w:type="dxa"/>
      </w:tblPr>
      <w:tblGrid>
        <w:gridCol w:w="1329"/>
        <w:gridCol w:w="7388"/>
        <w:gridCol w:w="1182"/>
      </w:tblGrid>
      <w:tr>
        <w:trPr>
          <w:tblHeader w:val="true"/>
        </w:trPr>
        <w:tc>
          <w:tcPr>
            <w:tcW w:w="1329" w:type="dxa"/>
            <w:shd w:val="clear" w:fill="092448"/>
          </w:tcPr>
          <w:p>
            <w:pPr>
              <w:pStyle w:val="Compact"/>
              <w:jc w:val="left"/>
            </w:pPr>
            <w:r>
              <w:rPr>
                <w:b/>
                <w:color w:val="FFFFFF"/>
                <w:sz w:val="18"/>
              </w:rPr>
              <w:t xml:space="preserve">ID</w:t>
            </w:r>
          </w:p>
        </w:tc>
        <w:tc>
          <w:tcPr>
            <w:tcW w:w="7388" w:type="dxa"/>
            <w:shd w:val="clear" w:fill="092448"/>
          </w:tcPr>
          <w:p>
            <w:pPr>
              <w:pStyle w:val="Compact"/>
              <w:jc w:val="left"/>
            </w:pPr>
            <w:r>
              <w:rPr>
                <w:b/>
                <w:color w:val="FFFFFF"/>
                <w:sz w:val="18"/>
              </w:rPr>
              <w:t xml:space="preserve">Requirement</w:t>
            </w:r>
          </w:p>
        </w:tc>
        <w:tc>
          <w:tcPr>
            <w:tcW w:w="1182" w:type="dxa"/>
            <w:shd w:val="clear" w:fill="092448"/>
          </w:tcPr>
          <w:p>
            <w:pPr>
              <w:pStyle w:val="Compact"/>
              <w:jc w:val="left"/>
            </w:pPr>
            <w:r>
              <w:rPr>
                <w:b/>
                <w:color w:val="FFFFFF"/>
                <w:sz w:val="18"/>
              </w:rPr>
              <w:t xml:space="preserve">Pri</w:t>
            </w:r>
          </w:p>
        </w:tc>
      </w:tr>
      <w:tr>
        <w:tc>
          <w:tcPr>
            <w:tcW w:w="1329" w:type="dxa"/>
          </w:tcPr>
          <w:p>
            <w:pPr>
              <w:pStyle w:val="Compact"/>
              <w:jc w:val="left"/>
            </w:pPr>
            <w:r>
              <w:rPr>
                <w:sz w:val="18"/>
              </w:rPr>
              <w:t xml:space="preserve">FR-FLT-001</w:t>
            </w:r>
          </w:p>
        </w:tc>
        <w:tc>
          <w:tcPr>
            <w:tcW w:w="7388" w:type="dxa"/>
          </w:tcPr>
          <w:p>
            <w:pPr>
              <w:pStyle w:val="Compact"/>
              <w:jc w:val="left"/>
            </w:pPr>
            <w:r>
              <w:rPr>
                <w:sz w:val="18"/>
              </w:rPr>
              <w:t xml:space="preserve">Dashboard: trucks owned/active/dispatched/available, drivers, loads, weekly/MTD/YTD earnings, pending/paid settlements, escrow balance, compliance and maintenance alerts.</w:t>
            </w:r>
          </w:p>
        </w:tc>
        <w:tc>
          <w:tcPr>
            <w:tcW w:w="1182" w:type="dxa"/>
          </w:tcPr>
          <w:p>
            <w:pPr>
              <w:pStyle w:val="Compact"/>
              <w:jc w:val="left"/>
            </w:pPr>
            <w:r>
              <w:rPr>
                <w:sz w:val="18"/>
              </w:rPr>
              <w:t xml:space="preserve">P0</w:t>
            </w:r>
          </w:p>
        </w:tc>
      </w:tr>
      <w:tr>
        <w:tc>
          <w:tcPr>
            <w:tcW w:w="1329" w:type="dxa"/>
          </w:tcPr>
          <w:p>
            <w:pPr>
              <w:pStyle w:val="Compact"/>
              <w:jc w:val="left"/>
            </w:pPr>
            <w:r>
              <w:rPr>
                <w:sz w:val="18"/>
              </w:rPr>
              <w:t xml:space="preserve">FR-FLT-002</w:t>
            </w:r>
          </w:p>
        </w:tc>
        <w:tc>
          <w:tcPr>
            <w:tcW w:w="7388" w:type="dxa"/>
          </w:tcPr>
          <w:p>
            <w:pPr>
              <w:pStyle w:val="Compact"/>
              <w:jc w:val="left"/>
            </w:pPr>
            <w:r>
              <w:rPr>
                <w:sz w:val="18"/>
              </w:rPr>
              <w:t xml:space="preserve">Drivers: create → invite → maintain → assign → deactivate; documents; pay configuration; view loads and performance. Cannot make a driver carrier-approved or dispatch eligible.</w:t>
            </w:r>
          </w:p>
        </w:tc>
        <w:tc>
          <w:tcPr>
            <w:tcW w:w="1182" w:type="dxa"/>
          </w:tcPr>
          <w:p>
            <w:pPr>
              <w:pStyle w:val="Compact"/>
              <w:jc w:val="left"/>
            </w:pPr>
            <w:r>
              <w:rPr>
                <w:sz w:val="18"/>
              </w:rPr>
              <w:t xml:space="preserve">P0</w:t>
            </w:r>
          </w:p>
        </w:tc>
      </w:tr>
      <w:tr>
        <w:tc>
          <w:tcPr>
            <w:tcW w:w="1329" w:type="dxa"/>
          </w:tcPr>
          <w:p>
            <w:pPr>
              <w:pStyle w:val="Compact"/>
              <w:jc w:val="left"/>
            </w:pPr>
            <w:r>
              <w:rPr>
                <w:sz w:val="18"/>
              </w:rPr>
              <w:t xml:space="preserve">FR-FLT-003</w:t>
            </w:r>
          </w:p>
        </w:tc>
        <w:tc>
          <w:tcPr>
            <w:tcW w:w="7388" w:type="dxa"/>
          </w:tcPr>
          <w:p>
            <w:pPr>
              <w:pStyle w:val="Compact"/>
              <w:jc w:val="left"/>
            </w:pPr>
            <w:r>
              <w:rPr>
                <w:sz w:val="18"/>
              </w:rPr>
              <w:t xml:space="preserve">Equipment: add truck/trailer, registration, insurance, inspection, maintenance, assign driver, odometer, internal availability, request removal. Carrier retains approval, eligibility and out-of-service authority.</w:t>
            </w:r>
          </w:p>
        </w:tc>
        <w:tc>
          <w:tcPr>
            <w:tcW w:w="1182" w:type="dxa"/>
          </w:tcPr>
          <w:p>
            <w:pPr>
              <w:pStyle w:val="Compact"/>
              <w:jc w:val="left"/>
            </w:pPr>
            <w:r>
              <w:rPr>
                <w:sz w:val="18"/>
              </w:rPr>
              <w:t xml:space="preserve">P0</w:t>
            </w:r>
          </w:p>
        </w:tc>
      </w:tr>
      <w:tr>
        <w:tc>
          <w:tcPr>
            <w:tcW w:w="1329" w:type="dxa"/>
          </w:tcPr>
          <w:p>
            <w:pPr>
              <w:pStyle w:val="Compact"/>
              <w:jc w:val="left"/>
            </w:pPr>
            <w:r>
              <w:rPr>
                <w:sz w:val="18"/>
              </w:rPr>
              <w:t xml:space="preserve">FR-FLT-004</w:t>
            </w:r>
          </w:p>
        </w:tc>
        <w:tc>
          <w:tcPr>
            <w:tcW w:w="7388" w:type="dxa"/>
          </w:tcPr>
          <w:p>
            <w:pPr>
              <w:pStyle w:val="Compact"/>
              <w:jc w:val="left"/>
            </w:pPr>
            <w:r>
              <w:rPr>
                <w:sz w:val="18"/>
              </w:rPr>
              <w:t xml:space="preserve">Load visibility for its own equipment and drivers; cannot change broker/customer rates, assignments outside its fleet, carrier invoices or factoring.</w:t>
            </w:r>
          </w:p>
        </w:tc>
        <w:tc>
          <w:tcPr>
            <w:tcW w:w="1182" w:type="dxa"/>
          </w:tcPr>
          <w:p>
            <w:pPr>
              <w:pStyle w:val="Compact"/>
              <w:jc w:val="left"/>
            </w:pPr>
            <w:r>
              <w:rPr>
                <w:sz w:val="18"/>
              </w:rPr>
              <w:t xml:space="preserve">P0</w:t>
            </w:r>
          </w:p>
        </w:tc>
      </w:tr>
      <w:tr>
        <w:tc>
          <w:tcPr>
            <w:tcW w:w="1329" w:type="dxa"/>
          </w:tcPr>
          <w:p>
            <w:pPr>
              <w:pStyle w:val="Compact"/>
              <w:jc w:val="left"/>
            </w:pPr>
            <w:r>
              <w:rPr>
                <w:sz w:val="18"/>
              </w:rPr>
              <w:t xml:space="preserve">FR-FLT-005</w:t>
            </w:r>
          </w:p>
        </w:tc>
        <w:tc>
          <w:tcPr>
            <w:tcW w:w="7388" w:type="dxa"/>
          </w:tcPr>
          <w:p>
            <w:pPr>
              <w:pStyle w:val="Compact"/>
              <w:jc w:val="left"/>
            </w:pPr>
            <w:r>
              <w:rPr>
                <w:sz w:val="18"/>
              </w:rPr>
              <w:t xml:space="preserve">Maintenance owned by the fleet company; carrier sees compliance-relevant information only.</w:t>
            </w:r>
          </w:p>
        </w:tc>
        <w:tc>
          <w:tcPr>
            <w:tcW w:w="1182" w:type="dxa"/>
          </w:tcPr>
          <w:p>
            <w:pPr>
              <w:pStyle w:val="Compact"/>
              <w:jc w:val="left"/>
            </w:pPr>
            <w:r>
              <w:rPr>
                <w:sz w:val="18"/>
              </w:rPr>
              <w:t xml:space="preserve">P0</w:t>
            </w:r>
          </w:p>
        </w:tc>
      </w:tr>
      <w:tr>
        <w:tc>
          <w:tcPr>
            <w:tcW w:w="1329" w:type="dxa"/>
          </w:tcPr>
          <w:p>
            <w:pPr>
              <w:pStyle w:val="Compact"/>
              <w:jc w:val="left"/>
            </w:pPr>
            <w:r>
              <w:rPr>
                <w:sz w:val="18"/>
              </w:rPr>
              <w:t xml:space="preserve">FR-FLT-006</w:t>
            </w:r>
          </w:p>
        </w:tc>
        <w:tc>
          <w:tcPr>
            <w:tcW w:w="7388" w:type="dxa"/>
          </w:tcPr>
          <w:p>
            <w:pPr>
              <w:pStyle w:val="Compact"/>
              <w:jc w:val="left"/>
            </w:pPr>
            <w:r>
              <w:rPr>
                <w:sz w:val="18"/>
              </w:rPr>
              <w:t xml:space="preserve">Settlement: view, download, acknowledge, dispute carrier-generated settlements; cannot modify them.</w:t>
            </w:r>
          </w:p>
        </w:tc>
        <w:tc>
          <w:tcPr>
            <w:tcW w:w="1182" w:type="dxa"/>
          </w:tcPr>
          <w:p>
            <w:pPr>
              <w:pStyle w:val="Compact"/>
              <w:jc w:val="left"/>
            </w:pPr>
            <w:r>
              <w:rPr>
                <w:sz w:val="18"/>
              </w:rPr>
              <w:t xml:space="preserve">P0</w:t>
            </w:r>
          </w:p>
        </w:tc>
      </w:tr>
      <w:tr>
        <w:tc>
          <w:tcPr>
            <w:tcW w:w="1329" w:type="dxa"/>
          </w:tcPr>
          <w:p>
            <w:pPr>
              <w:pStyle w:val="Compact"/>
              <w:jc w:val="left"/>
            </w:pPr>
            <w:r>
              <w:rPr>
                <w:sz w:val="18"/>
              </w:rPr>
              <w:t xml:space="preserve">FR-FLT-007</w:t>
            </w:r>
          </w:p>
        </w:tc>
        <w:tc>
          <w:tcPr>
            <w:tcW w:w="7388" w:type="dxa"/>
          </w:tcPr>
          <w:p>
            <w:pPr>
              <w:pStyle w:val="Compact"/>
              <w:jc w:val="left"/>
            </w:pPr>
            <w:r>
              <w:rPr>
                <w:sz w:val="18"/>
              </w:rPr>
              <w:t xml:space="preserve">Driver pay models: percentage of load, per mile, per load, flat weekly, salary, custom; the carrier does not control how the fleet divides its net settlement unless the agreement says so.</w:t>
            </w:r>
          </w:p>
        </w:tc>
        <w:tc>
          <w:tcPr>
            <w:tcW w:w="1182" w:type="dxa"/>
          </w:tcPr>
          <w:p>
            <w:pPr>
              <w:pStyle w:val="Compact"/>
              <w:jc w:val="left"/>
            </w:pPr>
            <w:r>
              <w:rPr>
                <w:sz w:val="18"/>
              </w:rPr>
              <w:t xml:space="preserve">P0</w:t>
            </w:r>
          </w:p>
        </w:tc>
      </w:tr>
      <w:tr>
        <w:tc>
          <w:tcPr>
            <w:tcW w:w="1329" w:type="dxa"/>
          </w:tcPr>
          <w:p>
            <w:pPr>
              <w:pStyle w:val="Compact"/>
              <w:jc w:val="left"/>
            </w:pPr>
            <w:r>
              <w:rPr>
                <w:sz w:val="18"/>
              </w:rPr>
              <w:t xml:space="preserve">FR-FLT-008</w:t>
            </w:r>
          </w:p>
        </w:tc>
        <w:tc>
          <w:tcPr>
            <w:tcW w:w="7388" w:type="dxa"/>
          </w:tcPr>
          <w:p>
            <w:pPr>
              <w:pStyle w:val="Compact"/>
              <w:jc w:val="left"/>
            </w:pPr>
            <w:r>
              <w:rPr>
                <w:sz w:val="18"/>
              </w:rPr>
              <w:t xml:space="preserve">Escrow ledger view (opening balance, contributions, deductions, claims, adjustments, refunds, closing balance); dispute but not edit.</w:t>
            </w:r>
          </w:p>
        </w:tc>
        <w:tc>
          <w:tcPr>
            <w:tcW w:w="1182" w:type="dxa"/>
          </w:tcPr>
          <w:p>
            <w:pPr>
              <w:pStyle w:val="Compact"/>
              <w:jc w:val="left"/>
            </w:pPr>
            <w:r>
              <w:rPr>
                <w:sz w:val="18"/>
              </w:rPr>
              <w:t xml:space="preserve">P0</w:t>
            </w:r>
          </w:p>
        </w:tc>
      </w:tr>
      <w:tr>
        <w:tc>
          <w:tcPr>
            <w:tcW w:w="1329" w:type="dxa"/>
          </w:tcPr>
          <w:p>
            <w:pPr>
              <w:pStyle w:val="Compact"/>
              <w:jc w:val="left"/>
            </w:pPr>
            <w:r>
              <w:rPr>
                <w:sz w:val="18"/>
              </w:rPr>
              <w:t xml:space="preserve">FR-FLT-009</w:t>
            </w:r>
          </w:p>
        </w:tc>
        <w:tc>
          <w:tcPr>
            <w:tcW w:w="7388" w:type="dxa"/>
          </w:tcPr>
          <w:p>
            <w:pPr>
              <w:pStyle w:val="Compact"/>
              <w:jc w:val="left"/>
            </w:pPr>
            <w:r>
              <w:rPr>
                <w:sz w:val="18"/>
              </w:rPr>
              <w:t xml:space="preserve">Users and settings for fleet staff.</w:t>
            </w:r>
          </w:p>
        </w:tc>
        <w:tc>
          <w:tcPr>
            <w:tcW w:w="1182" w:type="dxa"/>
          </w:tcPr>
          <w:p>
            <w:pPr>
              <w:pStyle w:val="Compact"/>
              <w:jc w:val="left"/>
            </w:pPr>
            <w:r>
              <w:rPr>
                <w:sz w:val="18"/>
              </w:rPr>
              <w:t xml:space="preserve">P1</w:t>
            </w:r>
          </w:p>
        </w:tc>
      </w:tr>
    </w:tbl>
    <w:bookmarkEnd w:id="38"/>
    <w:bookmarkStart w:id="39" w:name="platform-admin-minimal-in-r1-full-in-r4"/>
    <w:p>
      <w:pPr>
        <w:pStyle w:val="Heading2"/>
      </w:pPr>
      <w:r>
        <w:t xml:space="preserve">7.4 Platform Admin (minimal in R1, full in R4)</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Layout w:type="fixed"/>
        <w:tblW w:w="9900" w:type="dxa"/>
      </w:tblPr>
      <w:tblGrid>
        <w:gridCol w:w="1188"/>
        <w:gridCol w:w="6600"/>
        <w:gridCol w:w="1056"/>
        <w:gridCol w:w="1056"/>
      </w:tblGrid>
      <w:tr>
        <w:trPr>
          <w:tblHeader w:val="true"/>
        </w:trPr>
        <w:tc>
          <w:tcPr>
            <w:tcW w:w="1188" w:type="dxa"/>
            <w:shd w:val="clear" w:fill="092448"/>
          </w:tcPr>
          <w:p>
            <w:pPr>
              <w:pStyle w:val="Compact"/>
              <w:jc w:val="left"/>
            </w:pPr>
            <w:r>
              <w:rPr>
                <w:b/>
                <w:color w:val="FFFFFF"/>
                <w:sz w:val="18"/>
              </w:rPr>
              <w:t xml:space="preserve">ID</w:t>
            </w:r>
          </w:p>
        </w:tc>
        <w:tc>
          <w:tcPr>
            <w:tcW w:w="6600" w:type="dxa"/>
            <w:shd w:val="clear" w:fill="092448"/>
          </w:tcPr>
          <w:p>
            <w:pPr>
              <w:pStyle w:val="Compact"/>
              <w:jc w:val="left"/>
            </w:pPr>
            <w:r>
              <w:rPr>
                <w:b/>
                <w:color w:val="FFFFFF"/>
                <w:sz w:val="18"/>
              </w:rPr>
              <w:t xml:space="preserve">Requirement</w:t>
            </w:r>
          </w:p>
        </w:tc>
        <w:tc>
          <w:tcPr>
            <w:tcW w:w="1056" w:type="dxa"/>
            <w:shd w:val="clear" w:fill="092448"/>
          </w:tcPr>
          <w:p>
            <w:pPr>
              <w:pStyle w:val="Compact"/>
              <w:jc w:val="left"/>
            </w:pPr>
            <w:r>
              <w:rPr>
                <w:b/>
                <w:color w:val="FFFFFF"/>
                <w:sz w:val="18"/>
              </w:rPr>
              <w:t xml:space="preserve">Pri</w:t>
            </w:r>
          </w:p>
        </w:tc>
        <w:tc>
          <w:tcPr>
            <w:tcW w:w="1056" w:type="dxa"/>
            <w:shd w:val="clear" w:fill="092448"/>
          </w:tcPr>
          <w:p>
            <w:pPr>
              <w:pStyle w:val="Compact"/>
              <w:jc w:val="left"/>
            </w:pPr>
            <w:r>
              <w:rPr>
                <w:b/>
                <w:color w:val="FFFFFF"/>
                <w:sz w:val="18"/>
              </w:rPr>
              <w:t xml:space="preserve">Rel</w:t>
            </w:r>
          </w:p>
        </w:tc>
      </w:tr>
      <w:tr>
        <w:tc>
          <w:tcPr>
            <w:tcW w:w="1188" w:type="dxa"/>
          </w:tcPr>
          <w:p>
            <w:pPr>
              <w:pStyle w:val="Compact"/>
              <w:jc w:val="left"/>
            </w:pPr>
            <w:r>
              <w:rPr>
                <w:sz w:val="18"/>
              </w:rPr>
              <w:t xml:space="preserve">FR-ADM-001</w:t>
            </w:r>
          </w:p>
        </w:tc>
        <w:tc>
          <w:tcPr>
            <w:tcW w:w="6600" w:type="dxa"/>
          </w:tcPr>
          <w:p>
            <w:pPr>
              <w:pStyle w:val="Compact"/>
              <w:jc w:val="left"/>
            </w:pPr>
            <w:r>
              <w:rPr>
                <w:sz w:val="18"/>
              </w:rPr>
              <w:t xml:space="preserve">Create and verify carrier tenants, configure subscription, activate/restrict/suspend/terminate; statuses Draft, Pending, Under Review, Approved, Active, Restricted, Suspended, Closed.</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 (minimal)</w:t>
            </w:r>
          </w:p>
        </w:tc>
      </w:tr>
      <w:tr>
        <w:tc>
          <w:tcPr>
            <w:tcW w:w="1188" w:type="dxa"/>
          </w:tcPr>
          <w:p>
            <w:pPr>
              <w:pStyle w:val="Compact"/>
              <w:jc w:val="left"/>
            </w:pPr>
            <w:r>
              <w:rPr>
                <w:sz w:val="18"/>
              </w:rPr>
              <w:t xml:space="preserve">FR-ADM-002</w:t>
            </w:r>
          </w:p>
        </w:tc>
        <w:tc>
          <w:tcPr>
            <w:tcW w:w="6600" w:type="dxa"/>
          </w:tcPr>
          <w:p>
            <w:pPr>
              <w:pStyle w:val="Compact"/>
              <w:jc w:val="left"/>
            </w:pPr>
            <w:r>
              <w:rPr>
                <w:sz w:val="18"/>
              </w:rPr>
              <w:t xml:space="preserve">Platform user management with MFA.</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FR-ADM-003</w:t>
            </w:r>
          </w:p>
        </w:tc>
        <w:tc>
          <w:tcPr>
            <w:tcW w:w="6600" w:type="dxa"/>
          </w:tcPr>
          <w:p>
            <w:pPr>
              <w:pStyle w:val="Compact"/>
              <w:jc w:val="left"/>
            </w:pPr>
            <w:r>
              <w:rPr>
                <w:sz w:val="18"/>
              </w:rPr>
              <w:t xml:space="preserve">Cross-tenant visibility for support, risk and investigation; sensitive actions need elevated permission and a reason code; platform does not perform carrier dispatch (BR-008).</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r>
        <w:tc>
          <w:tcPr>
            <w:tcW w:w="1188" w:type="dxa"/>
          </w:tcPr>
          <w:p>
            <w:pPr>
              <w:pStyle w:val="Compact"/>
              <w:jc w:val="left"/>
            </w:pPr>
            <w:r>
              <w:rPr>
                <w:sz w:val="18"/>
              </w:rPr>
              <w:t xml:space="preserve">FR-ADM-004</w:t>
            </w:r>
          </w:p>
        </w:tc>
        <w:tc>
          <w:tcPr>
            <w:tcW w:w="6600" w:type="dxa"/>
          </w:tcPr>
          <w:p>
            <w:pPr>
              <w:pStyle w:val="Compact"/>
              <w:jc w:val="left"/>
            </w:pPr>
            <w:r>
              <w:rPr>
                <w:sz w:val="18"/>
              </w:rPr>
              <w:t xml:space="preserve">Platform financial monitoring: payment activity, failed/returned payments, platform fees, subscription revenue, exceptions. Carrier accounting stays with the carrier.</w:t>
            </w:r>
          </w:p>
        </w:tc>
        <w:tc>
          <w:tcPr>
            <w:tcW w:w="1056" w:type="dxa"/>
          </w:tcPr>
          <w:p>
            <w:pPr>
              <w:pStyle w:val="Compact"/>
              <w:jc w:val="left"/>
            </w:pPr>
            <w:r>
              <w:rPr>
                <w:sz w:val="18"/>
              </w:rPr>
              <w:t xml:space="preserve">P1</w:t>
            </w:r>
          </w:p>
        </w:tc>
        <w:tc>
          <w:tcPr>
            <w:tcW w:w="1056" w:type="dxa"/>
          </w:tcPr>
          <w:p>
            <w:pPr>
              <w:pStyle w:val="Compact"/>
              <w:jc w:val="left"/>
            </w:pPr>
            <w:r>
              <w:rPr>
                <w:sz w:val="18"/>
              </w:rPr>
              <w:t xml:space="preserve">R4</w:t>
            </w:r>
          </w:p>
        </w:tc>
      </w:tr>
      <w:tr>
        <w:tc>
          <w:tcPr>
            <w:tcW w:w="1188" w:type="dxa"/>
          </w:tcPr>
          <w:p>
            <w:pPr>
              <w:pStyle w:val="Compact"/>
              <w:jc w:val="left"/>
            </w:pPr>
            <w:r>
              <w:rPr>
                <w:sz w:val="18"/>
              </w:rPr>
              <w:t xml:space="preserve">FR-ADM-005</w:t>
            </w:r>
          </w:p>
        </w:tc>
        <w:tc>
          <w:tcPr>
            <w:tcW w:w="6600" w:type="dxa"/>
          </w:tcPr>
          <w:p>
            <w:pPr>
              <w:pStyle w:val="Compact"/>
              <w:jc w:val="left"/>
            </w:pPr>
            <w:r>
              <w:rPr>
                <w:sz w:val="18"/>
              </w:rPr>
              <w:t xml:space="preserve">Case management: sources (driver, fleet, carrier, system), categories (payment, settlement, load, account, compliance, document, technical, dispute, other), workflow New → Assigned → In Progress → Waiting on User → Resolved → Closed.</w:t>
            </w:r>
          </w:p>
        </w:tc>
        <w:tc>
          <w:tcPr>
            <w:tcW w:w="1056" w:type="dxa"/>
          </w:tcPr>
          <w:p>
            <w:pPr>
              <w:pStyle w:val="Compact"/>
              <w:jc w:val="left"/>
            </w:pPr>
            <w:r>
              <w:rPr>
                <w:sz w:val="18"/>
              </w:rPr>
              <w:t xml:space="preserve">P1</w:t>
            </w:r>
          </w:p>
        </w:tc>
        <w:tc>
          <w:tcPr>
            <w:tcW w:w="1056" w:type="dxa"/>
          </w:tcPr>
          <w:p>
            <w:pPr>
              <w:pStyle w:val="Compact"/>
              <w:jc w:val="left"/>
            </w:pPr>
            <w:r>
              <w:rPr>
                <w:sz w:val="18"/>
              </w:rPr>
              <w:t xml:space="preserve">R4</w:t>
            </w:r>
          </w:p>
        </w:tc>
      </w:tr>
      <w:tr>
        <w:tc>
          <w:tcPr>
            <w:tcW w:w="1188" w:type="dxa"/>
          </w:tcPr>
          <w:p>
            <w:pPr>
              <w:pStyle w:val="Compact"/>
              <w:jc w:val="left"/>
            </w:pPr>
            <w:r>
              <w:rPr>
                <w:sz w:val="18"/>
              </w:rPr>
              <w:t xml:space="preserve">FR-ADM-006</w:t>
            </w:r>
          </w:p>
        </w:tc>
        <w:tc>
          <w:tcPr>
            <w:tcW w:w="6600" w:type="dxa"/>
          </w:tcPr>
          <w:p>
            <w:pPr>
              <w:pStyle w:val="Compact"/>
              <w:jc w:val="left"/>
            </w:pPr>
            <w:r>
              <w:rPr>
                <w:sz w:val="18"/>
              </w:rPr>
              <w:t xml:space="preserve">Global configuration: document types, notification templates, platform roles, feature flags, standard statuses, default expiry rules, payment methods, integrations, platform fees, security settings; carrier overrides only where permitted.</w:t>
            </w:r>
          </w:p>
        </w:tc>
        <w:tc>
          <w:tcPr>
            <w:tcW w:w="1056" w:type="dxa"/>
          </w:tcPr>
          <w:p>
            <w:pPr>
              <w:pStyle w:val="Compact"/>
              <w:jc w:val="left"/>
            </w:pPr>
            <w:r>
              <w:rPr>
                <w:sz w:val="18"/>
              </w:rPr>
              <w:t xml:space="preserve">P1</w:t>
            </w:r>
          </w:p>
        </w:tc>
        <w:tc>
          <w:tcPr>
            <w:tcW w:w="1056" w:type="dxa"/>
          </w:tcPr>
          <w:p>
            <w:pPr>
              <w:pStyle w:val="Compact"/>
              <w:jc w:val="left"/>
            </w:pPr>
            <w:r>
              <w:rPr>
                <w:sz w:val="18"/>
              </w:rPr>
              <w:t xml:space="preserve">R4</w:t>
            </w:r>
          </w:p>
        </w:tc>
      </w:tr>
      <w:tr>
        <w:tc>
          <w:tcPr>
            <w:tcW w:w="1188" w:type="dxa"/>
          </w:tcPr>
          <w:p>
            <w:pPr>
              <w:pStyle w:val="Compact"/>
              <w:jc w:val="left"/>
            </w:pPr>
            <w:r>
              <w:rPr>
                <w:sz w:val="18"/>
              </w:rPr>
              <w:t xml:space="preserve">FR-ADM-007</w:t>
            </w:r>
          </w:p>
        </w:tc>
        <w:tc>
          <w:tcPr>
            <w:tcW w:w="6600" w:type="dxa"/>
          </w:tcPr>
          <w:p>
            <w:pPr>
              <w:pStyle w:val="Compact"/>
              <w:jc w:val="left"/>
            </w:pPr>
            <w:r>
              <w:rPr>
                <w:sz w:val="18"/>
              </w:rPr>
              <w:t xml:space="preserve">Audit viewer across all audit events.</w:t>
            </w:r>
          </w:p>
        </w:tc>
        <w:tc>
          <w:tcPr>
            <w:tcW w:w="1056" w:type="dxa"/>
          </w:tcPr>
          <w:p>
            <w:pPr>
              <w:pStyle w:val="Compact"/>
              <w:jc w:val="left"/>
            </w:pPr>
            <w:r>
              <w:rPr>
                <w:sz w:val="18"/>
              </w:rPr>
              <w:t xml:space="preserve">P0</w:t>
            </w:r>
          </w:p>
        </w:tc>
        <w:tc>
          <w:tcPr>
            <w:tcW w:w="1056" w:type="dxa"/>
          </w:tcPr>
          <w:p>
            <w:pPr>
              <w:pStyle w:val="Compact"/>
              <w:jc w:val="left"/>
            </w:pPr>
            <w:r>
              <w:rPr>
                <w:sz w:val="18"/>
              </w:rPr>
              <w:t xml:space="preserve">R1</w:t>
            </w:r>
          </w:p>
        </w:tc>
      </w:tr>
    </w:tbl>
    <w:bookmarkEnd w:id="39"/>
    <w:bookmarkStart w:id="40" w:name="cross-cutting"/>
    <w:p>
      <w:pPr>
        <w:pStyle w:val="Heading2"/>
      </w:pPr>
      <w:r>
        <w:t xml:space="preserve">7.5 Cross-cutting</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Layout w:type="fixed"/>
        <w:tblW w:w="9900" w:type="dxa"/>
      </w:tblPr>
      <w:tblGrid>
        <w:gridCol w:w="1329"/>
        <w:gridCol w:w="7388"/>
        <w:gridCol w:w="1182"/>
      </w:tblGrid>
      <w:tr>
        <w:trPr>
          <w:tblHeader w:val="true"/>
        </w:trPr>
        <w:tc>
          <w:tcPr>
            <w:tcW w:w="1329" w:type="dxa"/>
            <w:shd w:val="clear" w:fill="092448"/>
          </w:tcPr>
          <w:p>
            <w:pPr>
              <w:pStyle w:val="Compact"/>
              <w:jc w:val="left"/>
            </w:pPr>
            <w:r>
              <w:rPr>
                <w:b/>
                <w:color w:val="FFFFFF"/>
                <w:sz w:val="18"/>
              </w:rPr>
              <w:t xml:space="preserve">ID</w:t>
            </w:r>
          </w:p>
        </w:tc>
        <w:tc>
          <w:tcPr>
            <w:tcW w:w="7388" w:type="dxa"/>
            <w:shd w:val="clear" w:fill="092448"/>
          </w:tcPr>
          <w:p>
            <w:pPr>
              <w:pStyle w:val="Compact"/>
              <w:jc w:val="left"/>
            </w:pPr>
            <w:r>
              <w:rPr>
                <w:b/>
                <w:color w:val="FFFFFF"/>
                <w:sz w:val="18"/>
              </w:rPr>
              <w:t xml:space="preserve">Requirement</w:t>
            </w:r>
          </w:p>
        </w:tc>
        <w:tc>
          <w:tcPr>
            <w:tcW w:w="1182" w:type="dxa"/>
            <w:shd w:val="clear" w:fill="092448"/>
          </w:tcPr>
          <w:p>
            <w:pPr>
              <w:pStyle w:val="Compact"/>
              <w:jc w:val="left"/>
            </w:pPr>
            <w:r>
              <w:rPr>
                <w:b/>
                <w:color w:val="FFFFFF"/>
                <w:sz w:val="18"/>
              </w:rPr>
              <w:t xml:space="preserve">Pri</w:t>
            </w:r>
          </w:p>
        </w:tc>
      </w:tr>
      <w:tr>
        <w:tc>
          <w:tcPr>
            <w:tcW w:w="1329" w:type="dxa"/>
          </w:tcPr>
          <w:p>
            <w:pPr>
              <w:pStyle w:val="Compact"/>
              <w:jc w:val="left"/>
            </w:pPr>
            <w:r>
              <w:rPr>
                <w:sz w:val="18"/>
              </w:rPr>
              <w:t xml:space="preserve">FR-X-001</w:t>
            </w:r>
          </w:p>
        </w:tc>
        <w:tc>
          <w:tcPr>
            <w:tcW w:w="7388" w:type="dxa"/>
          </w:tcPr>
          <w:p>
            <w:pPr>
              <w:pStyle w:val="Compact"/>
              <w:jc w:val="left"/>
            </w:pPr>
            <w:r>
              <w:rPr>
                <w:bCs/>
                <w:b/>
                <w:sz w:val="18"/>
              </w:rPr>
              <w:t xml:space="preserve">Statuses</w:t>
            </w:r>
            <w:r>
              <w:rPr>
                <w:sz w:val="18"/>
              </w:rPr>
              <w:t xml:space="preserve"> </w:t>
            </w:r>
            <w:r>
              <w:rPr>
                <w:sz w:val="18"/>
              </w:rPr>
              <w:t xml:space="preserve">are standardized (§8) and defined once, shared by all apps.</w:t>
            </w:r>
          </w:p>
        </w:tc>
        <w:tc>
          <w:tcPr>
            <w:tcW w:w="1182" w:type="dxa"/>
          </w:tcPr>
          <w:p>
            <w:pPr>
              <w:pStyle w:val="Compact"/>
              <w:jc w:val="left"/>
            </w:pPr>
            <w:r>
              <w:rPr>
                <w:sz w:val="18"/>
              </w:rPr>
              <w:t xml:space="preserve">P0</w:t>
            </w:r>
          </w:p>
        </w:tc>
      </w:tr>
      <w:tr>
        <w:tc>
          <w:tcPr>
            <w:tcW w:w="1329" w:type="dxa"/>
          </w:tcPr>
          <w:p>
            <w:pPr>
              <w:pStyle w:val="Compact"/>
              <w:jc w:val="left"/>
            </w:pPr>
            <w:r>
              <w:rPr>
                <w:sz w:val="18"/>
              </w:rPr>
              <w:t xml:space="preserve">FR-X-002</w:t>
            </w:r>
          </w:p>
        </w:tc>
        <w:tc>
          <w:tcPr>
            <w:tcW w:w="7388" w:type="dxa"/>
          </w:tcPr>
          <w:p>
            <w:pPr>
              <w:pStyle w:val="Compact"/>
              <w:jc w:val="left"/>
            </w:pPr>
            <w:r>
              <w:rPr>
                <w:bCs/>
                <w:b/>
                <w:sz w:val="18"/>
              </w:rPr>
              <w:t xml:space="preserve">Notifications</w:t>
            </w:r>
            <w:r>
              <w:rPr>
                <w:sz w:val="18"/>
              </w:rPr>
              <w:t xml:space="preserve">: a single engine for in-app, push, email and SMS by event and user preference (§9).</w:t>
            </w:r>
          </w:p>
        </w:tc>
        <w:tc>
          <w:tcPr>
            <w:tcW w:w="1182" w:type="dxa"/>
          </w:tcPr>
          <w:p>
            <w:pPr>
              <w:pStyle w:val="Compact"/>
              <w:jc w:val="left"/>
            </w:pPr>
            <w:r>
              <w:rPr>
                <w:sz w:val="18"/>
              </w:rPr>
              <w:t xml:space="preserve">P0</w:t>
            </w:r>
          </w:p>
        </w:tc>
      </w:tr>
      <w:tr>
        <w:tc>
          <w:tcPr>
            <w:tcW w:w="1329" w:type="dxa"/>
          </w:tcPr>
          <w:p>
            <w:pPr>
              <w:pStyle w:val="Compact"/>
              <w:jc w:val="left"/>
            </w:pPr>
            <w:r>
              <w:rPr>
                <w:sz w:val="18"/>
              </w:rPr>
              <w:t xml:space="preserve">FR-X-003</w:t>
            </w:r>
          </w:p>
        </w:tc>
        <w:tc>
          <w:tcPr>
            <w:tcW w:w="7388" w:type="dxa"/>
          </w:tcPr>
          <w:p>
            <w:pPr>
              <w:pStyle w:val="Compact"/>
              <w:jc w:val="left"/>
            </w:pPr>
            <w:r>
              <w:rPr>
                <w:bCs/>
                <w:b/>
                <w:sz w:val="18"/>
              </w:rPr>
              <w:t xml:space="preserve">Permissions</w:t>
            </w:r>
            <w:r>
              <w:rPr>
                <w:sz w:val="18"/>
              </w:rPr>
              <w:t xml:space="preserve">: role + permission + tenant + relationship + resource ownership evaluated on every request (§10).</w:t>
            </w:r>
          </w:p>
        </w:tc>
        <w:tc>
          <w:tcPr>
            <w:tcW w:w="1182" w:type="dxa"/>
          </w:tcPr>
          <w:p>
            <w:pPr>
              <w:pStyle w:val="Compact"/>
              <w:jc w:val="left"/>
            </w:pPr>
            <w:r>
              <w:rPr>
                <w:sz w:val="18"/>
              </w:rPr>
              <w:t xml:space="preserve">P0</w:t>
            </w:r>
          </w:p>
        </w:tc>
      </w:tr>
      <w:tr>
        <w:tc>
          <w:tcPr>
            <w:tcW w:w="1329" w:type="dxa"/>
          </w:tcPr>
          <w:p>
            <w:pPr>
              <w:pStyle w:val="Compact"/>
              <w:jc w:val="left"/>
            </w:pPr>
            <w:r>
              <w:rPr>
                <w:sz w:val="18"/>
              </w:rPr>
              <w:t xml:space="preserve">FR-X-004</w:t>
            </w:r>
          </w:p>
        </w:tc>
        <w:tc>
          <w:tcPr>
            <w:tcW w:w="7388" w:type="dxa"/>
          </w:tcPr>
          <w:p>
            <w:pPr>
              <w:pStyle w:val="Compact"/>
              <w:jc w:val="left"/>
            </w:pPr>
            <w:r>
              <w:rPr>
                <w:bCs/>
                <w:b/>
                <w:sz w:val="18"/>
              </w:rPr>
              <w:t xml:space="preserve">Audit</w:t>
            </w:r>
            <w:r>
              <w:rPr>
                <w:sz w:val="18"/>
              </w:rPr>
              <w:t xml:space="preserve"> </w:t>
            </w:r>
            <w:r>
              <w:rPr>
                <w:sz w:val="18"/>
              </w:rPr>
              <w:t xml:space="preserve">events for BR-012 actions with actor, time, before/after and reason.</w:t>
            </w:r>
          </w:p>
        </w:tc>
        <w:tc>
          <w:tcPr>
            <w:tcW w:w="1182" w:type="dxa"/>
          </w:tcPr>
          <w:p>
            <w:pPr>
              <w:pStyle w:val="Compact"/>
              <w:jc w:val="left"/>
            </w:pPr>
            <w:r>
              <w:rPr>
                <w:sz w:val="18"/>
              </w:rPr>
              <w:t xml:space="preserve">P0</w:t>
            </w:r>
          </w:p>
        </w:tc>
      </w:tr>
      <w:tr>
        <w:tc>
          <w:tcPr>
            <w:tcW w:w="1329" w:type="dxa"/>
          </w:tcPr>
          <w:p>
            <w:pPr>
              <w:pStyle w:val="Compact"/>
              <w:jc w:val="left"/>
            </w:pPr>
            <w:r>
              <w:rPr>
                <w:sz w:val="18"/>
              </w:rPr>
              <w:t xml:space="preserve">FR-X-005</w:t>
            </w:r>
          </w:p>
        </w:tc>
        <w:tc>
          <w:tcPr>
            <w:tcW w:w="7388" w:type="dxa"/>
          </w:tcPr>
          <w:p>
            <w:pPr>
              <w:pStyle w:val="Compact"/>
              <w:jc w:val="left"/>
            </w:pPr>
            <w:r>
              <w:rPr>
                <w:sz w:val="18"/>
              </w:rPr>
              <w:t xml:space="preserve">Sensitive fields (bank details, SSN, ID images) masked by default, encrypted at rest, access logged.</w:t>
            </w:r>
          </w:p>
        </w:tc>
        <w:tc>
          <w:tcPr>
            <w:tcW w:w="1182" w:type="dxa"/>
          </w:tcPr>
          <w:p>
            <w:pPr>
              <w:pStyle w:val="Compact"/>
              <w:jc w:val="left"/>
            </w:pPr>
            <w:r>
              <w:rPr>
                <w:sz w:val="18"/>
              </w:rPr>
              <w:t xml:space="preserve">P0</w:t>
            </w:r>
          </w:p>
        </w:tc>
      </w:tr>
      <w:tr>
        <w:tc>
          <w:tcPr>
            <w:tcW w:w="1329" w:type="dxa"/>
          </w:tcPr>
          <w:p>
            <w:pPr>
              <w:pStyle w:val="Compact"/>
              <w:jc w:val="left"/>
            </w:pPr>
            <w:r>
              <w:rPr>
                <w:sz w:val="18"/>
              </w:rPr>
              <w:t xml:space="preserve">FR-X-006</w:t>
            </w:r>
          </w:p>
        </w:tc>
        <w:tc>
          <w:tcPr>
            <w:tcW w:w="7388" w:type="dxa"/>
          </w:tcPr>
          <w:p>
            <w:pPr>
              <w:pStyle w:val="Compact"/>
              <w:jc w:val="left"/>
            </w:pPr>
            <w:r>
              <w:rPr>
                <w:sz w:val="18"/>
              </w:rPr>
              <w:t xml:space="preserve">File names sanitized; special characters never break downloads (known v1 defect).</w:t>
            </w:r>
          </w:p>
        </w:tc>
        <w:tc>
          <w:tcPr>
            <w:tcW w:w="1182" w:type="dxa"/>
          </w:tcPr>
          <w:p>
            <w:pPr>
              <w:pStyle w:val="Compact"/>
              <w:jc w:val="left"/>
            </w:pPr>
            <w:r>
              <w:rPr>
                <w:sz w:val="18"/>
              </w:rPr>
              <w:t xml:space="preserve">P0</w:t>
            </w:r>
          </w:p>
        </w:tc>
      </w:tr>
      <w:tr>
        <w:tc>
          <w:tcPr>
            <w:tcW w:w="1329" w:type="dxa"/>
          </w:tcPr>
          <w:p>
            <w:pPr>
              <w:pStyle w:val="Compact"/>
              <w:jc w:val="left"/>
            </w:pPr>
            <w:r>
              <w:rPr>
                <w:sz w:val="18"/>
              </w:rPr>
              <w:t xml:space="preserve">FR-X-007</w:t>
            </w:r>
          </w:p>
        </w:tc>
        <w:tc>
          <w:tcPr>
            <w:tcW w:w="7388" w:type="dxa"/>
          </w:tcPr>
          <w:p>
            <w:pPr>
              <w:pStyle w:val="Compact"/>
              <w:jc w:val="left"/>
            </w:pPr>
            <w:r>
              <w:rPr>
                <w:sz w:val="18"/>
              </w:rPr>
              <w:t xml:space="preserve">Lists refresh after every save (known v1 defect).</w:t>
            </w:r>
          </w:p>
        </w:tc>
        <w:tc>
          <w:tcPr>
            <w:tcW w:w="1182" w:type="dxa"/>
          </w:tcPr>
          <w:p>
            <w:pPr>
              <w:pStyle w:val="Compact"/>
              <w:jc w:val="left"/>
            </w:pPr>
            <w:r>
              <w:rPr>
                <w:sz w:val="18"/>
              </w:rPr>
              <w:t xml:space="preserve">P1</w:t>
            </w:r>
          </w:p>
        </w:tc>
      </w:tr>
      <w:tr>
        <w:tc>
          <w:tcPr>
            <w:tcW w:w="1329" w:type="dxa"/>
          </w:tcPr>
          <w:p>
            <w:pPr>
              <w:pStyle w:val="Compact"/>
              <w:jc w:val="left"/>
            </w:pPr>
            <w:r>
              <w:rPr>
                <w:sz w:val="18"/>
              </w:rPr>
              <w:t xml:space="preserve">FR-DS-01</w:t>
            </w:r>
          </w:p>
        </w:tc>
        <w:tc>
          <w:tcPr>
            <w:tcW w:w="7388" w:type="dxa"/>
          </w:tcPr>
          <w:p>
            <w:pPr>
              <w:pStyle w:val="Compact"/>
              <w:jc w:val="left"/>
            </w:pPr>
            <w:r>
              <w:rPr>
                <w:sz w:val="18"/>
              </w:rPr>
              <w:t xml:space="preserve">All applications use the I-way brand tokens and component rules; the Make prototype’s dark amber theme is replaced. Status chips always pair colour with a word.</w:t>
            </w:r>
          </w:p>
        </w:tc>
        <w:tc>
          <w:tcPr>
            <w:tcW w:w="1182" w:type="dxa"/>
          </w:tcPr>
          <w:p>
            <w:pPr>
              <w:pStyle w:val="Compact"/>
              <w:jc w:val="left"/>
            </w:pPr>
            <w:r>
              <w:rPr>
                <w:sz w:val="18"/>
              </w:rPr>
              <w:t xml:space="preserve">P0</w:t>
            </w:r>
          </w:p>
        </w:tc>
      </w:tr>
    </w:tbl>
    <w:bookmarkEnd w:id="40"/>
    <w:bookmarkEnd w:id="41"/>
    <w:bookmarkStart w:id="42" w:name="status-architecture"/>
    <w:p>
      <w:pPr>
        <w:pStyle w:val="Heading1"/>
      </w:pPr>
      <w:r>
        <w:t xml:space="preserve">8. Status architecture</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W w:w="5000" w:type="pct"/>
        <w:tblLayout w:type="autofit"/>
      </w:tblPr>
      <w:tr>
        <w:trPr>
          <w:tblHeader w:val="true"/>
        </w:trPr>
        <w:tc>
          <w:tcPr>
            <w:shd w:val="clear" w:fill="092448"/>
          </w:tcPr>
          <w:p>
            <w:pPr>
              <w:pStyle w:val="Compact"/>
              <w:jc w:val="left"/>
            </w:pPr>
            <w:r>
              <w:rPr>
                <w:b/>
                <w:color w:val="FFFFFF"/>
                <w:sz w:val="18"/>
              </w:rPr>
              <w:t xml:space="preserve">Object</w:t>
            </w:r>
          </w:p>
        </w:tc>
        <w:tc>
          <w:tcPr>
            <w:shd w:val="clear" w:fill="092448"/>
          </w:tcPr>
          <w:p>
            <w:pPr>
              <w:pStyle w:val="Compact"/>
              <w:jc w:val="left"/>
            </w:pPr>
            <w:r>
              <w:rPr>
                <w:b/>
                <w:color w:val="FFFFFF"/>
                <w:sz w:val="18"/>
              </w:rPr>
              <w:t xml:space="preserve">Statuses</w:t>
            </w:r>
          </w:p>
        </w:tc>
      </w:tr>
      <w:tr>
        <w:tc>
          <w:tcPr/>
          <w:p>
            <w:pPr>
              <w:pStyle w:val="Compact"/>
              <w:jc w:val="left"/>
            </w:pPr>
            <w:r>
              <w:rPr>
                <w:sz w:val="18"/>
              </w:rPr>
              <w:t xml:space="preserve">Driver</w:t>
            </w:r>
          </w:p>
        </w:tc>
        <w:tc>
          <w:tcPr/>
          <w:p>
            <w:pPr>
              <w:pStyle w:val="Compact"/>
              <w:jc w:val="left"/>
            </w:pPr>
            <w:r>
              <w:rPr>
                <w:sz w:val="18"/>
              </w:rPr>
              <w:t xml:space="preserve">Invited → Onboarding → Under Review → Approved → Active → Restricted → Suspended → Inactive → Terminated</w:t>
            </w:r>
          </w:p>
        </w:tc>
      </w:tr>
      <w:tr>
        <w:tc>
          <w:tcPr/>
          <w:p>
            <w:pPr>
              <w:pStyle w:val="Compact"/>
              <w:jc w:val="left"/>
            </w:pPr>
            <w:r>
              <w:rPr>
                <w:sz w:val="18"/>
              </w:rPr>
              <w:t xml:space="preserve">Equipment</w:t>
            </w:r>
          </w:p>
        </w:tc>
        <w:tc>
          <w:tcPr/>
          <w:p>
            <w:pPr>
              <w:pStyle w:val="Compact"/>
              <w:jc w:val="left"/>
            </w:pPr>
            <w:r>
              <w:rPr>
                <w:sz w:val="18"/>
              </w:rPr>
              <w:t xml:space="preserve">Pending → Under Review → Approved → Available → Assigned → Maintenance → Out of Service → Inactive</w:t>
            </w:r>
          </w:p>
        </w:tc>
      </w:tr>
      <w:tr>
        <w:tc>
          <w:tcPr/>
          <w:p>
            <w:pPr>
              <w:pStyle w:val="Compact"/>
              <w:jc w:val="left"/>
            </w:pPr>
            <w:r>
              <w:rPr>
                <w:sz w:val="18"/>
              </w:rPr>
              <w:t xml:space="preserve">Fleet Company</w:t>
            </w:r>
          </w:p>
        </w:tc>
        <w:tc>
          <w:tcPr/>
          <w:p>
            <w:pPr>
              <w:pStyle w:val="Compact"/>
              <w:jc w:val="left"/>
            </w:pPr>
            <w:r>
              <w:rPr>
                <w:sz w:val="18"/>
              </w:rPr>
              <w:t xml:space="preserve">Invited → Onboarding → Under Review → Approved → Active → Restricted → Suspended → Terminated</w:t>
            </w:r>
          </w:p>
        </w:tc>
      </w:tr>
      <w:tr>
        <w:tc>
          <w:tcPr/>
          <w:p>
            <w:pPr>
              <w:pStyle w:val="Compact"/>
              <w:jc w:val="left"/>
            </w:pPr>
            <w:r>
              <w:rPr>
                <w:sz w:val="18"/>
              </w:rPr>
              <w:t xml:space="preserve">Carrier</w:t>
            </w:r>
          </w:p>
        </w:tc>
        <w:tc>
          <w:tcPr/>
          <w:p>
            <w:pPr>
              <w:pStyle w:val="Compact"/>
              <w:jc w:val="left"/>
            </w:pPr>
            <w:r>
              <w:rPr>
                <w:sz w:val="18"/>
              </w:rPr>
              <w:t xml:space="preserve">Pending → Under Review → Approved → Active → Restricted → Suspended → Closed</w:t>
            </w:r>
          </w:p>
        </w:tc>
      </w:tr>
      <w:tr>
        <w:tc>
          <w:tcPr/>
          <w:p>
            <w:pPr>
              <w:pStyle w:val="Compact"/>
              <w:jc w:val="left"/>
            </w:pPr>
            <w:r>
              <w:rPr>
                <w:sz w:val="18"/>
              </w:rPr>
              <w:t xml:space="preserve">Load</w:t>
            </w:r>
          </w:p>
        </w:tc>
        <w:tc>
          <w:tcPr/>
          <w:p>
            <w:pPr>
              <w:pStyle w:val="Compact"/>
              <w:jc w:val="left"/>
            </w:pPr>
            <w:r>
              <w:rPr>
                <w:sz w:val="18"/>
              </w:rPr>
              <w:t xml:space="preserve">Draft → Unassigned → Assigned → Accepted → En Route to Pickup → At Pickup → Loaded → In Transit → At Delivery → Delivered → POD Submitted → Completed → Settled → Closed</w:t>
            </w:r>
          </w:p>
        </w:tc>
      </w:tr>
      <w:tr>
        <w:tc>
          <w:tcPr/>
          <w:p>
            <w:pPr>
              <w:pStyle w:val="Compact"/>
              <w:jc w:val="left"/>
            </w:pPr>
            <w:r>
              <w:rPr>
                <w:sz w:val="18"/>
              </w:rPr>
              <w:t xml:space="preserve">Settlement</w:t>
            </w:r>
          </w:p>
        </w:tc>
        <w:tc>
          <w:tcPr/>
          <w:p>
            <w:pPr>
              <w:pStyle w:val="Compact"/>
              <w:jc w:val="left"/>
            </w:pPr>
            <w:r>
              <w:rPr>
                <w:sz w:val="18"/>
              </w:rPr>
              <w:t xml:space="preserve">Draft → Calculated → Under Review → Approved → Payment Pending → Processing → Paid → Failed/Returned → Closed</w:t>
            </w:r>
          </w:p>
        </w:tc>
      </w:tr>
      <w:tr>
        <w:tc>
          <w:tcPr/>
          <w:p>
            <w:pPr>
              <w:pStyle w:val="Compact"/>
              <w:jc w:val="left"/>
            </w:pPr>
            <w:r>
              <w:rPr>
                <w:sz w:val="18"/>
              </w:rPr>
              <w:t xml:space="preserve">Document</w:t>
            </w:r>
          </w:p>
        </w:tc>
        <w:tc>
          <w:tcPr/>
          <w:p>
            <w:pPr>
              <w:pStyle w:val="Compact"/>
              <w:jc w:val="left"/>
            </w:pPr>
            <w:r>
              <w:rPr>
                <w:sz w:val="18"/>
              </w:rPr>
              <w:t xml:space="preserve">Required → Submitted → Under Review → Approved → Expiring Soon → Expired / Rejected</w:t>
            </w:r>
          </w:p>
        </w:tc>
      </w:tr>
      <w:tr>
        <w:tc>
          <w:tcPr/>
          <w:p>
            <w:pPr>
              <w:pStyle w:val="Compact"/>
              <w:jc w:val="left"/>
            </w:pPr>
            <w:r>
              <w:rPr>
                <w:sz w:val="18"/>
              </w:rPr>
              <w:t xml:space="preserve">Invoice</w:t>
            </w:r>
          </w:p>
        </w:tc>
        <w:tc>
          <w:tcPr/>
          <w:p>
            <w:pPr>
              <w:pStyle w:val="Compact"/>
              <w:jc w:val="left"/>
            </w:pPr>
            <w:r>
              <w:rPr>
                <w:sz w:val="18"/>
              </w:rPr>
              <w:t xml:space="preserve">Draft → Approved → Sent → Partially Paid → Paid; Void</w:t>
            </w:r>
          </w:p>
        </w:tc>
      </w:tr>
    </w:tbl>
    <w:p>
      <w:pPr>
        <w:pStyle w:val="BodyText"/>
      </w:pPr>
      <w:r>
        <w:t xml:space="preserve">Driver-visible load status is the subset Assigned through POD Submitted; the carrier controls later financial statuses.</w:t>
      </w:r>
    </w:p>
    <w:bookmarkEnd w:id="42"/>
    <w:bookmarkStart w:id="43" w:name="notifications"/>
    <w:p>
      <w:pPr>
        <w:pStyle w:val="Heading1"/>
      </w:pPr>
      <w:r>
        <w:t xml:space="preserve">9. Notifications</w:t>
      </w:r>
    </w:p>
    <w:p>
      <w:pPr>
        <w:pStyle w:val="FirstParagraph"/>
      </w:pPr>
      <w:r>
        <w:t xml:space="preserve">Channels: in-app, push, email, SMS, by event and preference. Key chains:</w:t>
      </w:r>
    </w:p>
    <w:p>
      <w:pPr>
        <w:numPr>
          <w:ilvl w:val="0"/>
          <w:numId w:val="1003"/>
        </w:numPr>
        <w:pStyle w:val="Compact"/>
      </w:pPr>
      <w:r>
        <w:t xml:space="preserve">Driver uploads a replacement CDL → Carrier compliance notified → reviewed → approved → driver notified → fleet company notified.</w:t>
      </w:r>
    </w:p>
    <w:p>
      <w:pPr>
        <w:numPr>
          <w:ilvl w:val="0"/>
          <w:numId w:val="1003"/>
        </w:numPr>
        <w:pStyle w:val="Compact"/>
      </w:pPr>
      <w:r>
        <w:t xml:space="preserve">Carrier generates fleet settlement → fleet notified → acknowledge or dispute → carrier resolves → payment → fleet notified.</w:t>
      </w:r>
    </w:p>
    <w:p>
      <w:pPr>
        <w:numPr>
          <w:ilvl w:val="0"/>
          <w:numId w:val="1003"/>
        </w:numPr>
        <w:pStyle w:val="Compact"/>
      </w:pPr>
      <w:r>
        <w:t xml:space="preserve">Load picked up / delivered → broker email (FR-CAR-008); BOL/POD documents → broker email.</w:t>
      </w:r>
    </w:p>
    <w:p>
      <w:pPr>
        <w:numPr>
          <w:ilvl w:val="0"/>
          <w:numId w:val="1003"/>
        </w:numPr>
        <w:pStyle w:val="Compact"/>
      </w:pPr>
      <w:r>
        <w:t xml:space="preserve">Document expiry reminders at configurable intervals; service-due warnings; new assignment; settlement posted.</w:t>
      </w:r>
    </w:p>
    <w:bookmarkEnd w:id="43"/>
    <w:bookmarkStart w:id="44" w:name="permission-architecture"/>
    <w:p>
      <w:pPr>
        <w:pStyle w:val="Heading1"/>
      </w:pPr>
      <w:r>
        <w:t xml:space="preserve">10. Permission architecture</w:t>
      </w:r>
    </w:p>
    <w:p>
      <w:pPr>
        <w:pStyle w:val="FirstParagraph"/>
      </w:pPr>
      <w:r>
        <w:t xml:space="preserve">Authorization evaluates</w:t>
      </w:r>
      <w:r>
        <w:t xml:space="preserve"> </w:t>
      </w:r>
      <w:r>
        <w:rPr>
          <w:bCs/>
          <w:b/>
        </w:rPr>
        <w:t xml:space="preserve">role + permission + tenant + relationship + resource ownership</w:t>
      </w:r>
      <w:r>
        <w:t xml:space="preserve"> </w:t>
      </w:r>
      <w:r>
        <w:t xml:space="preserve">(diagram 05). A Fleet Administrator holding</w:t>
      </w:r>
      <w:r>
        <w:t xml:space="preserve"> </w:t>
      </w:r>
      <w:r>
        <w:rPr>
          <w:rStyle w:val="VerbatimChar"/>
        </w:rPr>
        <w:t xml:space="preserve">driver:view</w:t>
      </w:r>
      <w:r>
        <w:t xml:space="preserve"> </w:t>
      </w:r>
      <w:r>
        <w:t xml:space="preserve">still needs the driver to belong to that fleet company; a Carrier A user requesting Load 5678 needs the load to belong to Carrier A. Platform staff cross-tenant access requires elevated permission and a reason code and is always audited.</w:t>
      </w:r>
    </w:p>
    <w:bookmarkEnd w:id="44"/>
    <w:bookmarkStart w:id="45" w:name="core-domain-model"/>
    <w:p>
      <w:pPr>
        <w:pStyle w:val="Heading1"/>
      </w:pPr>
      <w:r>
        <w:t xml:space="preserve">11. Core domain model</w:t>
      </w:r>
    </w:p>
    <w:p>
      <w:pPr>
        <w:pStyle w:val="FirstParagraph"/>
      </w:pPr>
      <w:r>
        <w:t xml:space="preserve">Platform → Carrier (tenant) → {Carrier users, drivers, equipment, customers, brokers, loads (stops, driver, equipment, documents, events, expenses, tracking), invoices, settlements (driver, fleet), escrow, compliance, accounting} and → Fleet Management Agreements → Fleet Company → {users, drivers, equipment, maintenance, driver pay}. Platform administration holds users, configuration, billing, cases, integrations, audit.</w:t>
      </w:r>
    </w:p>
    <w:p>
      <w:pPr>
        <w:pStyle w:val="BodyText"/>
      </w:pPr>
      <w:r>
        <w:t xml:space="preserve">Additional entities from the rebuild documentation: Broker, Facility (shipper/receiver), FactoringCompany, FactoringSchedule, TrackingLink (token, load, recipient, expiry, views), StopEvent (arrived, departed, BOL, POD with geolocation and signature evidence), VehicleDocument / DriverDocument / OwnerDocument, AuditLog, Dispatcher, ServiceRecord.</w:t>
      </w:r>
    </w:p>
    <w:bookmarkEnd w:id="45"/>
    <w:bookmarkStart w:id="50" w:name="rules-formulas-and-data-handling"/>
    <w:p>
      <w:pPr>
        <w:pStyle w:val="Heading1"/>
      </w:pPr>
      <w:r>
        <w:t xml:space="preserve">12. Rules, formulas and data handling</w:t>
      </w:r>
    </w:p>
    <w:bookmarkStart w:id="46" w:name="onboarding-gates"/>
    <w:p>
      <w:pPr>
        <w:pStyle w:val="Heading2"/>
      </w:pPr>
      <w:r>
        <w:t xml:space="preserve">12.1 Onboarding gates</w:t>
      </w:r>
    </w:p>
    <w:p>
      <w:pPr>
        <w:pStyle w:val="FirstParagraph"/>
      </w:pPr>
      <w:r>
        <w:t xml:space="preserve">Each onboarded type (driver, vehicle, truck owner, broker, customer, factoring company) follows the same five gates: started, details captured, documents, verification, approval; active only when every blocking item is valid. Required documents and checks per type are listed in the rebuild documentation (e.g. driver: CDL, DOT medical card, application, W-4 or W-9, direct-deposit form; vehicle: registration or cab card, annual DOT inspection, insurance, Form 2290, lease, permits).</w:t>
      </w:r>
    </w:p>
    <w:bookmarkEnd w:id="46"/>
    <w:bookmarkStart w:id="47" w:name="pay-period-rules"/>
    <w:p>
      <w:pPr>
        <w:pStyle w:val="Heading2"/>
      </w:pPr>
      <w:r>
        <w:t xml:space="preserve">12.2 Pay-period rules</w:t>
      </w:r>
    </w:p>
    <w:p>
      <w:pPr>
        <w:pStyle w:val="FirstParagraph"/>
      </w:pPr>
      <w:r>
        <w:t xml:space="preserve">Pay weeks run Monday to Sunday per carrier. A load belongs to the week containing its first pickup in the carrier’s time zone. Late loads count toward a closed week until a per-carrier cut-off;</w:t>
      </w:r>
      <w:r>
        <w:t xml:space="preserve"> </w:t>
      </w:r>
      <w:r>
        <w:t xml:space="preserve">“</w:t>
      </w:r>
      <w:r>
        <w:t xml:space="preserve">Wednesday of the following week</w:t>
      </w:r>
      <w:r>
        <w:t xml:space="preserve">”</w:t>
      </w:r>
      <w:r>
        <w:t xml:space="preserve"> </w:t>
      </w:r>
      <w:r>
        <w:t xml:space="preserve">is the proposed default. [TBC OQ-04]</w:t>
      </w:r>
    </w:p>
    <w:bookmarkEnd w:id="47"/>
    <w:bookmarkStart w:id="48" w:name="sensitive-data"/>
    <w:p>
      <w:pPr>
        <w:pStyle w:val="Heading2"/>
      </w:pPr>
      <w:r>
        <w:t xml:space="preserve">12.3 Sensitive data</w:t>
      </w:r>
    </w:p>
    <w:p>
      <w:pPr>
        <w:pStyle w:val="FirstParagraph"/>
      </w:pPr>
      <w:r>
        <w:t xml:space="preserve">SSN, ID images, bank details and tax forms: collected only where required (dispatcher and driver onboarding), encrypted, masked in UI, role-restricted, access-logged, never shown in public pages, notifications, URLs or analytics. Retention and legal review are open items. [TBC OQ-08]</w:t>
      </w:r>
    </w:p>
    <w:bookmarkEnd w:id="48"/>
    <w:bookmarkStart w:id="49" w:name="settlement-calculation"/>
    <w:p>
      <w:pPr>
        <w:pStyle w:val="Heading2"/>
      </w:pPr>
      <w:r>
        <w:t xml:space="preserve">12.4 Settlement calculation</w:t>
      </w:r>
    </w:p>
    <w:p>
      <w:pPr>
        <w:pStyle w:val="FirstParagraph"/>
      </w:pPr>
      <w:r>
        <w:t xml:space="preserve">Per payee per week:</w:t>
      </w:r>
      <w:r>
        <w:t xml:space="preserve"> </w:t>
      </w:r>
      <w:r>
        <w:rPr>
          <w:bCs/>
          <w:b/>
        </w:rPr>
        <w:t xml:space="preserve">net pay = share % × Σ load revenue − admin fee % × revenue − fixed deductions − escrow instalment ± adjustments</w:t>
      </w:r>
      <w:r>
        <w:t xml:space="preserve">. Shares and deductions come from the vehicle’s financial settings; each deduction line carries separate driver and owner amounts; each deduction applies once per week; the column label is</w:t>
      </w:r>
      <w:r>
        <w:t xml:space="preserve"> </w:t>
      </w:r>
      <w:r>
        <w:t xml:space="preserve">“</w:t>
      </w:r>
      <w:r>
        <w:t xml:space="preserve">Gross Revenue</w:t>
      </w:r>
      <w:r>
        <w:t xml:space="preserve">”</w:t>
      </w:r>
      <w:r>
        <w:t xml:space="preserve">. Settlements by ownership: company-owned → driver settlement (company keeps owner share); third-party/owner-operator → separate driver and owner settlements; driver-owned → one or two settlements [TBC OQ-02]. Escrow shows</w:t>
      </w:r>
      <w:r>
        <w:t xml:space="preserve"> </w:t>
      </w:r>
      <w:r>
        <w:t xml:space="preserve">“</w:t>
      </w:r>
      <w:r>
        <w:t xml:space="preserve">paid X of target</w:t>
      </w:r>
      <w:r>
        <w:t xml:space="preserve">”</w:t>
      </w:r>
      <w:r>
        <w:t xml:space="preserve">; a payee with no escrow is valid. Fleet settlement example from the master document (illustrative): gross 18,000; management fee −1,800; fuel −3,200; insurance −400; escrow −300; other −150; net payable 12,150.</w:t>
      </w:r>
    </w:p>
    <w:p>
      <w:pPr>
        <w:pStyle w:val="BodyText"/>
      </w:pPr>
      <w:r>
        <w:t xml:space="preserve">Required reports: driver earnings, drivers summary, gross revenue (by truck/driver/broker/period), net payable, expenses by category, invoice log / AR aging, dashboard KPIs.</w:t>
      </w:r>
    </w:p>
    <w:bookmarkEnd w:id="49"/>
    <w:bookmarkEnd w:id="50"/>
    <w:bookmarkStart w:id="55" w:name="public-website-requirements-r0"/>
    <w:p>
      <w:pPr>
        <w:pStyle w:val="Heading1"/>
      </w:pPr>
      <w:r>
        <w:t xml:space="preserve">13. Public website requirements (R0)</w:t>
      </w:r>
    </w:p>
    <w:p>
      <w:pPr>
        <w:pStyle w:val="FirstParagraph"/>
      </w:pPr>
      <w:r>
        <w:t xml:space="preserve">Governed by the directive.</w:t>
      </w:r>
      <w:r>
        <w:t xml:space="preserve"> </w:t>
      </w:r>
      <w:r>
        <w:rPr>
          <w:bCs/>
          <w:b/>
        </w:rPr>
        <w:t xml:space="preserve">Rule: show the customer-facing outcome, not the proprietary mechanism.</w:t>
      </w:r>
    </w:p>
    <w:bookmarkStart w:id="51" w:name="information-boundary"/>
    <w:p>
      <w:pPr>
        <w:pStyle w:val="Heading2"/>
      </w:pPr>
      <w:r>
        <w:t xml:space="preserve">13.1 Information boundary</w:t>
      </w:r>
    </w:p>
    <w:p>
      <w:pPr>
        <w:pStyle w:val="FirstParagraph"/>
      </w:pPr>
      <w:r>
        <w:t xml:space="preserve">The public site and its source files must not reveal: strategy or market-entry plans; proprietary algorithms, routing, pricing or matching logic; AI mechanisms, prompts or orchestration; architecture, schemas or infrastructure; internal workflows, approval logic or automation rules; financial models or margins; roadmap or unannounced features; security implementation. Internal documentation lives outside</w:t>
      </w:r>
      <w:r>
        <w:t xml:space="preserve"> </w:t>
      </w:r>
      <w:r>
        <w:rPr>
          <w:rStyle w:val="VerbatimChar"/>
        </w:rPr>
        <w:t xml:space="preserve">site/public</w:t>
      </w:r>
      <w:r>
        <w:t xml:space="preserve"> </w:t>
      </w:r>
      <w:r>
        <w:t xml:space="preserve">and is never deployed with it.</w:t>
      </w:r>
    </w:p>
    <w:bookmarkEnd w:id="51"/>
    <w:bookmarkStart w:id="52" w:name="structure-implemented-in-sitepublic"/>
    <w:p>
      <w:pPr>
        <w:pStyle w:val="Heading2"/>
      </w:pPr>
      <w:r>
        <w:t xml:space="preserve">13.2 Structure (implemented in site/public)</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W w:w="5000" w:type="pct"/>
        <w:tblLayout w:type="autofit"/>
      </w:tblPr>
      <w:tr>
        <w:trPr>
          <w:tblHeader w:val="true"/>
        </w:trPr>
        <w:tc>
          <w:tcPr>
            <w:shd w:val="clear" w:fill="092448"/>
          </w:tcPr>
          <w:p>
            <w:pPr>
              <w:pStyle w:val="Compact"/>
              <w:jc w:val="left"/>
            </w:pPr>
            <w:r>
              <w:rPr>
                <w:b/>
                <w:color w:val="FFFFFF"/>
                <w:sz w:val="18"/>
              </w:rPr>
              <w:t xml:space="preserve">Section</w:t>
            </w:r>
          </w:p>
        </w:tc>
        <w:tc>
          <w:tcPr>
            <w:shd w:val="clear" w:fill="092448"/>
          </w:tcPr>
          <w:p>
            <w:pPr>
              <w:pStyle w:val="Compact"/>
              <w:jc w:val="left"/>
            </w:pPr>
            <w:r>
              <w:rPr>
                <w:b/>
                <w:color w:val="FFFFFF"/>
                <w:sz w:val="18"/>
              </w:rPr>
              <w:t xml:space="preserve">Requirement</w:t>
            </w:r>
          </w:p>
        </w:tc>
      </w:tr>
      <w:tr>
        <w:tc>
          <w:tcPr/>
          <w:p>
            <w:pPr>
              <w:pStyle w:val="Compact"/>
              <w:jc w:val="left"/>
            </w:pPr>
            <w:r>
              <w:rPr>
                <w:sz w:val="18"/>
              </w:rPr>
              <w:t xml:space="preserve">Navigation</w:t>
            </w:r>
          </w:p>
        </w:tc>
        <w:tc>
          <w:tcPr/>
          <w:p>
            <w:pPr>
              <w:pStyle w:val="Compact"/>
              <w:jc w:val="left"/>
            </w:pPr>
            <w:r>
              <w:rPr>
                <w:sz w:val="18"/>
              </w:rPr>
              <w:t xml:space="preserve">Sticky; Logo, Solutions, How It Works, Industries, FAQ, Sign In, Get Started; mobile menu.</w:t>
            </w:r>
          </w:p>
        </w:tc>
      </w:tr>
      <w:tr>
        <w:tc>
          <w:tcPr/>
          <w:p>
            <w:pPr>
              <w:pStyle w:val="Compact"/>
              <w:jc w:val="left"/>
            </w:pPr>
            <w:r>
              <w:rPr>
                <w:sz w:val="18"/>
              </w:rPr>
              <w:t xml:space="preserve">Hero</w:t>
            </w:r>
          </w:p>
        </w:tc>
        <w:tc>
          <w:tcPr/>
          <w:p>
            <w:pPr>
              <w:pStyle w:val="Compact"/>
              <w:jc w:val="left"/>
            </w:pPr>
            <w:r>
              <w:rPr>
                <w:sz w:val="18"/>
              </w:rPr>
              <w:t xml:space="preserve">“</w:t>
            </w:r>
            <w:r>
              <w:rPr>
                <w:sz w:val="18"/>
              </w:rPr>
              <w:t xml:space="preserve">Move Smarter. Go Further.</w:t>
            </w:r>
            <w:r>
              <w:rPr>
                <w:sz w:val="18"/>
              </w:rPr>
              <w:t xml:space="preserve">”</w:t>
            </w:r>
            <w:r>
              <w:rPr>
                <w:sz w:val="18"/>
              </w:rPr>
              <w:t xml:space="preserve"> </w:t>
            </w:r>
            <w:r>
              <w:rPr>
                <w:sz w:val="18"/>
              </w:rPr>
              <w:t xml:space="preserve">Subheadline per directive; primary CTA Get Started; secondary Explore I-way; original graphic of delivery, dashboard and tracking indicators.</w:t>
            </w:r>
          </w:p>
        </w:tc>
      </w:tr>
      <w:tr>
        <w:tc>
          <w:tcPr/>
          <w:p>
            <w:pPr>
              <w:pStyle w:val="Compact"/>
              <w:jc w:val="left"/>
            </w:pPr>
            <w:r>
              <w:rPr>
                <w:sz w:val="18"/>
              </w:rPr>
              <w:t xml:space="preserve">Customer benefits</w:t>
            </w:r>
          </w:p>
        </w:tc>
        <w:tc>
          <w:tcPr/>
          <w:p>
            <w:pPr>
              <w:pStyle w:val="Compact"/>
              <w:jc w:val="left"/>
            </w:pPr>
            <w:r>
              <w:rPr>
                <w:sz w:val="18"/>
              </w:rPr>
              <w:t xml:space="preserve">Ship with confidence; Stay informed at every step; Spend less time coordinating; Keep deliveries organized.</w:t>
            </w:r>
          </w:p>
        </w:tc>
      </w:tr>
      <w:tr>
        <w:tc>
          <w:tcPr/>
          <w:p>
            <w:pPr>
              <w:pStyle w:val="Compact"/>
              <w:jc w:val="left"/>
            </w:pPr>
            <w:r>
              <w:rPr>
                <w:sz w:val="18"/>
              </w:rPr>
              <w:t xml:space="preserve">How it works</w:t>
            </w:r>
          </w:p>
        </w:tc>
        <w:tc>
          <w:tcPr/>
          <w:p>
            <w:pPr>
              <w:pStyle w:val="Compact"/>
              <w:jc w:val="left"/>
            </w:pPr>
            <w:r>
              <w:rPr>
                <w:sz w:val="18"/>
              </w:rPr>
              <w:t xml:space="preserve">01 Tell us what you’re moving; 02 Plan your delivery; 03 Stay connected.</w:t>
            </w:r>
          </w:p>
        </w:tc>
      </w:tr>
      <w:tr>
        <w:tc>
          <w:tcPr/>
          <w:p>
            <w:pPr>
              <w:pStyle w:val="Compact"/>
              <w:jc w:val="left"/>
            </w:pPr>
            <w:r>
              <w:rPr>
                <w:sz w:val="18"/>
              </w:rPr>
              <w:t xml:space="preserve">Product experience</w:t>
            </w:r>
          </w:p>
        </w:tc>
        <w:tc>
          <w:tcPr/>
          <w:p>
            <w:pPr>
              <w:pStyle w:val="Compact"/>
              <w:jc w:val="left"/>
            </w:pPr>
            <w:r>
              <w:rPr>
                <w:sz w:val="18"/>
              </w:rPr>
              <w:t xml:space="preserve">Application mockup: shipment overview, delivery status, tracking map, upcoming deliveries, notifications, primary action; sample data labelled illustrative.</w:t>
            </w:r>
          </w:p>
        </w:tc>
      </w:tr>
      <w:tr>
        <w:tc>
          <w:tcPr/>
          <w:p>
            <w:pPr>
              <w:pStyle w:val="Compact"/>
              <w:jc w:val="left"/>
            </w:pPr>
            <w:r>
              <w:rPr>
                <w:sz w:val="18"/>
              </w:rPr>
              <w:t xml:space="preserve">Industries</w:t>
            </w:r>
          </w:p>
        </w:tc>
        <w:tc>
          <w:tcPr/>
          <w:p>
            <w:pPr>
              <w:pStyle w:val="Compact"/>
              <w:jc w:val="left"/>
            </w:pPr>
            <w:r>
              <w:rPr>
                <w:sz w:val="18"/>
              </w:rPr>
              <w:t xml:space="preserve">Retail, e-commerce, manufacturing, distribution, growing businesses.</w:t>
            </w:r>
          </w:p>
        </w:tc>
      </w:tr>
      <w:tr>
        <w:tc>
          <w:tcPr/>
          <w:p>
            <w:pPr>
              <w:pStyle w:val="Compact"/>
              <w:jc w:val="left"/>
            </w:pPr>
            <w:r>
              <w:rPr>
                <w:sz w:val="18"/>
              </w:rPr>
              <w:t xml:space="preserve">Trust</w:t>
            </w:r>
          </w:p>
        </w:tc>
        <w:tc>
          <w:tcPr/>
          <w:p>
            <w:pPr>
              <w:pStyle w:val="Compact"/>
              <w:jc w:val="left"/>
            </w:pPr>
            <w:r>
              <w:rPr>
                <w:sz w:val="18"/>
              </w:rPr>
              <w:t xml:space="preserve">Privacy, transparency, reliability, support; no fabricated certifications, logos, testimonials, statistics or security guarantees.</w:t>
            </w:r>
          </w:p>
        </w:tc>
      </w:tr>
      <w:tr>
        <w:tc>
          <w:tcPr/>
          <w:p>
            <w:pPr>
              <w:pStyle w:val="Compact"/>
              <w:jc w:val="left"/>
            </w:pPr>
            <w:r>
              <w:rPr>
                <w:sz w:val="18"/>
              </w:rPr>
              <w:t xml:space="preserve">FAQ</w:t>
            </w:r>
          </w:p>
        </w:tc>
        <w:tc>
          <w:tcPr/>
          <w:p>
            <w:pPr>
              <w:pStyle w:val="Compact"/>
              <w:jc w:val="left"/>
            </w:pPr>
            <w:r>
              <w:rPr>
                <w:sz w:val="18"/>
              </w:rPr>
              <w:t xml:space="preserve">The eight directive questions, answered only from verified capabilities and approved commercial information; pricing marked unpublished until approved.</w:t>
            </w:r>
          </w:p>
        </w:tc>
      </w:tr>
      <w:tr>
        <w:tc>
          <w:tcPr/>
          <w:p>
            <w:pPr>
              <w:pStyle w:val="Compact"/>
              <w:jc w:val="left"/>
            </w:pPr>
            <w:r>
              <w:rPr>
                <w:sz w:val="18"/>
              </w:rPr>
              <w:t xml:space="preserve">Final CTA</w:t>
            </w:r>
          </w:p>
        </w:tc>
        <w:tc>
          <w:tcPr/>
          <w:p>
            <w:pPr>
              <w:pStyle w:val="Compact"/>
              <w:jc w:val="left"/>
            </w:pPr>
            <w:r>
              <w:rPr>
                <w:sz w:val="18"/>
              </w:rPr>
              <w:t xml:space="preserve">“</w:t>
            </w:r>
            <w:r>
              <w:rPr>
                <w:sz w:val="18"/>
              </w:rPr>
              <w:t xml:space="preserve">Ready to move smarter?</w:t>
            </w:r>
            <w:r>
              <w:rPr>
                <w:sz w:val="18"/>
              </w:rPr>
              <w:t xml:space="preserve">”</w:t>
            </w:r>
            <w:r>
              <w:rPr>
                <w:sz w:val="18"/>
              </w:rPr>
              <w:t xml:space="preserve"> </w:t>
            </w:r>
            <w:r>
              <w:rPr>
                <w:sz w:val="18"/>
              </w:rPr>
              <w:t xml:space="preserve">/</w:t>
            </w:r>
            <w:r>
              <w:rPr>
                <w:sz w:val="18"/>
              </w:rPr>
              <w:t xml:space="preserve"> </w:t>
            </w:r>
            <w:r>
              <w:rPr>
                <w:sz w:val="18"/>
              </w:rPr>
              <w:t xml:space="preserve">“</w:t>
            </w:r>
            <w:r>
              <w:rPr>
                <w:sz w:val="18"/>
              </w:rPr>
              <w:t xml:space="preserve">A simpler logistics experience starts here.</w:t>
            </w:r>
            <w:r>
              <w:rPr>
                <w:sz w:val="18"/>
              </w:rPr>
              <w:t xml:space="preserve">”</w:t>
            </w:r>
            <w:r>
              <w:rPr>
                <w:sz w:val="18"/>
              </w:rPr>
              <w:t xml:space="preserve"> </w:t>
            </w:r>
            <w:r>
              <w:rPr>
                <w:sz w:val="18"/>
              </w:rPr>
              <w:t xml:space="preserve">/ Get Started.</w:t>
            </w:r>
          </w:p>
        </w:tc>
      </w:tr>
      <w:tr>
        <w:tc>
          <w:tcPr/>
          <w:p>
            <w:pPr>
              <w:pStyle w:val="Compact"/>
              <w:jc w:val="left"/>
            </w:pPr>
            <w:r>
              <w:rPr>
                <w:sz w:val="18"/>
              </w:rPr>
              <w:t xml:space="preserve">Footer</w:t>
            </w:r>
          </w:p>
        </w:tc>
        <w:tc>
          <w:tcPr/>
          <w:p>
            <w:pPr>
              <w:pStyle w:val="Compact"/>
              <w:jc w:val="left"/>
            </w:pPr>
            <w:r>
              <w:rPr>
                <w:sz w:val="18"/>
              </w:rPr>
              <w:t xml:space="preserve">Logo and tagline, solutions, how it works, industries, FAQ, contact, Privacy Policy, Terms of Service, copyright; social links only where approved.</w:t>
            </w:r>
          </w:p>
        </w:tc>
      </w:tr>
    </w:tbl>
    <w:p>
      <w:pPr>
        <w:pStyle w:val="BodyText"/>
      </w:pPr>
      <w:r>
        <w:t xml:space="preserve">Supporting pages: early access, sign in, contact, privacy and terms (draft placeholders until counsel approves).</w:t>
      </w:r>
    </w:p>
    <w:bookmarkEnd w:id="52"/>
    <w:bookmarkStart w:id="53" w:name="conversion-journey"/>
    <w:p>
      <w:pPr>
        <w:pStyle w:val="Heading2"/>
      </w:pPr>
      <w:r>
        <w:t xml:space="preserve">13.3 Conversion journey</w:t>
      </w:r>
    </w:p>
    <w:p>
      <w:pPr>
        <w:pStyle w:val="FirstParagraph"/>
      </w:pPr>
      <w:r>
        <w:t xml:space="preserve">Visitor → understand value → build trust → Get Started → early access → (when accounts open) create account → onboarding.</w:t>
      </w:r>
    </w:p>
    <w:p>
      <w:pPr>
        <w:numPr>
          <w:ilvl w:val="0"/>
          <w:numId w:val="1004"/>
        </w:numPr>
        <w:pStyle w:val="Compact"/>
      </w:pPr>
      <w:r>
        <w:t xml:space="preserve">One clear primary CTA per section; minimal required fields (name, email); no popups; no forced account creation.</w:t>
      </w:r>
    </w:p>
    <w:p>
      <w:pPr>
        <w:numPr>
          <w:ilvl w:val="0"/>
          <w:numId w:val="1004"/>
        </w:numPr>
        <w:pStyle w:val="Compact"/>
      </w:pPr>
      <w:r>
        <w:t xml:space="preserve">Loading, validation and error states; inputs persist through recoverable errors (session storage); focus management on success.</w:t>
      </w:r>
    </w:p>
    <w:p>
      <w:pPr>
        <w:numPr>
          <w:ilvl w:val="0"/>
          <w:numId w:val="1004"/>
        </w:numPr>
        <w:pStyle w:val="Compact"/>
      </w:pPr>
      <w:r>
        <w:t xml:space="preserve">Honest early-access mode while registration is closed. The shipped build runs in</w:t>
      </w:r>
      <w:r>
        <w:t xml:space="preserve"> </w:t>
      </w:r>
      <w:r>
        <w:rPr>
          <w:bCs/>
          <w:b/>
        </w:rPr>
        <w:t xml:space="preserve">preview mode</w:t>
      </w:r>
      <w:r>
        <w:t xml:space="preserve"> </w:t>
      </w:r>
      <w:r>
        <w:t xml:space="preserve">and says plainly that nothing is stored until a sign-up service is connected. No misleading scarcity or fabricated social proof.</w:t>
      </w:r>
    </w:p>
    <w:p>
      <w:pPr>
        <w:numPr>
          <w:ilvl w:val="0"/>
          <w:numId w:val="1004"/>
        </w:numPr>
        <w:pStyle w:val="Compact"/>
      </w:pPr>
      <w:r>
        <w:t xml:space="preserve">Sign In is a chooser (Driver, Carrier, Fleet company). Credentials are entered only inside each application. An option is disabled with an honest message until its URL is configured. Platform Admin is never listed publicly.</w:t>
      </w:r>
    </w:p>
    <w:p>
      <w:pPr>
        <w:numPr>
          <w:ilvl w:val="0"/>
          <w:numId w:val="1004"/>
        </w:numPr>
        <w:pStyle w:val="Compact"/>
      </w:pPr>
      <w:r>
        <w:t xml:space="preserve">Future account creation and onboarding (R1+): password visibility toggle, recovery, keyboard and mobile support, progress indicator, no dead ends. The existing application login screens already include a password visibility toggle and a forgot-password link; account recovery behaviour must be implemented and tested server-side.</w:t>
      </w:r>
    </w:p>
    <w:bookmarkEnd w:id="53"/>
    <w:bookmarkStart w:id="54" w:name="events-accessibility-and-performance"/>
    <w:p>
      <w:pPr>
        <w:pStyle w:val="Heading2"/>
      </w:pPr>
      <w:r>
        <w:t xml:space="preserve">13.4 Events, accessibility and performance</w:t>
      </w:r>
    </w:p>
    <w:p>
      <w:pPr>
        <w:pStyle w:val="FirstParagraph"/>
      </w:pPr>
      <w:r>
        <w:t xml:space="preserve">See docs/CONVERSION_EVENTS.md and docs/ACCESSIBILITY_PERFORMANCE_CHECKLIST.md. Key points: no cookies, no PII in events; WCAG 2.2 AA target; white text on brand orange fails contrast (2.9:1), so orange buttons carry Navy text (5.3:1); reduced-motion respected.</w:t>
      </w:r>
    </w:p>
    <w:bookmarkEnd w:id="54"/>
    <w:bookmarkEnd w:id="55"/>
    <w:bookmarkStart w:id="58" w:name="acceptance-criteria"/>
    <w:p>
      <w:pPr>
        <w:pStyle w:val="Heading1"/>
      </w:pPr>
      <w:r>
        <w:t xml:space="preserve">14. Acceptance criteria</w:t>
      </w:r>
    </w:p>
    <w:bookmarkStart w:id="56" w:name="public-website-from-the-directive"/>
    <w:p>
      <w:pPr>
        <w:pStyle w:val="Heading2"/>
      </w:pPr>
      <w:r>
        <w:t xml:space="preserve">14.1 Public website (from the directive)</w:t>
      </w:r>
    </w:p>
    <w:p>
      <w:pPr>
        <w:numPr>
          <w:ilvl w:val="0"/>
          <w:numId w:val="1005"/>
        </w:numPr>
        <w:pStyle w:val="Compact"/>
      </w:pPr>
      <w:r>
        <w:t xml:space="preserve">A new visitor understands the customer value within seconds.</w:t>
      </w:r>
    </w:p>
    <w:p>
      <w:pPr>
        <w:numPr>
          <w:ilvl w:val="0"/>
          <w:numId w:val="1005"/>
        </w:numPr>
        <w:pStyle w:val="Compact"/>
      </w:pPr>
      <w:r>
        <w:t xml:space="preserve">The primary conversion action is immediately visible.</w:t>
      </w:r>
    </w:p>
    <w:p>
      <w:pPr>
        <w:numPr>
          <w:ilvl w:val="0"/>
          <w:numId w:val="1005"/>
        </w:numPr>
        <w:pStyle w:val="Compact"/>
      </w:pPr>
      <w:r>
        <w:t xml:space="preserve">Navigation is intuitive; every CTA has a meaningful destination; no dead ends.</w:t>
      </w:r>
    </w:p>
    <w:p>
      <w:pPr>
        <w:numPr>
          <w:ilvl w:val="0"/>
          <w:numId w:val="1005"/>
        </w:numPr>
        <w:pStyle w:val="Compact"/>
      </w:pPr>
      <w:r>
        <w:t xml:space="preserve">The product looks like a credible logistics application.</w:t>
      </w:r>
    </w:p>
    <w:p>
      <w:pPr>
        <w:numPr>
          <w:ilvl w:val="0"/>
          <w:numId w:val="1005"/>
        </w:numPr>
        <w:pStyle w:val="Compact"/>
      </w:pPr>
      <w:r>
        <w:t xml:space="preserve">Responsive and accessible; official I-way brand assets used unaltered.</w:t>
      </w:r>
    </w:p>
    <w:p>
      <w:pPr>
        <w:numPr>
          <w:ilvl w:val="0"/>
          <w:numId w:val="1005"/>
        </w:numPr>
        <w:pStyle w:val="Compact"/>
      </w:pPr>
      <w:r>
        <w:t xml:space="preserve">No proprietary strategy or implementation detail disclosed; no unsupported claims.</w:t>
      </w:r>
    </w:p>
    <w:p>
      <w:pPr>
        <w:numPr>
          <w:ilvl w:val="0"/>
          <w:numId w:val="1005"/>
        </w:numPr>
        <w:pStyle w:val="Compact"/>
      </w:pPr>
      <w:r>
        <w:rPr>
          <w:rStyle w:val="VerbatimChar"/>
        </w:rPr>
        <w:t xml:space="preserve">npm run verify</w:t>
      </w:r>
      <w:r>
        <w:t xml:space="preserve"> </w:t>
      </w:r>
      <w:r>
        <w:t xml:space="preserve">passes (build, IP scan, link and accessibility static checks) and a human IP-disclosure review is signed.</w:t>
      </w:r>
    </w:p>
    <w:bookmarkEnd w:id="56"/>
    <w:bookmarkStart w:id="57" w:name="applications"/>
    <w:p>
      <w:pPr>
        <w:pStyle w:val="Heading2"/>
      </w:pPr>
      <w:r>
        <w:t xml:space="preserve">14.2 Applications</w:t>
      </w:r>
    </w:p>
    <w:p>
      <w:pPr>
        <w:numPr>
          <w:ilvl w:val="0"/>
          <w:numId w:val="1006"/>
        </w:numPr>
        <w:pStyle w:val="Compact"/>
      </w:pPr>
      <w:r>
        <w:t xml:space="preserve">Ownership rules (§5) enforced by tests: a fleet company cannot approve its own driver; a driver cannot alter commercial terms; one carrier cannot read another’s data.</w:t>
      </w:r>
    </w:p>
    <w:p>
      <w:pPr>
        <w:numPr>
          <w:ilvl w:val="0"/>
          <w:numId w:val="1006"/>
        </w:numPr>
        <w:pStyle w:val="Compact"/>
      </w:pPr>
      <w:r>
        <w:t xml:space="preserve">Settlement fixtures reproduce expected results, including no double-counted deductions and no adjustment on approved settlements.</w:t>
      </w:r>
    </w:p>
    <w:p>
      <w:pPr>
        <w:numPr>
          <w:ilvl w:val="0"/>
          <w:numId w:val="1006"/>
        </w:numPr>
        <w:pStyle w:val="Compact"/>
      </w:pPr>
      <w:r>
        <w:t xml:space="preserve">Every BR-012 action produces an audit event.</w:t>
      </w:r>
    </w:p>
    <w:bookmarkEnd w:id="57"/>
    <w:bookmarkEnd w:id="58"/>
    <w:bookmarkStart w:id="59" w:name="non-functional-requirements"/>
    <w:p>
      <w:pPr>
        <w:pStyle w:val="Heading1"/>
      </w:pPr>
      <w:r>
        <w:t xml:space="preserve">15. Non-functional requirements</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W w:w="5000" w:type="pct"/>
        <w:tblLayout w:type="autofit"/>
      </w:tblPr>
      <w:tr>
        <w:trPr>
          <w:tblHeader w:val="true"/>
        </w:trPr>
        <w:tc>
          <w:tcPr>
            <w:shd w:val="clear" w:fill="092448"/>
          </w:tcPr>
          <w:p>
            <w:pPr>
              <w:pStyle w:val="Compact"/>
              <w:jc w:val="left"/>
            </w:pPr>
            <w:r>
              <w:rPr>
                <w:b/>
                <w:color w:val="FFFFFF"/>
                <w:sz w:val="18"/>
              </w:rPr>
              <w:t xml:space="preserve">Area</w:t>
            </w:r>
          </w:p>
        </w:tc>
        <w:tc>
          <w:tcPr>
            <w:shd w:val="clear" w:fill="092448"/>
          </w:tcPr>
          <w:p>
            <w:pPr>
              <w:pStyle w:val="Compact"/>
              <w:jc w:val="left"/>
            </w:pPr>
            <w:r>
              <w:rPr>
                <w:b/>
                <w:color w:val="FFFFFF"/>
                <w:sz w:val="18"/>
              </w:rPr>
              <w:t xml:space="preserve">Requirement</w:t>
            </w:r>
          </w:p>
        </w:tc>
      </w:tr>
      <w:tr>
        <w:tc>
          <w:tcPr/>
          <w:p>
            <w:pPr>
              <w:pStyle w:val="Compact"/>
              <w:jc w:val="left"/>
            </w:pPr>
            <w:r>
              <w:rPr>
                <w:sz w:val="18"/>
              </w:rPr>
              <w:t xml:space="preserve">Performance</w:t>
            </w:r>
          </w:p>
        </w:tc>
        <w:tc>
          <w:tcPr/>
          <w:p>
            <w:pPr>
              <w:pStyle w:val="Compact"/>
              <w:jc w:val="left"/>
            </w:pPr>
            <w:r>
              <w:rPr>
                <w:sz w:val="18"/>
              </w:rPr>
              <w:t xml:space="preserve">Targets from the v1 known-issues list: pages under 2 seconds, saves under 1 second under expected load; budgets verified by load tests. Public site: LCP under 2.5 s on a mid-range mobile profile [TBC measurement].</w:t>
            </w:r>
          </w:p>
        </w:tc>
      </w:tr>
      <w:tr>
        <w:tc>
          <w:tcPr/>
          <w:p>
            <w:pPr>
              <w:pStyle w:val="Compact"/>
              <w:jc w:val="left"/>
            </w:pPr>
            <w:r>
              <w:rPr>
                <w:sz w:val="18"/>
              </w:rPr>
              <w:t xml:space="preserve">Availability</w:t>
            </w:r>
          </w:p>
        </w:tc>
        <w:tc>
          <w:tcPr/>
          <w:p>
            <w:pPr>
              <w:pStyle w:val="Compact"/>
              <w:jc w:val="left"/>
            </w:pPr>
            <w:r>
              <w:rPr>
                <w:sz w:val="18"/>
              </w:rPr>
              <w:t xml:space="preserve">Monitoring, status alerts, backups and a defined uptime target [TBC OQ-09]; multi-region decision in ADR.</w:t>
            </w:r>
          </w:p>
        </w:tc>
      </w:tr>
      <w:tr>
        <w:tc>
          <w:tcPr/>
          <w:p>
            <w:pPr>
              <w:pStyle w:val="Compact"/>
              <w:jc w:val="left"/>
            </w:pPr>
            <w:r>
              <w:rPr>
                <w:sz w:val="18"/>
              </w:rPr>
              <w:t xml:space="preserve">Security</w:t>
            </w:r>
          </w:p>
        </w:tc>
        <w:tc>
          <w:tcPr/>
          <w:p>
            <w:pPr>
              <w:pStyle w:val="Compact"/>
              <w:jc w:val="left"/>
            </w:pPr>
            <w:r>
              <w:rPr>
                <w:sz w:val="18"/>
              </w:rPr>
              <w:t xml:space="preserve">MFA for staff, encrypted secrets and sensitive fields, least privilege, tenant isolation tests, dependency scanning, secrets manager (v1 kept secrets in config files).</w:t>
            </w:r>
          </w:p>
        </w:tc>
      </w:tr>
      <w:tr>
        <w:tc>
          <w:tcPr/>
          <w:p>
            <w:pPr>
              <w:pStyle w:val="Compact"/>
              <w:jc w:val="left"/>
            </w:pPr>
            <w:r>
              <w:rPr>
                <w:sz w:val="18"/>
              </w:rPr>
              <w:t xml:space="preserve">Data</w:t>
            </w:r>
          </w:p>
        </w:tc>
        <w:tc>
          <w:tcPr/>
          <w:p>
            <w:pPr>
              <w:pStyle w:val="Compact"/>
              <w:jc w:val="left"/>
            </w:pPr>
            <w:r>
              <w:rPr>
                <w:sz w:val="18"/>
              </w:rPr>
              <w:t xml:space="preserve">UTC storage; deactivate-not-delete; audit retention [TBC].</w:t>
            </w:r>
          </w:p>
        </w:tc>
      </w:tr>
      <w:tr>
        <w:tc>
          <w:tcPr/>
          <w:p>
            <w:pPr>
              <w:pStyle w:val="Compact"/>
              <w:jc w:val="left"/>
            </w:pPr>
            <w:r>
              <w:rPr>
                <w:sz w:val="18"/>
              </w:rPr>
              <w:t xml:space="preserve">Operations</w:t>
            </w:r>
          </w:p>
        </w:tc>
        <w:tc>
          <w:tcPr/>
          <w:p>
            <w:pPr>
              <w:pStyle w:val="Compact"/>
              <w:jc w:val="left"/>
            </w:pPr>
            <w:r>
              <w:rPr>
                <w:sz w:val="18"/>
              </w:rPr>
              <w:t xml:space="preserve">Dev/staging/production in company-owned cloud accounts; CI/CD with automated tests; company-owned repositories, domain and app-store accounts.</w:t>
            </w:r>
          </w:p>
        </w:tc>
      </w:tr>
      <w:tr>
        <w:tc>
          <w:tcPr/>
          <w:p>
            <w:pPr>
              <w:pStyle w:val="Compact"/>
              <w:jc w:val="left"/>
            </w:pPr>
            <w:r>
              <w:rPr>
                <w:sz w:val="18"/>
              </w:rPr>
              <w:t xml:space="preserve">Accessibility</w:t>
            </w:r>
          </w:p>
        </w:tc>
        <w:tc>
          <w:tcPr/>
          <w:p>
            <w:pPr>
              <w:pStyle w:val="Compact"/>
              <w:jc w:val="left"/>
            </w:pPr>
            <w:r>
              <w:rPr>
                <w:sz w:val="18"/>
              </w:rPr>
              <w:t xml:space="preserve">WCAG 2.2 AA for public site and all apps; 44 px minimum targets, 52 px for the driver’s main action.</w:t>
            </w:r>
          </w:p>
        </w:tc>
      </w:tr>
      <w:tr>
        <w:tc>
          <w:tcPr/>
          <w:p>
            <w:pPr>
              <w:pStyle w:val="Compact"/>
              <w:jc w:val="left"/>
            </w:pPr>
            <w:r>
              <w:rPr>
                <w:sz w:val="18"/>
              </w:rPr>
              <w:t xml:space="preserve">Localization</w:t>
            </w:r>
          </w:p>
        </w:tc>
        <w:tc>
          <w:tcPr/>
          <w:p>
            <w:pPr>
              <w:pStyle w:val="Compact"/>
              <w:jc w:val="left"/>
            </w:pPr>
            <w:r>
              <w:rPr>
                <w:sz w:val="18"/>
              </w:rPr>
              <w:t xml:space="preserve">Carrier time zone for all date logic; US units initially [TBC].</w:t>
            </w:r>
          </w:p>
        </w:tc>
      </w:tr>
    </w:tbl>
    <w:bookmarkEnd w:id="59"/>
    <w:bookmarkStart w:id="60" w:name="epics"/>
    <w:p>
      <w:pPr>
        <w:pStyle w:val="Heading1"/>
      </w:pPr>
      <w:r>
        <w:t xml:space="preserve">16. Epics</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Layout w:type="fixed"/>
        <w:tblW w:w="9900" w:type="dxa"/>
      </w:tblPr>
      <w:tblGrid>
        <w:gridCol w:w="1329"/>
        <w:gridCol w:w="7388"/>
        <w:gridCol w:w="1182"/>
      </w:tblGrid>
      <w:tr>
        <w:trPr>
          <w:tblHeader w:val="true"/>
        </w:trPr>
        <w:tc>
          <w:tcPr>
            <w:tcW w:w="1329" w:type="dxa"/>
            <w:shd w:val="clear" w:fill="092448"/>
          </w:tcPr>
          <w:p>
            <w:pPr>
              <w:pStyle w:val="Compact"/>
              <w:jc w:val="left"/>
            </w:pPr>
            <w:r>
              <w:rPr>
                <w:b/>
                <w:color w:val="FFFFFF"/>
                <w:sz w:val="18"/>
              </w:rPr>
              <w:t xml:space="preserve">Epic</w:t>
            </w:r>
          </w:p>
        </w:tc>
        <w:tc>
          <w:tcPr>
            <w:tcW w:w="7388" w:type="dxa"/>
            <w:shd w:val="clear" w:fill="092448"/>
          </w:tcPr>
          <w:p>
            <w:pPr>
              <w:pStyle w:val="Compact"/>
              <w:jc w:val="left"/>
            </w:pPr>
            <w:r>
              <w:rPr>
                <w:b/>
                <w:color w:val="FFFFFF"/>
                <w:sz w:val="18"/>
              </w:rPr>
              <w:t xml:space="preserve">Name</w:t>
            </w:r>
          </w:p>
        </w:tc>
        <w:tc>
          <w:tcPr>
            <w:tcW w:w="1182" w:type="dxa"/>
            <w:shd w:val="clear" w:fill="092448"/>
          </w:tcPr>
          <w:p>
            <w:pPr>
              <w:pStyle w:val="Compact"/>
              <w:jc w:val="left"/>
            </w:pPr>
            <w:r>
              <w:rPr>
                <w:b/>
                <w:color w:val="FFFFFF"/>
                <w:sz w:val="18"/>
              </w:rPr>
              <w:t xml:space="preserve">Rel</w:t>
            </w:r>
          </w:p>
        </w:tc>
      </w:tr>
      <w:tr>
        <w:tc>
          <w:tcPr>
            <w:tcW w:w="1329" w:type="dxa"/>
          </w:tcPr>
          <w:p>
            <w:pPr>
              <w:pStyle w:val="Compact"/>
              <w:jc w:val="left"/>
            </w:pPr>
            <w:r>
              <w:rPr>
                <w:sz w:val="18"/>
              </w:rPr>
              <w:t xml:space="preserve">01</w:t>
            </w:r>
          </w:p>
        </w:tc>
        <w:tc>
          <w:tcPr>
            <w:tcW w:w="7388" w:type="dxa"/>
          </w:tcPr>
          <w:p>
            <w:pPr>
              <w:pStyle w:val="Compact"/>
              <w:jc w:val="left"/>
            </w:pPr>
            <w:r>
              <w:rPr>
                <w:sz w:val="18"/>
              </w:rPr>
              <w:t xml:space="preserve">Identity, authentication and RBAC</w:t>
            </w:r>
          </w:p>
        </w:tc>
        <w:tc>
          <w:tcPr>
            <w:tcW w:w="1182" w:type="dxa"/>
          </w:tcPr>
          <w:p>
            <w:pPr>
              <w:pStyle w:val="Compact"/>
              <w:jc w:val="left"/>
            </w:pPr>
            <w:r>
              <w:rPr>
                <w:sz w:val="18"/>
              </w:rPr>
              <w:t xml:space="preserve">R1</w:t>
            </w:r>
          </w:p>
        </w:tc>
      </w:tr>
      <w:tr>
        <w:tc>
          <w:tcPr>
            <w:tcW w:w="1329" w:type="dxa"/>
          </w:tcPr>
          <w:p>
            <w:pPr>
              <w:pStyle w:val="Compact"/>
              <w:jc w:val="left"/>
            </w:pPr>
            <w:r>
              <w:rPr>
                <w:sz w:val="18"/>
              </w:rPr>
              <w:t xml:space="preserve">02</w:t>
            </w:r>
          </w:p>
        </w:tc>
        <w:tc>
          <w:tcPr>
            <w:tcW w:w="7388" w:type="dxa"/>
          </w:tcPr>
          <w:p>
            <w:pPr>
              <w:pStyle w:val="Compact"/>
              <w:jc w:val="left"/>
            </w:pPr>
            <w:r>
              <w:rPr>
                <w:sz w:val="18"/>
              </w:rPr>
              <w:t xml:space="preserve">Carrier onboarding and administration</w:t>
            </w:r>
          </w:p>
        </w:tc>
        <w:tc>
          <w:tcPr>
            <w:tcW w:w="1182" w:type="dxa"/>
          </w:tcPr>
          <w:p>
            <w:pPr>
              <w:pStyle w:val="Compact"/>
              <w:jc w:val="left"/>
            </w:pPr>
            <w:r>
              <w:rPr>
                <w:sz w:val="18"/>
              </w:rPr>
              <w:t xml:space="preserve">R1 (minimal) / R4</w:t>
            </w:r>
          </w:p>
        </w:tc>
      </w:tr>
      <w:tr>
        <w:tc>
          <w:tcPr>
            <w:tcW w:w="1329" w:type="dxa"/>
          </w:tcPr>
          <w:p>
            <w:pPr>
              <w:pStyle w:val="Compact"/>
              <w:jc w:val="left"/>
            </w:pPr>
            <w:r>
              <w:rPr>
                <w:sz w:val="18"/>
              </w:rPr>
              <w:t xml:space="preserve">03</w:t>
            </w:r>
          </w:p>
        </w:tc>
        <w:tc>
          <w:tcPr>
            <w:tcW w:w="7388" w:type="dxa"/>
          </w:tcPr>
          <w:p>
            <w:pPr>
              <w:pStyle w:val="Compact"/>
              <w:jc w:val="left"/>
            </w:pPr>
            <w:r>
              <w:rPr>
                <w:sz w:val="18"/>
              </w:rPr>
              <w:t xml:space="preserve">Fleet companies and management agreements</w:t>
            </w:r>
          </w:p>
        </w:tc>
        <w:tc>
          <w:tcPr>
            <w:tcW w:w="1182" w:type="dxa"/>
          </w:tcPr>
          <w:p>
            <w:pPr>
              <w:pStyle w:val="Compact"/>
              <w:jc w:val="left"/>
            </w:pPr>
            <w:r>
              <w:rPr>
                <w:sz w:val="18"/>
              </w:rPr>
              <w:t xml:space="preserve">R3</w:t>
            </w:r>
          </w:p>
        </w:tc>
      </w:tr>
      <w:tr>
        <w:tc>
          <w:tcPr>
            <w:tcW w:w="1329" w:type="dxa"/>
          </w:tcPr>
          <w:p>
            <w:pPr>
              <w:pStyle w:val="Compact"/>
              <w:jc w:val="left"/>
            </w:pPr>
            <w:r>
              <w:rPr>
                <w:sz w:val="18"/>
              </w:rPr>
              <w:t xml:space="preserve">04</w:t>
            </w:r>
          </w:p>
        </w:tc>
        <w:tc>
          <w:tcPr>
            <w:tcW w:w="7388" w:type="dxa"/>
          </w:tcPr>
          <w:p>
            <w:pPr>
              <w:pStyle w:val="Compact"/>
              <w:jc w:val="left"/>
            </w:pPr>
            <w:r>
              <w:rPr>
                <w:sz w:val="18"/>
              </w:rPr>
              <w:t xml:space="preserve">Driver onboarding and compliance</w:t>
            </w:r>
          </w:p>
        </w:tc>
        <w:tc>
          <w:tcPr>
            <w:tcW w:w="1182" w:type="dxa"/>
          </w:tcPr>
          <w:p>
            <w:pPr>
              <w:pStyle w:val="Compact"/>
              <w:jc w:val="left"/>
            </w:pPr>
            <w:r>
              <w:rPr>
                <w:sz w:val="18"/>
              </w:rPr>
              <w:t xml:space="preserve">R1</w:t>
            </w:r>
          </w:p>
        </w:tc>
      </w:tr>
      <w:tr>
        <w:tc>
          <w:tcPr>
            <w:tcW w:w="1329" w:type="dxa"/>
          </w:tcPr>
          <w:p>
            <w:pPr>
              <w:pStyle w:val="Compact"/>
              <w:jc w:val="left"/>
            </w:pPr>
            <w:r>
              <w:rPr>
                <w:sz w:val="18"/>
              </w:rPr>
              <w:t xml:space="preserve">05</w:t>
            </w:r>
          </w:p>
        </w:tc>
        <w:tc>
          <w:tcPr>
            <w:tcW w:w="7388" w:type="dxa"/>
          </w:tcPr>
          <w:p>
            <w:pPr>
              <w:pStyle w:val="Compact"/>
              <w:jc w:val="left"/>
            </w:pPr>
            <w:r>
              <w:rPr>
                <w:sz w:val="18"/>
              </w:rPr>
              <w:t xml:space="preserve">Equipment and maintenance</w:t>
            </w:r>
          </w:p>
        </w:tc>
        <w:tc>
          <w:tcPr>
            <w:tcW w:w="1182" w:type="dxa"/>
          </w:tcPr>
          <w:p>
            <w:pPr>
              <w:pStyle w:val="Compact"/>
              <w:jc w:val="left"/>
            </w:pPr>
            <w:r>
              <w:rPr>
                <w:sz w:val="18"/>
              </w:rPr>
              <w:t xml:space="preserve">R1</w:t>
            </w:r>
          </w:p>
        </w:tc>
      </w:tr>
      <w:tr>
        <w:tc>
          <w:tcPr>
            <w:tcW w:w="1329" w:type="dxa"/>
          </w:tcPr>
          <w:p>
            <w:pPr>
              <w:pStyle w:val="Compact"/>
              <w:jc w:val="left"/>
            </w:pPr>
            <w:r>
              <w:rPr>
                <w:sz w:val="18"/>
              </w:rPr>
              <w:t xml:space="preserve">06</w:t>
            </w:r>
          </w:p>
        </w:tc>
        <w:tc>
          <w:tcPr>
            <w:tcW w:w="7388" w:type="dxa"/>
          </w:tcPr>
          <w:p>
            <w:pPr>
              <w:pStyle w:val="Compact"/>
              <w:jc w:val="left"/>
            </w:pPr>
            <w:r>
              <w:rPr>
                <w:sz w:val="18"/>
              </w:rPr>
              <w:t xml:space="preserve">Customer and broker management</w:t>
            </w:r>
          </w:p>
        </w:tc>
        <w:tc>
          <w:tcPr>
            <w:tcW w:w="1182" w:type="dxa"/>
          </w:tcPr>
          <w:p>
            <w:pPr>
              <w:pStyle w:val="Compact"/>
              <w:jc w:val="left"/>
            </w:pPr>
            <w:r>
              <w:rPr>
                <w:sz w:val="18"/>
              </w:rPr>
              <w:t xml:space="preserve">R1</w:t>
            </w:r>
          </w:p>
        </w:tc>
      </w:tr>
      <w:tr>
        <w:tc>
          <w:tcPr>
            <w:tcW w:w="1329" w:type="dxa"/>
          </w:tcPr>
          <w:p>
            <w:pPr>
              <w:pStyle w:val="Compact"/>
              <w:jc w:val="left"/>
            </w:pPr>
            <w:r>
              <w:rPr>
                <w:sz w:val="18"/>
              </w:rPr>
              <w:t xml:space="preserve">07</w:t>
            </w:r>
          </w:p>
        </w:tc>
        <w:tc>
          <w:tcPr>
            <w:tcW w:w="7388" w:type="dxa"/>
          </w:tcPr>
          <w:p>
            <w:pPr>
              <w:pStyle w:val="Compact"/>
              <w:jc w:val="left"/>
            </w:pPr>
            <w:r>
              <w:rPr>
                <w:sz w:val="18"/>
              </w:rPr>
              <w:t xml:space="preserve">Load management</w:t>
            </w:r>
          </w:p>
        </w:tc>
        <w:tc>
          <w:tcPr>
            <w:tcW w:w="1182" w:type="dxa"/>
          </w:tcPr>
          <w:p>
            <w:pPr>
              <w:pStyle w:val="Compact"/>
              <w:jc w:val="left"/>
            </w:pPr>
            <w:r>
              <w:rPr>
                <w:sz w:val="18"/>
              </w:rPr>
              <w:t xml:space="preserve">R1</w:t>
            </w:r>
          </w:p>
        </w:tc>
      </w:tr>
      <w:tr>
        <w:tc>
          <w:tcPr>
            <w:tcW w:w="1329" w:type="dxa"/>
          </w:tcPr>
          <w:p>
            <w:pPr>
              <w:pStyle w:val="Compact"/>
              <w:jc w:val="left"/>
            </w:pPr>
            <w:r>
              <w:rPr>
                <w:sz w:val="18"/>
              </w:rPr>
              <w:t xml:space="preserve">08</w:t>
            </w:r>
          </w:p>
        </w:tc>
        <w:tc>
          <w:tcPr>
            <w:tcW w:w="7388" w:type="dxa"/>
          </w:tcPr>
          <w:p>
            <w:pPr>
              <w:pStyle w:val="Compact"/>
              <w:jc w:val="left"/>
            </w:pPr>
            <w:r>
              <w:rPr>
                <w:sz w:val="18"/>
              </w:rPr>
              <w:t xml:space="preserve">Dispatch and driver assignment</w:t>
            </w:r>
          </w:p>
        </w:tc>
        <w:tc>
          <w:tcPr>
            <w:tcW w:w="1182" w:type="dxa"/>
          </w:tcPr>
          <w:p>
            <w:pPr>
              <w:pStyle w:val="Compact"/>
              <w:jc w:val="left"/>
            </w:pPr>
            <w:r>
              <w:rPr>
                <w:sz w:val="18"/>
              </w:rPr>
              <w:t xml:space="preserve">R1</w:t>
            </w:r>
          </w:p>
        </w:tc>
      </w:tr>
      <w:tr>
        <w:tc>
          <w:tcPr>
            <w:tcW w:w="1329" w:type="dxa"/>
          </w:tcPr>
          <w:p>
            <w:pPr>
              <w:pStyle w:val="Compact"/>
              <w:jc w:val="left"/>
            </w:pPr>
            <w:r>
              <w:rPr>
                <w:sz w:val="18"/>
              </w:rPr>
              <w:t xml:space="preserve">09</w:t>
            </w:r>
          </w:p>
        </w:tc>
        <w:tc>
          <w:tcPr>
            <w:tcW w:w="7388" w:type="dxa"/>
          </w:tcPr>
          <w:p>
            <w:pPr>
              <w:pStyle w:val="Compact"/>
              <w:jc w:val="left"/>
            </w:pPr>
            <w:r>
              <w:rPr>
                <w:sz w:val="18"/>
              </w:rPr>
              <w:t xml:space="preserve">Driver load execution and tracking</w:t>
            </w:r>
          </w:p>
        </w:tc>
        <w:tc>
          <w:tcPr>
            <w:tcW w:w="1182" w:type="dxa"/>
          </w:tcPr>
          <w:p>
            <w:pPr>
              <w:pStyle w:val="Compact"/>
              <w:jc w:val="left"/>
            </w:pPr>
            <w:r>
              <w:rPr>
                <w:sz w:val="18"/>
              </w:rPr>
              <w:t xml:space="preserve">R1</w:t>
            </w:r>
          </w:p>
        </w:tc>
      </w:tr>
      <w:tr>
        <w:tc>
          <w:tcPr>
            <w:tcW w:w="1329" w:type="dxa"/>
          </w:tcPr>
          <w:p>
            <w:pPr>
              <w:pStyle w:val="Compact"/>
              <w:jc w:val="left"/>
            </w:pPr>
            <w:r>
              <w:rPr>
                <w:sz w:val="18"/>
              </w:rPr>
              <w:t xml:space="preserve">10</w:t>
            </w:r>
          </w:p>
        </w:tc>
        <w:tc>
          <w:tcPr>
            <w:tcW w:w="7388" w:type="dxa"/>
          </w:tcPr>
          <w:p>
            <w:pPr>
              <w:pStyle w:val="Compact"/>
              <w:jc w:val="left"/>
            </w:pPr>
            <w:r>
              <w:rPr>
                <w:sz w:val="18"/>
              </w:rPr>
              <w:t xml:space="preserve">Documents, BOL and POD</w:t>
            </w:r>
          </w:p>
        </w:tc>
        <w:tc>
          <w:tcPr>
            <w:tcW w:w="1182" w:type="dxa"/>
          </w:tcPr>
          <w:p>
            <w:pPr>
              <w:pStyle w:val="Compact"/>
              <w:jc w:val="left"/>
            </w:pPr>
            <w:r>
              <w:rPr>
                <w:sz w:val="18"/>
              </w:rPr>
              <w:t xml:space="preserve">R1</w:t>
            </w:r>
          </w:p>
        </w:tc>
      </w:tr>
      <w:tr>
        <w:tc>
          <w:tcPr>
            <w:tcW w:w="1329" w:type="dxa"/>
          </w:tcPr>
          <w:p>
            <w:pPr>
              <w:pStyle w:val="Compact"/>
              <w:jc w:val="left"/>
            </w:pPr>
            <w:r>
              <w:rPr>
                <w:sz w:val="18"/>
              </w:rPr>
              <w:t xml:space="preserve">11</w:t>
            </w:r>
          </w:p>
        </w:tc>
        <w:tc>
          <w:tcPr>
            <w:tcW w:w="7388" w:type="dxa"/>
          </w:tcPr>
          <w:p>
            <w:pPr>
              <w:pStyle w:val="Compact"/>
              <w:jc w:val="left"/>
            </w:pPr>
            <w:r>
              <w:rPr>
                <w:sz w:val="18"/>
              </w:rPr>
              <w:t xml:space="preserve">Settlements, earnings and escrow</w:t>
            </w:r>
          </w:p>
        </w:tc>
        <w:tc>
          <w:tcPr>
            <w:tcW w:w="1182" w:type="dxa"/>
          </w:tcPr>
          <w:p>
            <w:pPr>
              <w:pStyle w:val="Compact"/>
              <w:jc w:val="left"/>
            </w:pPr>
            <w:r>
              <w:rPr>
                <w:sz w:val="18"/>
              </w:rPr>
              <w:t xml:space="preserve">R2 / R3</w:t>
            </w:r>
          </w:p>
        </w:tc>
      </w:tr>
      <w:tr>
        <w:tc>
          <w:tcPr>
            <w:tcW w:w="1329" w:type="dxa"/>
          </w:tcPr>
          <w:p>
            <w:pPr>
              <w:pStyle w:val="Compact"/>
              <w:jc w:val="left"/>
            </w:pPr>
            <w:r>
              <w:rPr>
                <w:sz w:val="18"/>
              </w:rPr>
              <w:t xml:space="preserve">12</w:t>
            </w:r>
          </w:p>
        </w:tc>
        <w:tc>
          <w:tcPr>
            <w:tcW w:w="7388" w:type="dxa"/>
          </w:tcPr>
          <w:p>
            <w:pPr>
              <w:pStyle w:val="Compact"/>
              <w:jc w:val="left"/>
            </w:pPr>
            <w:r>
              <w:rPr>
                <w:sz w:val="18"/>
              </w:rPr>
              <w:t xml:space="preserve">Banking and payments</w:t>
            </w:r>
          </w:p>
        </w:tc>
        <w:tc>
          <w:tcPr>
            <w:tcW w:w="1182" w:type="dxa"/>
          </w:tcPr>
          <w:p>
            <w:pPr>
              <w:pStyle w:val="Compact"/>
              <w:jc w:val="left"/>
            </w:pPr>
            <w:r>
              <w:rPr>
                <w:sz w:val="18"/>
              </w:rPr>
              <w:t xml:space="preserve">R2</w:t>
            </w:r>
          </w:p>
        </w:tc>
      </w:tr>
      <w:tr>
        <w:tc>
          <w:tcPr>
            <w:tcW w:w="1329" w:type="dxa"/>
          </w:tcPr>
          <w:p>
            <w:pPr>
              <w:pStyle w:val="Compact"/>
              <w:jc w:val="left"/>
            </w:pPr>
            <w:r>
              <w:rPr>
                <w:sz w:val="18"/>
              </w:rPr>
              <w:t xml:space="preserve">13</w:t>
            </w:r>
          </w:p>
        </w:tc>
        <w:tc>
          <w:tcPr>
            <w:tcW w:w="7388" w:type="dxa"/>
          </w:tcPr>
          <w:p>
            <w:pPr>
              <w:pStyle w:val="Compact"/>
              <w:jc w:val="left"/>
            </w:pPr>
            <w:r>
              <w:rPr>
                <w:sz w:val="18"/>
              </w:rPr>
              <w:t xml:space="preserve">Notifications</w:t>
            </w:r>
          </w:p>
        </w:tc>
        <w:tc>
          <w:tcPr>
            <w:tcW w:w="1182" w:type="dxa"/>
          </w:tcPr>
          <w:p>
            <w:pPr>
              <w:pStyle w:val="Compact"/>
              <w:jc w:val="left"/>
            </w:pPr>
            <w:r>
              <w:rPr>
                <w:sz w:val="18"/>
              </w:rPr>
              <w:t xml:space="preserve">R1</w:t>
            </w:r>
          </w:p>
        </w:tc>
      </w:tr>
      <w:tr>
        <w:tc>
          <w:tcPr>
            <w:tcW w:w="1329" w:type="dxa"/>
          </w:tcPr>
          <w:p>
            <w:pPr>
              <w:pStyle w:val="Compact"/>
              <w:jc w:val="left"/>
            </w:pPr>
            <w:r>
              <w:rPr>
                <w:sz w:val="18"/>
              </w:rPr>
              <w:t xml:space="preserve">14</w:t>
            </w:r>
          </w:p>
        </w:tc>
        <w:tc>
          <w:tcPr>
            <w:tcW w:w="7388" w:type="dxa"/>
          </w:tcPr>
          <w:p>
            <w:pPr>
              <w:pStyle w:val="Compact"/>
              <w:jc w:val="left"/>
            </w:pPr>
            <w:r>
              <w:rPr>
                <w:sz w:val="18"/>
              </w:rPr>
              <w:t xml:space="preserve">Reporting and analytics</w:t>
            </w:r>
          </w:p>
        </w:tc>
        <w:tc>
          <w:tcPr>
            <w:tcW w:w="1182" w:type="dxa"/>
          </w:tcPr>
          <w:p>
            <w:pPr>
              <w:pStyle w:val="Compact"/>
              <w:jc w:val="left"/>
            </w:pPr>
            <w:r>
              <w:rPr>
                <w:sz w:val="18"/>
              </w:rPr>
              <w:t xml:space="preserve">R2</w:t>
            </w:r>
          </w:p>
        </w:tc>
      </w:tr>
      <w:tr>
        <w:tc>
          <w:tcPr>
            <w:tcW w:w="1329" w:type="dxa"/>
          </w:tcPr>
          <w:p>
            <w:pPr>
              <w:pStyle w:val="Compact"/>
              <w:jc w:val="left"/>
            </w:pPr>
            <w:r>
              <w:rPr>
                <w:sz w:val="18"/>
              </w:rPr>
              <w:t xml:space="preserve">15</w:t>
            </w:r>
          </w:p>
        </w:tc>
        <w:tc>
          <w:tcPr>
            <w:tcW w:w="7388" w:type="dxa"/>
          </w:tcPr>
          <w:p>
            <w:pPr>
              <w:pStyle w:val="Compact"/>
              <w:jc w:val="left"/>
            </w:pPr>
            <w:r>
              <w:rPr>
                <w:sz w:val="18"/>
              </w:rPr>
              <w:t xml:space="preserve">Platform administration, cases and audit</w:t>
            </w:r>
          </w:p>
        </w:tc>
        <w:tc>
          <w:tcPr>
            <w:tcW w:w="1182" w:type="dxa"/>
          </w:tcPr>
          <w:p>
            <w:pPr>
              <w:pStyle w:val="Compact"/>
              <w:jc w:val="left"/>
            </w:pPr>
            <w:r>
              <w:rPr>
                <w:sz w:val="18"/>
              </w:rPr>
              <w:t xml:space="preserve">R1 (audit) / R4</w:t>
            </w:r>
          </w:p>
        </w:tc>
      </w:tr>
      <w:tr>
        <w:tc>
          <w:tcPr>
            <w:tcW w:w="1329" w:type="dxa"/>
          </w:tcPr>
          <w:p>
            <w:pPr>
              <w:pStyle w:val="Compact"/>
              <w:jc w:val="left"/>
            </w:pPr>
            <w:r>
              <w:rPr>
                <w:sz w:val="18"/>
              </w:rPr>
              <w:t xml:space="preserve">16</w:t>
            </w:r>
          </w:p>
        </w:tc>
        <w:tc>
          <w:tcPr>
            <w:tcW w:w="7388" w:type="dxa"/>
          </w:tcPr>
          <w:p>
            <w:pPr>
              <w:pStyle w:val="Compact"/>
              <w:jc w:val="left"/>
            </w:pPr>
            <w:r>
              <w:rPr>
                <w:sz w:val="18"/>
              </w:rPr>
              <w:t xml:space="preserve">Public website and early access</w:t>
            </w:r>
          </w:p>
        </w:tc>
        <w:tc>
          <w:tcPr>
            <w:tcW w:w="1182" w:type="dxa"/>
          </w:tcPr>
          <w:p>
            <w:pPr>
              <w:pStyle w:val="Compact"/>
              <w:jc w:val="left"/>
            </w:pPr>
            <w:r>
              <w:rPr>
                <w:sz w:val="18"/>
              </w:rPr>
              <w:t xml:space="preserve">R0</w:t>
            </w:r>
          </w:p>
        </w:tc>
      </w:tr>
      <w:tr>
        <w:tc>
          <w:tcPr>
            <w:tcW w:w="1329" w:type="dxa"/>
          </w:tcPr>
          <w:p>
            <w:pPr>
              <w:pStyle w:val="Compact"/>
              <w:jc w:val="left"/>
            </w:pPr>
            <w:r>
              <w:rPr>
                <w:sz w:val="18"/>
              </w:rPr>
              <w:t xml:space="preserve">17</w:t>
            </w:r>
          </w:p>
        </w:tc>
        <w:tc>
          <w:tcPr>
            <w:tcW w:w="7388" w:type="dxa"/>
          </w:tcPr>
          <w:p>
            <w:pPr>
              <w:pStyle w:val="Compact"/>
              <w:jc w:val="left"/>
            </w:pPr>
            <w:r>
              <w:rPr>
                <w:sz w:val="18"/>
              </w:rPr>
              <w:t xml:space="preserve">v1 migration and cut-over</w:t>
            </w:r>
          </w:p>
        </w:tc>
        <w:tc>
          <w:tcPr>
            <w:tcW w:w="1182" w:type="dxa"/>
          </w:tcPr>
          <w:p>
            <w:pPr>
              <w:pStyle w:val="Compact"/>
              <w:jc w:val="left"/>
            </w:pPr>
            <w:r>
              <w:rPr>
                <w:sz w:val="18"/>
              </w:rPr>
              <w:t xml:space="preserve">R2</w:t>
            </w:r>
          </w:p>
        </w:tc>
      </w:tr>
    </w:tbl>
    <w:p>
      <w:pPr>
        <w:pStyle w:val="BodyText"/>
      </w:pPr>
      <w:r>
        <w:t xml:space="preserve">For each epic the next artifact is a backlog of user stories per persona with acceptance criteria, API requirements, data entities, notifications and exception scenarios.</w:t>
      </w:r>
    </w:p>
    <w:bookmarkEnd w:id="60"/>
    <w:bookmarkStart w:id="61" w:name="migration-from-iway-dispatch-v1"/>
    <w:p>
      <w:pPr>
        <w:pStyle w:val="Heading1"/>
      </w:pPr>
      <w:r>
        <w:t xml:space="preserve">17. Migration from iWay Dispatch v1</w:t>
      </w:r>
    </w:p>
    <w:p>
      <w:pPr>
        <w:pStyle w:val="FirstParagraph"/>
      </w:pPr>
      <w:r>
        <w:t xml:space="preserve">Import the v1 database (schema image and backup were delivered in the handover), run old and new settlements side by side for two pay weeks before switching, rebuild mobile apps under company-owned store accounts, and keep the v1 history of known issues as regression tests. Handover items still open at the last record: domain transfer, app-store transfers, hosting shutdown and final export, secrets list, design files. [TBC]</w:t>
      </w:r>
    </w:p>
    <w:bookmarkEnd w:id="61"/>
    <w:bookmarkStart w:id="62" w:name="integrations-to-scope"/>
    <w:p>
      <w:pPr>
        <w:pStyle w:val="Heading1"/>
      </w:pPr>
      <w:r>
        <w:t xml:space="preserve">18. Integrations to scope</w:t>
      </w:r>
    </w:p>
    <w:p>
      <w:pPr>
        <w:pStyle w:val="FirstParagraph"/>
      </w:pPr>
      <w:r>
        <w:t xml:space="preserve">Maps and geocoding (route miles, geofences), push/email/SMS, banking and payments, factoring submissions (email, portal or API), ELD/GPS feeds, fuel-card imports (Comdata appears in v1 deductions), QuickBooks export, BI. Vendors are not selected here.</w:t>
      </w:r>
    </w:p>
    <w:bookmarkEnd w:id="62"/>
    <w:bookmarkStart w:id="63" w:name="risks"/>
    <w:p>
      <w:pPr>
        <w:pStyle w:val="Heading1"/>
      </w:pPr>
      <w:r>
        <w:t xml:space="preserve">19. Risks</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W w:w="5000" w:type="pct"/>
        <w:tblLayout w:type="autofit"/>
      </w:tblPr>
      <w:tr>
        <w:trPr>
          <w:tblHeader w:val="true"/>
        </w:trPr>
        <w:tc>
          <w:tcPr>
            <w:shd w:val="clear" w:fill="092448"/>
          </w:tcPr>
          <w:p>
            <w:pPr>
              <w:pStyle w:val="Compact"/>
              <w:jc w:val="left"/>
            </w:pPr>
            <w:r>
              <w:rPr>
                <w:b/>
                <w:color w:val="FFFFFF"/>
                <w:sz w:val="18"/>
              </w:rPr>
              <w:t xml:space="preserve">Risk</w:t>
            </w:r>
          </w:p>
        </w:tc>
        <w:tc>
          <w:tcPr>
            <w:shd w:val="clear" w:fill="092448"/>
          </w:tcPr>
          <w:p>
            <w:pPr>
              <w:pStyle w:val="Compact"/>
              <w:jc w:val="left"/>
            </w:pPr>
            <w:r>
              <w:rPr>
                <w:b/>
                <w:color w:val="FFFFFF"/>
                <w:sz w:val="18"/>
              </w:rPr>
              <w:t xml:space="preserve">Mitigation</w:t>
            </w:r>
          </w:p>
        </w:tc>
      </w:tr>
      <w:tr>
        <w:tc>
          <w:tcPr/>
          <w:p>
            <w:pPr>
              <w:pStyle w:val="Compact"/>
              <w:jc w:val="left"/>
            </w:pPr>
            <w:r>
              <w:rPr>
                <w:sz w:val="18"/>
              </w:rPr>
              <w:t xml:space="preserve">Scope expansion from two-app to four-app ecosystem</w:t>
            </w:r>
          </w:p>
        </w:tc>
        <w:tc>
          <w:tcPr/>
          <w:p>
            <w:pPr>
              <w:pStyle w:val="Compact"/>
              <w:jc w:val="left"/>
            </w:pPr>
            <w:r>
              <w:rPr>
                <w:sz w:val="18"/>
              </w:rPr>
              <w:t xml:space="preserve">Phase by release; re-estimate before committing dates</w:t>
            </w:r>
          </w:p>
        </w:tc>
      </w:tr>
      <w:tr>
        <w:tc>
          <w:tcPr/>
          <w:p>
            <w:pPr>
              <w:pStyle w:val="Compact"/>
              <w:jc w:val="left"/>
            </w:pPr>
            <w:r>
              <w:rPr>
                <w:sz w:val="18"/>
              </w:rPr>
              <w:t xml:space="preserve">Settlement errors repeat v1 failures</w:t>
            </w:r>
          </w:p>
        </w:tc>
        <w:tc>
          <w:tcPr/>
          <w:p>
            <w:pPr>
              <w:pStyle w:val="Compact"/>
              <w:jc w:val="left"/>
            </w:pPr>
            <w:r>
              <w:rPr>
                <w:sz w:val="18"/>
              </w:rPr>
              <w:t xml:space="preserve">Fixtures, once-per-week deduction rule, preview, un-approve with audit</w:t>
            </w:r>
          </w:p>
        </w:tc>
      </w:tr>
      <w:tr>
        <w:tc>
          <w:tcPr/>
          <w:p>
            <w:pPr>
              <w:pStyle w:val="Compact"/>
              <w:jc w:val="left"/>
            </w:pPr>
            <w:r>
              <w:rPr>
                <w:sz w:val="18"/>
              </w:rPr>
              <w:t xml:space="preserve">Cross-tenant data exposure</w:t>
            </w:r>
          </w:p>
        </w:tc>
        <w:tc>
          <w:tcPr/>
          <w:p>
            <w:pPr>
              <w:pStyle w:val="Compact"/>
              <w:jc w:val="left"/>
            </w:pPr>
            <w:r>
              <w:rPr>
                <w:sz w:val="18"/>
              </w:rPr>
              <w:t xml:space="preserve">Tenant + relationship checks on every request; isolation tests</w:t>
            </w:r>
          </w:p>
        </w:tc>
      </w:tr>
      <w:tr>
        <w:tc>
          <w:tcPr/>
          <w:p>
            <w:pPr>
              <w:pStyle w:val="Compact"/>
              <w:jc w:val="left"/>
            </w:pPr>
            <w:r>
              <w:rPr>
                <w:sz w:val="18"/>
              </w:rPr>
              <w:t xml:space="preserve">Public site leaks internal design</w:t>
            </w:r>
          </w:p>
        </w:tc>
        <w:tc>
          <w:tcPr/>
          <w:p>
            <w:pPr>
              <w:pStyle w:val="Compact"/>
              <w:jc w:val="left"/>
            </w:pPr>
            <w:r>
              <w:rPr>
                <w:sz w:val="18"/>
              </w:rPr>
              <w:t xml:space="preserve">Separate folders, IP scan gate, human review</w:t>
            </w:r>
          </w:p>
        </w:tc>
      </w:tr>
      <w:tr>
        <w:tc>
          <w:tcPr/>
          <w:p>
            <w:pPr>
              <w:pStyle w:val="Compact"/>
              <w:jc w:val="left"/>
            </w:pPr>
            <w:r>
              <w:rPr>
                <w:sz w:val="18"/>
              </w:rPr>
              <w:t xml:space="preserve">Sensitive data (SSN, banking) mishandled</w:t>
            </w:r>
          </w:p>
        </w:tc>
        <w:tc>
          <w:tcPr/>
          <w:p>
            <w:pPr>
              <w:pStyle w:val="Compact"/>
              <w:jc w:val="left"/>
            </w:pPr>
            <w:r>
              <w:rPr>
                <w:sz w:val="18"/>
              </w:rPr>
              <w:t xml:space="preserve">§12.3 controls, legal review before collection</w:t>
            </w:r>
          </w:p>
        </w:tc>
      </w:tr>
      <w:tr>
        <w:tc>
          <w:tcPr/>
          <w:p>
            <w:pPr>
              <w:pStyle w:val="Compact"/>
              <w:jc w:val="left"/>
            </w:pPr>
            <w:r>
              <w:rPr>
                <w:sz w:val="18"/>
              </w:rPr>
              <w:t xml:space="preserve">Unverified capability claims on public pages</w:t>
            </w:r>
          </w:p>
        </w:tc>
        <w:tc>
          <w:tcPr/>
          <w:p>
            <w:pPr>
              <w:pStyle w:val="Compact"/>
              <w:jc w:val="left"/>
            </w:pPr>
            <w:r>
              <w:rPr>
                <w:sz w:val="18"/>
              </w:rPr>
              <w:t xml:space="preserve">Copy limited to verified capabilities; FAQ review before release</w:t>
            </w:r>
          </w:p>
        </w:tc>
      </w:tr>
      <w:tr>
        <w:tc>
          <w:tcPr/>
          <w:p>
            <w:pPr>
              <w:pStyle w:val="Compact"/>
              <w:jc w:val="left"/>
            </w:pPr>
            <w:r>
              <w:rPr>
                <w:sz w:val="18"/>
              </w:rPr>
              <w:t xml:space="preserve">Prototype state mistaken for production</w:t>
            </w:r>
          </w:p>
        </w:tc>
        <w:tc>
          <w:tcPr/>
          <w:p>
            <w:pPr>
              <w:pStyle w:val="Compact"/>
              <w:jc w:val="left"/>
            </w:pPr>
            <w:r>
              <w:rPr>
                <w:sz w:val="18"/>
              </w:rPr>
              <w:t xml:space="preserve">Prototype stays in reference/ and is labelled</w:t>
            </w:r>
          </w:p>
        </w:tc>
      </w:tr>
    </w:tbl>
    <w:bookmarkEnd w:id="63"/>
    <w:bookmarkStart w:id="64" w:name="open-questions"/>
    <w:p>
      <w:pPr>
        <w:pStyle w:val="Heading1"/>
      </w:pPr>
      <w:r>
        <w:t xml:space="preserve">20. Open questions</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Layout w:type="fixed"/>
        <w:tblW w:w="9900" w:type="dxa"/>
      </w:tblPr>
      <w:tblGrid>
        <w:gridCol w:w="1329"/>
        <w:gridCol w:w="7388"/>
        <w:gridCol w:w="1182"/>
      </w:tblGrid>
      <w:tr>
        <w:trPr>
          <w:tblHeader w:val="true"/>
        </w:trPr>
        <w:tc>
          <w:tcPr>
            <w:tcW w:w="1329" w:type="dxa"/>
            <w:shd w:val="clear" w:fill="092448"/>
          </w:tcPr>
          <w:p>
            <w:pPr>
              <w:pStyle w:val="Compact"/>
              <w:jc w:val="left"/>
            </w:pPr>
            <w:r>
              <w:rPr>
                <w:b/>
                <w:color w:val="FFFFFF"/>
                <w:sz w:val="18"/>
              </w:rPr>
              <w:t xml:space="preserve">ID</w:t>
            </w:r>
          </w:p>
        </w:tc>
        <w:tc>
          <w:tcPr>
            <w:tcW w:w="7388" w:type="dxa"/>
            <w:shd w:val="clear" w:fill="092448"/>
          </w:tcPr>
          <w:p>
            <w:pPr>
              <w:pStyle w:val="Compact"/>
              <w:jc w:val="left"/>
            </w:pPr>
            <w:r>
              <w:rPr>
                <w:b/>
                <w:color w:val="FFFFFF"/>
                <w:sz w:val="18"/>
              </w:rPr>
              <w:t xml:space="preserve">Question</w:t>
            </w:r>
          </w:p>
        </w:tc>
        <w:tc>
          <w:tcPr>
            <w:tcW w:w="1182" w:type="dxa"/>
            <w:shd w:val="clear" w:fill="092448"/>
          </w:tcPr>
          <w:p>
            <w:pPr>
              <w:pStyle w:val="Compact"/>
              <w:jc w:val="left"/>
            </w:pPr>
            <w:r>
              <w:rPr>
                <w:b/>
                <w:color w:val="FFFFFF"/>
                <w:sz w:val="18"/>
              </w:rPr>
              <w:t xml:space="preserve">Owner</w:t>
            </w:r>
          </w:p>
        </w:tc>
      </w:tr>
      <w:tr>
        <w:tc>
          <w:tcPr>
            <w:tcW w:w="1329" w:type="dxa"/>
          </w:tcPr>
          <w:p>
            <w:pPr>
              <w:pStyle w:val="Compact"/>
              <w:jc w:val="left"/>
            </w:pPr>
            <w:r>
              <w:rPr>
                <w:sz w:val="18"/>
              </w:rPr>
              <w:t xml:space="preserve">OQ-01</w:t>
            </w:r>
          </w:p>
        </w:tc>
        <w:tc>
          <w:tcPr>
            <w:tcW w:w="7388" w:type="dxa"/>
          </w:tcPr>
          <w:p>
            <w:pPr>
              <w:pStyle w:val="Compact"/>
              <w:jc w:val="left"/>
            </w:pPr>
            <w:r>
              <w:rPr>
                <w:sz w:val="18"/>
              </w:rPr>
              <w:t xml:space="preserve">Confirm R1 = driver–dispatcher only vs. the master four-app MVP.</w:t>
            </w:r>
          </w:p>
        </w:tc>
        <w:tc>
          <w:tcPr>
            <w:tcW w:w="1182" w:type="dxa"/>
          </w:tcPr>
          <w:p>
            <w:pPr>
              <w:pStyle w:val="Compact"/>
              <w:jc w:val="left"/>
            </w:pPr>
            <w:r>
              <w:rPr>
                <w:sz w:val="18"/>
              </w:rPr>
              <w:t xml:space="preserve">Product</w:t>
            </w:r>
          </w:p>
        </w:tc>
      </w:tr>
      <w:tr>
        <w:tc>
          <w:tcPr>
            <w:tcW w:w="1329" w:type="dxa"/>
          </w:tcPr>
          <w:p>
            <w:pPr>
              <w:pStyle w:val="Compact"/>
              <w:jc w:val="left"/>
            </w:pPr>
            <w:r>
              <w:rPr>
                <w:sz w:val="18"/>
              </w:rPr>
              <w:t xml:space="preserve">OQ-02</w:t>
            </w:r>
          </w:p>
        </w:tc>
        <w:tc>
          <w:tcPr>
            <w:tcW w:w="7388" w:type="dxa"/>
          </w:tcPr>
          <w:p>
            <w:pPr>
              <w:pStyle w:val="Compact"/>
              <w:jc w:val="left"/>
            </w:pPr>
            <w:r>
              <w:rPr>
                <w:sz w:val="18"/>
              </w:rPr>
              <w:t xml:space="preserve">Driver-owned vehicles: one settlement or two?</w:t>
            </w:r>
          </w:p>
        </w:tc>
        <w:tc>
          <w:tcPr>
            <w:tcW w:w="1182" w:type="dxa"/>
          </w:tcPr>
          <w:p>
            <w:pPr>
              <w:pStyle w:val="Compact"/>
              <w:jc w:val="left"/>
            </w:pPr>
            <w:r>
              <w:rPr>
                <w:sz w:val="18"/>
              </w:rPr>
              <w:t xml:space="preserve">Finance / Product</w:t>
            </w:r>
          </w:p>
        </w:tc>
      </w:tr>
      <w:tr>
        <w:tc>
          <w:tcPr>
            <w:tcW w:w="1329" w:type="dxa"/>
          </w:tcPr>
          <w:p>
            <w:pPr>
              <w:pStyle w:val="Compact"/>
              <w:jc w:val="left"/>
            </w:pPr>
            <w:r>
              <w:rPr>
                <w:sz w:val="18"/>
              </w:rPr>
              <w:t xml:space="preserve">OQ-03</w:t>
            </w:r>
          </w:p>
        </w:tc>
        <w:tc>
          <w:tcPr>
            <w:tcW w:w="7388" w:type="dxa"/>
          </w:tcPr>
          <w:p>
            <w:pPr>
              <w:pStyle w:val="Compact"/>
              <w:jc w:val="left"/>
            </w:pPr>
            <w:r>
              <w:rPr>
                <w:sz w:val="18"/>
              </w:rPr>
              <w:t xml:space="preserve">Are owners given a portal now or later (v1 phase 2)?</w:t>
            </w:r>
          </w:p>
        </w:tc>
        <w:tc>
          <w:tcPr>
            <w:tcW w:w="1182" w:type="dxa"/>
          </w:tcPr>
          <w:p>
            <w:pPr>
              <w:pStyle w:val="Compact"/>
              <w:jc w:val="left"/>
            </w:pPr>
            <w:r>
              <w:rPr>
                <w:sz w:val="18"/>
              </w:rPr>
              <w:t xml:space="preserve">Product</w:t>
            </w:r>
          </w:p>
        </w:tc>
      </w:tr>
      <w:tr>
        <w:tc>
          <w:tcPr>
            <w:tcW w:w="1329" w:type="dxa"/>
          </w:tcPr>
          <w:p>
            <w:pPr>
              <w:pStyle w:val="Compact"/>
              <w:jc w:val="left"/>
            </w:pPr>
            <w:r>
              <w:rPr>
                <w:sz w:val="18"/>
              </w:rPr>
              <w:t xml:space="preserve">OQ-04</w:t>
            </w:r>
          </w:p>
        </w:tc>
        <w:tc>
          <w:tcPr>
            <w:tcW w:w="7388" w:type="dxa"/>
          </w:tcPr>
          <w:p>
            <w:pPr>
              <w:pStyle w:val="Compact"/>
              <w:jc w:val="left"/>
            </w:pPr>
            <w:r>
              <w:rPr>
                <w:sz w:val="18"/>
              </w:rPr>
              <w:t xml:space="preserve">Pay-week cut-off default (proposed Wednesday of the following week).</w:t>
            </w:r>
          </w:p>
        </w:tc>
        <w:tc>
          <w:tcPr>
            <w:tcW w:w="1182" w:type="dxa"/>
          </w:tcPr>
          <w:p>
            <w:pPr>
              <w:pStyle w:val="Compact"/>
              <w:jc w:val="left"/>
            </w:pPr>
            <w:r>
              <w:rPr>
                <w:sz w:val="18"/>
              </w:rPr>
              <w:t xml:space="preserve">Finance</w:t>
            </w:r>
          </w:p>
        </w:tc>
      </w:tr>
      <w:tr>
        <w:tc>
          <w:tcPr>
            <w:tcW w:w="1329" w:type="dxa"/>
          </w:tcPr>
          <w:p>
            <w:pPr>
              <w:pStyle w:val="Compact"/>
              <w:jc w:val="left"/>
            </w:pPr>
            <w:r>
              <w:rPr>
                <w:sz w:val="18"/>
              </w:rPr>
              <w:t xml:space="preserve">OQ-05</w:t>
            </w:r>
          </w:p>
        </w:tc>
        <w:tc>
          <w:tcPr>
            <w:tcW w:w="7388" w:type="dxa"/>
          </w:tcPr>
          <w:p>
            <w:pPr>
              <w:pStyle w:val="Compact"/>
              <w:jc w:val="left"/>
            </w:pPr>
            <w:r>
              <w:rPr>
                <w:sz w:val="18"/>
              </w:rPr>
              <w:t xml:space="preserve">Invoice number prefix per carrier.</w:t>
            </w:r>
          </w:p>
        </w:tc>
        <w:tc>
          <w:tcPr>
            <w:tcW w:w="1182" w:type="dxa"/>
          </w:tcPr>
          <w:p>
            <w:pPr>
              <w:pStyle w:val="Compact"/>
              <w:jc w:val="left"/>
            </w:pPr>
            <w:r>
              <w:rPr>
                <w:sz w:val="18"/>
              </w:rPr>
              <w:t xml:space="preserve">Finance</w:t>
            </w:r>
          </w:p>
        </w:tc>
      </w:tr>
      <w:tr>
        <w:tc>
          <w:tcPr>
            <w:tcW w:w="1329" w:type="dxa"/>
          </w:tcPr>
          <w:p>
            <w:pPr>
              <w:pStyle w:val="Compact"/>
              <w:jc w:val="left"/>
            </w:pPr>
            <w:r>
              <w:rPr>
                <w:sz w:val="18"/>
              </w:rPr>
              <w:t xml:space="preserve">OQ-06</w:t>
            </w:r>
          </w:p>
        </w:tc>
        <w:tc>
          <w:tcPr>
            <w:tcW w:w="7388" w:type="dxa"/>
          </w:tcPr>
          <w:p>
            <w:pPr>
              <w:pStyle w:val="Compact"/>
              <w:jc w:val="left"/>
            </w:pPr>
            <w:r>
              <w:rPr>
                <w:sz w:val="18"/>
              </w:rPr>
              <w:t xml:space="preserve">Is in-app bank payment in scope, and for which release?</w:t>
            </w:r>
          </w:p>
        </w:tc>
        <w:tc>
          <w:tcPr>
            <w:tcW w:w="1182" w:type="dxa"/>
          </w:tcPr>
          <w:p>
            <w:pPr>
              <w:pStyle w:val="Compact"/>
              <w:jc w:val="left"/>
            </w:pPr>
            <w:r>
              <w:rPr>
                <w:sz w:val="18"/>
              </w:rPr>
              <w:t xml:space="preserve">Product</w:t>
            </w:r>
          </w:p>
        </w:tc>
      </w:tr>
      <w:tr>
        <w:tc>
          <w:tcPr>
            <w:tcW w:w="1329" w:type="dxa"/>
          </w:tcPr>
          <w:p>
            <w:pPr>
              <w:pStyle w:val="Compact"/>
              <w:jc w:val="left"/>
            </w:pPr>
            <w:r>
              <w:rPr>
                <w:sz w:val="18"/>
              </w:rPr>
              <w:t xml:space="preserve">OQ-07</w:t>
            </w:r>
          </w:p>
        </w:tc>
        <w:tc>
          <w:tcPr>
            <w:tcW w:w="7388" w:type="dxa"/>
          </w:tcPr>
          <w:p>
            <w:pPr>
              <w:pStyle w:val="Compact"/>
              <w:jc w:val="left"/>
            </w:pPr>
            <w:r>
              <w:rPr>
                <w:sz w:val="18"/>
              </w:rPr>
              <w:t xml:space="preserve">Public pricing and approved commercial copy for the FAQ.</w:t>
            </w:r>
          </w:p>
        </w:tc>
        <w:tc>
          <w:tcPr>
            <w:tcW w:w="1182" w:type="dxa"/>
          </w:tcPr>
          <w:p>
            <w:pPr>
              <w:pStyle w:val="Compact"/>
              <w:jc w:val="left"/>
            </w:pPr>
            <w:r>
              <w:rPr>
                <w:sz w:val="18"/>
              </w:rPr>
              <w:t xml:space="preserve">Commercial</w:t>
            </w:r>
          </w:p>
        </w:tc>
      </w:tr>
      <w:tr>
        <w:tc>
          <w:tcPr>
            <w:tcW w:w="1329" w:type="dxa"/>
          </w:tcPr>
          <w:p>
            <w:pPr>
              <w:pStyle w:val="Compact"/>
              <w:jc w:val="left"/>
            </w:pPr>
            <w:r>
              <w:rPr>
                <w:sz w:val="18"/>
              </w:rPr>
              <w:t xml:space="preserve">OQ-08</w:t>
            </w:r>
          </w:p>
        </w:tc>
        <w:tc>
          <w:tcPr>
            <w:tcW w:w="7388" w:type="dxa"/>
          </w:tcPr>
          <w:p>
            <w:pPr>
              <w:pStyle w:val="Compact"/>
              <w:jc w:val="left"/>
            </w:pPr>
            <w:r>
              <w:rPr>
                <w:sz w:val="18"/>
              </w:rPr>
              <w:t xml:space="preserve">Retention, encryption and legal basis for SSN/ID/bank data.</w:t>
            </w:r>
          </w:p>
        </w:tc>
        <w:tc>
          <w:tcPr>
            <w:tcW w:w="1182" w:type="dxa"/>
          </w:tcPr>
          <w:p>
            <w:pPr>
              <w:pStyle w:val="Compact"/>
              <w:jc w:val="left"/>
            </w:pPr>
            <w:r>
              <w:rPr>
                <w:sz w:val="18"/>
              </w:rPr>
              <w:t xml:space="preserve">Legal / Security</w:t>
            </w:r>
          </w:p>
        </w:tc>
      </w:tr>
      <w:tr>
        <w:tc>
          <w:tcPr>
            <w:tcW w:w="1329" w:type="dxa"/>
          </w:tcPr>
          <w:p>
            <w:pPr>
              <w:pStyle w:val="Compact"/>
              <w:jc w:val="left"/>
            </w:pPr>
            <w:r>
              <w:rPr>
                <w:sz w:val="18"/>
              </w:rPr>
              <w:t xml:space="preserve">OQ-09</w:t>
            </w:r>
          </w:p>
        </w:tc>
        <w:tc>
          <w:tcPr>
            <w:tcW w:w="7388" w:type="dxa"/>
          </w:tcPr>
          <w:p>
            <w:pPr>
              <w:pStyle w:val="Compact"/>
              <w:jc w:val="left"/>
            </w:pPr>
            <w:r>
              <w:rPr>
                <w:sz w:val="18"/>
              </w:rPr>
              <w:t xml:space="preserve">Uptime target and hosting region strategy.</w:t>
            </w:r>
          </w:p>
        </w:tc>
        <w:tc>
          <w:tcPr>
            <w:tcW w:w="1182" w:type="dxa"/>
          </w:tcPr>
          <w:p>
            <w:pPr>
              <w:pStyle w:val="Compact"/>
              <w:jc w:val="left"/>
            </w:pPr>
            <w:r>
              <w:rPr>
                <w:sz w:val="18"/>
              </w:rPr>
              <w:t xml:space="preserve">Engineering</w:t>
            </w:r>
          </w:p>
        </w:tc>
      </w:tr>
      <w:tr>
        <w:tc>
          <w:tcPr>
            <w:tcW w:w="1329" w:type="dxa"/>
          </w:tcPr>
          <w:p>
            <w:pPr>
              <w:pStyle w:val="Compact"/>
              <w:jc w:val="left"/>
            </w:pPr>
            <w:r>
              <w:rPr>
                <w:sz w:val="18"/>
              </w:rPr>
              <w:t xml:space="preserve">OQ-10</w:t>
            </w:r>
          </w:p>
        </w:tc>
        <w:tc>
          <w:tcPr>
            <w:tcW w:w="7388" w:type="dxa"/>
          </w:tcPr>
          <w:p>
            <w:pPr>
              <w:pStyle w:val="Compact"/>
              <w:jc w:val="left"/>
            </w:pPr>
            <w:r>
              <w:rPr>
                <w:sz w:val="18"/>
              </w:rPr>
              <w:t xml:space="preserve">Approved public contact email, social channels, privacy policy and terms.</w:t>
            </w:r>
          </w:p>
        </w:tc>
        <w:tc>
          <w:tcPr>
            <w:tcW w:w="1182" w:type="dxa"/>
          </w:tcPr>
          <w:p>
            <w:pPr>
              <w:pStyle w:val="Compact"/>
              <w:jc w:val="left"/>
            </w:pPr>
            <w:r>
              <w:rPr>
                <w:sz w:val="18"/>
              </w:rPr>
              <w:t xml:space="preserve">Legal / Marketing</w:t>
            </w:r>
          </w:p>
        </w:tc>
      </w:tr>
      <w:tr>
        <w:tc>
          <w:tcPr>
            <w:tcW w:w="1329" w:type="dxa"/>
          </w:tcPr>
          <w:p>
            <w:pPr>
              <w:pStyle w:val="Compact"/>
              <w:jc w:val="left"/>
            </w:pPr>
            <w:r>
              <w:rPr>
                <w:sz w:val="18"/>
              </w:rPr>
              <w:t xml:space="preserve">OQ-11</w:t>
            </w:r>
          </w:p>
        </w:tc>
        <w:tc>
          <w:tcPr>
            <w:tcW w:w="7388" w:type="dxa"/>
          </w:tcPr>
          <w:p>
            <w:pPr>
              <w:pStyle w:val="Compact"/>
              <w:jc w:val="left"/>
            </w:pPr>
            <w:r>
              <w:rPr>
                <w:sz w:val="18"/>
              </w:rPr>
              <w:t xml:space="preserve">Native vs. cross-platform driver app (ADR-002).</w:t>
            </w:r>
          </w:p>
        </w:tc>
        <w:tc>
          <w:tcPr>
            <w:tcW w:w="1182" w:type="dxa"/>
          </w:tcPr>
          <w:p>
            <w:pPr>
              <w:pStyle w:val="Compact"/>
              <w:jc w:val="left"/>
            </w:pPr>
            <w:r>
              <w:rPr>
                <w:sz w:val="18"/>
              </w:rPr>
              <w:t xml:space="preserve">Engineering</w:t>
            </w:r>
          </w:p>
        </w:tc>
      </w:tr>
      <w:tr>
        <w:tc>
          <w:tcPr>
            <w:tcW w:w="1329" w:type="dxa"/>
          </w:tcPr>
          <w:p>
            <w:pPr>
              <w:pStyle w:val="Compact"/>
              <w:jc w:val="left"/>
            </w:pPr>
            <w:r>
              <w:rPr>
                <w:sz w:val="18"/>
              </w:rPr>
              <w:t xml:space="preserve">OQ-12</w:t>
            </w:r>
          </w:p>
        </w:tc>
        <w:tc>
          <w:tcPr>
            <w:tcW w:w="7388" w:type="dxa"/>
          </w:tcPr>
          <w:p>
            <w:pPr>
              <w:pStyle w:val="Compact"/>
              <w:jc w:val="left"/>
            </w:pPr>
            <w:r>
              <w:rPr>
                <w:sz w:val="18"/>
              </w:rPr>
              <w:t xml:space="preserve">Target audience emphasis of the public site: shippers (per directive copy) vs. carriers and drivers (per product scope). Current build serves shippers on the page and routes carriers, fleets and drivers via Sign In.</w:t>
            </w:r>
          </w:p>
        </w:tc>
        <w:tc>
          <w:tcPr>
            <w:tcW w:w="1182" w:type="dxa"/>
          </w:tcPr>
          <w:p>
            <w:pPr>
              <w:pStyle w:val="Compact"/>
              <w:jc w:val="left"/>
            </w:pPr>
            <w:r>
              <w:rPr>
                <w:sz w:val="18"/>
              </w:rPr>
              <w:t xml:space="preserve">Product / Marketing</w:t>
            </w:r>
          </w:p>
        </w:tc>
      </w:tr>
    </w:tbl>
    <w:bookmarkEnd w:id="64"/>
    <w:bookmarkStart w:id="65" w:name="appendix-a-traceability"/>
    <w:p>
      <w:pPr>
        <w:pStyle w:val="Heading1"/>
      </w:pPr>
      <w:r>
        <w:t xml:space="preserve">Appendix A — Traceability</w:t>
      </w:r>
    </w:p>
    <w:tbl>
      <w:tblPr>
        <w:tblStyle w:val="Table"/>
        <w:tblLook w:firstRow="1" w:lastRow="0" w:firstColumn="0" w:lastColumn="0" w:noHBand="0" w:noVBand="0" w:val="0020"/>
        <w:jc w:val="start"/>
        <w:tblBorders>
          <w:top w:val="single" w:sz="4" w:color="B8C4D6"/>
          <w:left w:val="single" w:sz="4" w:color="B8C4D6"/>
          <w:bottom w:val="single" w:sz="4" w:color="B8C4D6"/>
          <w:right w:val="single" w:sz="4" w:color="B8C4D6"/>
          <w:insideH w:val="single" w:sz="4" w:color="B8C4D6"/>
          <w:insideV w:val="single" w:sz="4" w:color="B8C4D6"/>
        </w:tblBorders>
        <w:tblCellMar>
          <w:top w:w="50" w:type="dxa"/>
          <w:bottom w:w="50" w:type="dxa"/>
          <w:left w:w="90" w:type="dxa"/>
          <w:right w:w="90" w:type="dxa"/>
        </w:tblCellMar>
        <w:tblW w:w="5000" w:type="pct"/>
        <w:tblLayout w:type="autofit"/>
      </w:tblPr>
      <w:tr>
        <w:trPr>
          <w:tblHeader w:val="true"/>
        </w:trPr>
        <w:tc>
          <w:tcPr>
            <w:shd w:val="clear" w:fill="092448"/>
          </w:tcPr>
          <w:p>
            <w:pPr>
              <w:pStyle w:val="Compact"/>
              <w:jc w:val="left"/>
            </w:pPr>
            <w:r>
              <w:rPr>
                <w:b/>
                <w:color w:val="FFFFFF"/>
                <w:sz w:val="18"/>
              </w:rPr>
              <w:t xml:space="preserve">Source</w:t>
            </w:r>
          </w:p>
        </w:tc>
        <w:tc>
          <w:tcPr>
            <w:shd w:val="clear" w:fill="092448"/>
          </w:tcPr>
          <w:p>
            <w:pPr>
              <w:pStyle w:val="Compact"/>
              <w:jc w:val="left"/>
            </w:pPr>
            <w:r>
              <w:rPr>
                <w:b/>
                <w:color w:val="FFFFFF"/>
                <w:sz w:val="18"/>
              </w:rPr>
              <w:t xml:space="preserve">Where it lands</w:t>
            </w:r>
          </w:p>
        </w:tc>
      </w:tr>
      <w:tr>
        <w:tc>
          <w:tcPr/>
          <w:p>
            <w:pPr>
              <w:pStyle w:val="Compact"/>
              <w:jc w:val="left"/>
            </w:pPr>
            <w:r>
              <w:rPr>
                <w:sz w:val="18"/>
              </w:rPr>
              <w:t xml:space="preserve">Directive §1 information boundary</w:t>
            </w:r>
          </w:p>
        </w:tc>
        <w:tc>
          <w:tcPr/>
          <w:p>
            <w:pPr>
              <w:pStyle w:val="Compact"/>
              <w:jc w:val="left"/>
            </w:pPr>
            <w:r>
              <w:rPr>
                <w:sz w:val="18"/>
              </w:rPr>
              <w:t xml:space="preserve">§13.1, IP scan, docs/IP_DISCLOSURE_REVIEW.md</w:t>
            </w:r>
          </w:p>
        </w:tc>
      </w:tr>
      <w:tr>
        <w:tc>
          <w:tcPr/>
          <w:p>
            <w:pPr>
              <w:pStyle w:val="Compact"/>
              <w:jc w:val="left"/>
            </w:pPr>
            <w:r>
              <w:rPr>
                <w:sz w:val="18"/>
              </w:rPr>
              <w:t xml:space="preserve">Directive §3 structure</w:t>
            </w:r>
          </w:p>
        </w:tc>
        <w:tc>
          <w:tcPr/>
          <w:p>
            <w:pPr>
              <w:pStyle w:val="Compact"/>
              <w:jc w:val="left"/>
            </w:pPr>
            <w:r>
              <w:rPr>
                <w:sz w:val="18"/>
              </w:rPr>
              <w:t xml:space="preserve">§13.2, site/public/index.html</w:t>
            </w:r>
          </w:p>
        </w:tc>
      </w:tr>
      <w:tr>
        <w:tc>
          <w:tcPr/>
          <w:p>
            <w:pPr>
              <w:pStyle w:val="Compact"/>
              <w:jc w:val="left"/>
            </w:pPr>
            <w:r>
              <w:rPr>
                <w:sz w:val="18"/>
              </w:rPr>
              <w:t xml:space="preserve">Directive §4 conversion</w:t>
            </w:r>
          </w:p>
        </w:tc>
        <w:tc>
          <w:tcPr/>
          <w:p>
            <w:pPr>
              <w:pStyle w:val="Compact"/>
              <w:jc w:val="left"/>
            </w:pPr>
            <w:r>
              <w:rPr>
                <w:sz w:val="18"/>
              </w:rPr>
              <w:t xml:space="preserve">§13.3, early-access.html, site.js</w:t>
            </w:r>
          </w:p>
        </w:tc>
      </w:tr>
      <w:tr>
        <w:tc>
          <w:tcPr/>
          <w:p>
            <w:pPr>
              <w:pStyle w:val="Compact"/>
              <w:jc w:val="left"/>
            </w:pPr>
            <w:r>
              <w:rPr>
                <w:sz w:val="18"/>
              </w:rPr>
              <w:t xml:space="preserve">Directive §5 brand</w:t>
            </w:r>
          </w:p>
        </w:tc>
        <w:tc>
          <w:tcPr/>
          <w:p>
            <w:pPr>
              <w:pStyle w:val="Compact"/>
              <w:jc w:val="left"/>
            </w:pPr>
            <w:r>
              <w:rPr>
                <w:sz w:val="18"/>
              </w:rPr>
              <w:t xml:space="preserve">Brand tokens, styles.css</w:t>
            </w:r>
          </w:p>
        </w:tc>
      </w:tr>
      <w:tr>
        <w:tc>
          <w:tcPr/>
          <w:p>
            <w:pPr>
              <w:pStyle w:val="Compact"/>
              <w:jc w:val="left"/>
            </w:pPr>
            <w:r>
              <w:rPr>
                <w:sz w:val="18"/>
              </w:rPr>
              <w:t xml:space="preserve">Directive §6 deliverables</w:t>
            </w:r>
          </w:p>
        </w:tc>
        <w:tc>
          <w:tcPr/>
          <w:p>
            <w:pPr>
              <w:pStyle w:val="Compact"/>
              <w:jc w:val="left"/>
            </w:pPr>
            <w:r>
              <w:rPr>
                <w:sz w:val="18"/>
              </w:rPr>
              <w:t xml:space="preserve">See README</w:t>
            </w:r>
            <w:r>
              <w:rPr>
                <w:sz w:val="18"/>
              </w:rPr>
              <w:t xml:space="preserve"> </w:t>
            </w:r>
            <w:r>
              <w:rPr>
                <w:sz w:val="18"/>
              </w:rPr>
              <w:t xml:space="preserve">“</w:t>
            </w:r>
            <w:r>
              <w:rPr>
                <w:sz w:val="18"/>
              </w:rPr>
              <w:t xml:space="preserve">Deliverables map</w:t>
            </w:r>
            <w:r>
              <w:rPr>
                <w:sz w:val="18"/>
              </w:rPr>
              <w:t xml:space="preserve">”</w:t>
            </w:r>
          </w:p>
        </w:tc>
      </w:tr>
      <w:tr>
        <w:tc>
          <w:tcPr/>
          <w:p>
            <w:pPr>
              <w:pStyle w:val="Compact"/>
              <w:jc w:val="left"/>
            </w:pPr>
            <w:r>
              <w:rPr>
                <w:sz w:val="18"/>
              </w:rPr>
              <w:t xml:space="preserve">Master requirements §4–12</w:t>
            </w:r>
          </w:p>
        </w:tc>
        <w:tc>
          <w:tcPr/>
          <w:p>
            <w:pPr>
              <w:pStyle w:val="Compact"/>
              <w:jc w:val="left"/>
            </w:pPr>
            <w:r>
              <w:rPr>
                <w:sz w:val="18"/>
              </w:rPr>
              <w:t xml:space="preserve">§7.1</w:t>
            </w:r>
          </w:p>
        </w:tc>
      </w:tr>
      <w:tr>
        <w:tc>
          <w:tcPr/>
          <w:p>
            <w:pPr>
              <w:pStyle w:val="Compact"/>
              <w:jc w:val="left"/>
            </w:pPr>
            <w:r>
              <w:rPr>
                <w:sz w:val="18"/>
              </w:rPr>
              <w:t xml:space="preserve">Master requirements §13–26</w:t>
            </w:r>
          </w:p>
        </w:tc>
        <w:tc>
          <w:tcPr/>
          <w:p>
            <w:pPr>
              <w:pStyle w:val="Compact"/>
              <w:jc w:val="left"/>
            </w:pPr>
            <w:r>
              <w:rPr>
                <w:sz w:val="18"/>
              </w:rPr>
              <w:t xml:space="preserve">§7.2</w:t>
            </w:r>
          </w:p>
        </w:tc>
      </w:tr>
      <w:tr>
        <w:tc>
          <w:tcPr/>
          <w:p>
            <w:pPr>
              <w:pStyle w:val="Compact"/>
              <w:jc w:val="left"/>
            </w:pPr>
            <w:r>
              <w:rPr>
                <w:sz w:val="18"/>
              </w:rPr>
              <w:t xml:space="preserve">Master requirements §27–35</w:t>
            </w:r>
          </w:p>
        </w:tc>
        <w:tc>
          <w:tcPr/>
          <w:p>
            <w:pPr>
              <w:pStyle w:val="Compact"/>
              <w:jc w:val="left"/>
            </w:pPr>
            <w:r>
              <w:rPr>
                <w:sz w:val="18"/>
              </w:rPr>
              <w:t xml:space="preserve">§7.3</w:t>
            </w:r>
          </w:p>
        </w:tc>
      </w:tr>
      <w:tr>
        <w:tc>
          <w:tcPr/>
          <w:p>
            <w:pPr>
              <w:pStyle w:val="Compact"/>
              <w:jc w:val="left"/>
            </w:pPr>
            <w:r>
              <w:rPr>
                <w:sz w:val="18"/>
              </w:rPr>
              <w:t xml:space="preserve">Master requirements §36–42</w:t>
            </w:r>
          </w:p>
        </w:tc>
        <w:tc>
          <w:tcPr/>
          <w:p>
            <w:pPr>
              <w:pStyle w:val="Compact"/>
              <w:jc w:val="left"/>
            </w:pPr>
            <w:r>
              <w:rPr>
                <w:sz w:val="18"/>
              </w:rPr>
              <w:t xml:space="preserve">§7.4</w:t>
            </w:r>
          </w:p>
        </w:tc>
      </w:tr>
      <w:tr>
        <w:tc>
          <w:tcPr/>
          <w:p>
            <w:pPr>
              <w:pStyle w:val="Compact"/>
              <w:jc w:val="left"/>
            </w:pPr>
            <w:r>
              <w:rPr>
                <w:sz w:val="18"/>
              </w:rPr>
              <w:t xml:space="preserve">Master requirements §43–48</w:t>
            </w:r>
          </w:p>
        </w:tc>
        <w:tc>
          <w:tcPr/>
          <w:p>
            <w:pPr>
              <w:pStyle w:val="Compact"/>
              <w:jc w:val="left"/>
            </w:pPr>
            <w:r>
              <w:rPr>
                <w:sz w:val="18"/>
              </w:rPr>
              <w:t xml:space="preserve">§5, §8, §9, §10</w:t>
            </w:r>
          </w:p>
        </w:tc>
      </w:tr>
      <w:tr>
        <w:tc>
          <w:tcPr/>
          <w:p>
            <w:pPr>
              <w:pStyle w:val="Compact"/>
              <w:jc w:val="left"/>
            </w:pPr>
            <w:r>
              <w:rPr>
                <w:sz w:val="18"/>
              </w:rPr>
              <w:t xml:space="preserve">Make refinements (~100)</w:t>
            </w:r>
          </w:p>
        </w:tc>
        <w:tc>
          <w:tcPr/>
          <w:p>
            <w:pPr>
              <w:pStyle w:val="Compact"/>
              <w:jc w:val="left"/>
            </w:pPr>
            <w:r>
              <w:rPr>
                <w:sz w:val="18"/>
              </w:rPr>
              <w:t xml:space="preserve">FR-DRV-007 to 018, FR-CAR-002 to 025</w:t>
            </w:r>
          </w:p>
        </w:tc>
      </w:tr>
      <w:tr>
        <w:tc>
          <w:tcPr/>
          <w:p>
            <w:pPr>
              <w:pStyle w:val="Compact"/>
              <w:jc w:val="left"/>
            </w:pPr>
            <w:r>
              <w:rPr>
                <w:sz w:val="18"/>
              </w:rPr>
              <w:t xml:space="preserve">Rebuild Documentation</w:t>
            </w:r>
          </w:p>
        </w:tc>
        <w:tc>
          <w:tcPr/>
          <w:p>
            <w:pPr>
              <w:pStyle w:val="Compact"/>
              <w:jc w:val="left"/>
            </w:pPr>
            <w:r>
              <w:rPr>
                <w:sz w:val="18"/>
              </w:rPr>
              <w:t xml:space="preserve">BR-013 to BR-020, §12, §15, §17</w:t>
            </w:r>
          </w:p>
        </w:tc>
      </w:tr>
    </w:tbl>
    <w:bookmarkEnd w:id="65"/>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0"/>
    </w:rPr>
  </w:style>
  <w:style w:styleId="BodyText" w:type="paragraph">
    <w:name w:val="Body Text"/>
    <w:basedOn w:val="Normal"/>
    <w:link w:val="BodyTextChar"/>
    <w:pPr>
      <w:spacing w:after="180" w:before="180"/>
    </w:pPr>
    <w:qFormat/>
    <w:rPr>
      <w:rFonts w:ascii="Calibri" w:hAnsi="Calibri" w:eastAsia="Calibri"/>
      <w:sz w:val="20"/>
    </w:rPr>
  </w:style>
  <w:style w:customStyle="1" w:styleId="FirstParagraph" w:type="paragraph">
    <w:name w:val="First Paragraph"/>
    <w:basedOn w:val="BodyText"/>
    <w:next w:val="BodyText"/>
    <w:qFormat/>
    <w:rPr>
      <w:rFonts w:ascii="Calibri" w:hAnsi="Calibri" w:eastAsia="Calibri"/>
      <w:sz w:val="20"/>
    </w:rPr>
  </w:style>
  <w:style w:customStyle="1" w:styleId="Compact" w:type="paragraph">
    <w:name w:val="Compact"/>
    <w:basedOn w:val="BodyText"/>
    <w:qFormat/>
    <w:pPr>
      <w:spacing w:after="36" w:before="36"/>
    </w:pPr>
    <w:rPr>
      <w:rFonts w:ascii="Calibri" w:hAnsi="Calibri" w:eastAsia="Calibri"/>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Calibri"/>
      <w:b/>
      <w:bCs/>
      <w:color w:val="092448"/>
      <w:sz w:val="52"/>
      <w:szCs w:val="36"/>
    </w:rPr>
  </w:style>
  <w:style w:styleId="Subtitle" w:type="paragraph">
    <w:name w:val="Subtitle"/>
    <w:basedOn w:val="Title"/>
    <w:next w:val="BodyText"/>
    <w:qFormat/>
    <w:pPr>
      <w:keepNext/>
      <w:keepLines/>
      <w:spacing w:after="240" w:before="240"/>
      <w:jc w:val="center"/>
    </w:pPr>
    <w:rPr>
      <w:rFonts w:ascii="Calibri" w:hAnsi="Calibri" w:eastAsia="Calibri"/>
      <w:color w:val="475569"/>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I-way — Product Requirements Document</dc:title>
  <dc:creator/>
  <cp:keywords/>
  <dcterms:created xsi:type="dcterms:W3CDTF">2026-10-10T14:48:58Z</dcterms:created>
  <dcterms:modified xsi:type="dcterms:W3CDTF">2026-10-10T14:48:58Z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10, 2026</vt:lpwstr>
  </property>
  <property fmtid="{D5CDD505-2E9C-101B-9397-08002B2CF9AE}" pid="3" name="subtitle">
    <vt:lpwstr>Four-application ecosystem and public conversion website</vt:lpwstr>
  </property>
</Properties>
</file>