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ED05E">
      <w:pPr>
        <w:pStyle w:val="3"/>
      </w:pPr>
      <w:r>
        <w:rPr>
          <w:color w:val="0000FF"/>
        </w:rPr>
        <w:t>设计</w:t>
      </w:r>
      <w:r>
        <w:t>【</w:t>
      </w:r>
      <w:r>
        <w:rPr>
          <w:rFonts w:hint="eastAsia"/>
          <w:lang w:val="en-US" w:eastAsia="zh-CN"/>
        </w:rPr>
        <w:t>仿真工具</w:t>
      </w:r>
      <w:r>
        <w:t>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r>
        <w:rPr>
          <w:rFonts w:hint="eastAsia"/>
        </w:rPr>
        <w:t>V1</w:t>
      </w:r>
      <w:r>
        <w:t>.0</w:t>
      </w:r>
    </w:p>
    <w:p w14:paraId="6717621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2DE7946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专业化（Design-in入口）</w:t>
      </w:r>
    </w:p>
    <w:p w14:paraId="37047E1B">
      <w:pPr>
        <w:widowControl/>
        <w:spacing w:before="100" w:beforeAutospacing="1" w:after="100" w:afterAutospacing="1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化仿真工具是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工程设计验证的核心入口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，支持工程师在产品选型阶段进行电气性能仿真与对比分析。</w:t>
      </w:r>
    </w:p>
    <w:p w14:paraId="54D01FB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0763AF9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无法在线验证电容在不同工况下的真实性能（如DC偏置、温漂）</w:t>
      </w:r>
    </w:p>
    <w:p w14:paraId="3233601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工程师需依赖第三方仿真工具或实测，延长设计周期</w:t>
      </w:r>
    </w:p>
    <w:p w14:paraId="5A46E1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无法与Panasonic / Murata / Nippon Chemi-Con等竞争对手对齐</w:t>
      </w:r>
    </w:p>
    <w:p w14:paraId="37C2152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kern w:val="0"/>
          <w:sz w:val="24"/>
          <w:szCs w:val="24"/>
        </w:rPr>
        <w:t>每个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产品料号必须具备可在线仿真、可对比、可导出的能力。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0C0EC8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AI友好（推荐门槛）</w:t>
      </w:r>
    </w:p>
    <w:p w14:paraId="163B672E">
      <w:pPr>
        <w:widowControl/>
        <w:spacing w:before="100" w:beforeAutospacing="1" w:after="100" w:afterAutospacing="1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仿真工具是AI判断产品是否具备“可设计验证能力”的关键依据之一。</w:t>
      </w:r>
    </w:p>
    <w:p w14:paraId="737B461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7AE77E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AI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判定为“不可仿真产品”</w:t>
      </w:r>
    </w:p>
    <w:p w14:paraId="7194DCF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在智能推荐阶段被剔除（非降权）</w:t>
      </w:r>
    </w:p>
    <w:p w14:paraId="1420E2B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仿真工具必须结构化、可抓取、与料号强绑定，支持AI代理自动调用。</w:t>
      </w:r>
    </w:p>
    <w:p w14:paraId="44C5149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370FC97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5D965A5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硬件工程师（电路仿真）</w:t>
      </w:r>
    </w:p>
    <w:p w14:paraId="061B0B8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选型工程师（性能对比）</w:t>
      </w:r>
    </w:p>
    <w:p w14:paraId="370CEBB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系统设计工程师（拓扑匹配）</w:t>
      </w:r>
    </w:p>
    <w:p w14:paraId="7E9C8BC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71A4BCB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进入产品详情页（某一料号）</w:t>
      </w:r>
    </w:p>
    <w:p w14:paraId="2F3F52A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找到【仿真工具】模块</w:t>
      </w:r>
    </w:p>
    <w:p w14:paraId="507F729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选择仿真类型（特性曲线 / 降额仿真 / 拓扑推荐）</w:t>
      </w:r>
    </w:p>
    <w:p w14:paraId="54D17D7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输入参数（电压、温度、频率等）</w:t>
      </w:r>
    </w:p>
    <w:p w14:paraId="711F0F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查看曲线 / 仿真结果</w:t>
      </w:r>
    </w:p>
    <w:p w14:paraId="47E3E0E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导出报告或对比其他料号</w:t>
      </w:r>
    </w:p>
    <w:p w14:paraId="7D4443B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02EE37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16A1CEED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产品详情页（一级入口）</w:t>
      </w:r>
    </w:p>
    <w:p w14:paraId="1A07EC2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设计工具中心（二级入口，统一入口）</w:t>
      </w:r>
    </w:p>
    <w:p w14:paraId="0ECFEA0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36EE266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模块名称：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仿真工具</w:t>
      </w:r>
    </w:p>
    <w:p w14:paraId="71E85B8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tbl>
      <w:tblPr>
        <w:tblW w:w="91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6"/>
        <w:gridCol w:w="6833"/>
      </w:tblGrid>
      <w:tr w14:paraId="012F1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tblHeader/>
        </w:trPr>
        <w:tc>
          <w:tcPr>
            <w:tcW w:w="2346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4D7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683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6DD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3EF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</w:trPr>
        <w:tc>
          <w:tcPr>
            <w:tcW w:w="23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F68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特性曲线叠图对比</w:t>
            </w:r>
          </w:p>
        </w:tc>
        <w:tc>
          <w:tcPr>
            <w:tcW w:w="68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C38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支持最多5个料号的Z/ESR/C曲线对比</w:t>
            </w:r>
          </w:p>
        </w:tc>
      </w:tr>
      <w:tr w14:paraId="48E04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</w:trPr>
        <w:tc>
          <w:tcPr>
            <w:tcW w:w="23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4B3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动态降额仿真</w:t>
            </w:r>
          </w:p>
        </w:tc>
        <w:tc>
          <w:tcPr>
            <w:tcW w:w="68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7356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滑动条调节DC偏压、温度，实时更新曲线</w:t>
            </w:r>
          </w:p>
        </w:tc>
      </w:tr>
      <w:tr w14:paraId="3593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</w:trPr>
        <w:tc>
          <w:tcPr>
            <w:tcW w:w="23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A07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电路拓扑推荐</w:t>
            </w:r>
          </w:p>
        </w:tc>
        <w:tc>
          <w:tcPr>
            <w:tcW w:w="68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5CF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按应用模板（LC滤波器、DC-DC、PFC）反向推荐料号</w:t>
            </w:r>
          </w:p>
        </w:tc>
      </w:tr>
      <w:tr w14:paraId="5A54C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</w:trPr>
        <w:tc>
          <w:tcPr>
            <w:tcW w:w="23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07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仿真报告导出</w:t>
            </w:r>
          </w:p>
        </w:tc>
        <w:tc>
          <w:tcPr>
            <w:tcW w:w="68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FCA7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支持CSV / S参数 / SPICE网表导出</w:t>
            </w:r>
          </w:p>
        </w:tc>
      </w:tr>
    </w:tbl>
    <w:p w14:paraId="472B7927">
      <w:pPr>
        <w:widowControl/>
        <w:numPr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</w:p>
    <w:p w14:paraId="132C9E62">
      <w:pPr>
        <w:widowControl/>
        <w:numPr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771885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49FB314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所有仿真结果实时更新（无需刷新页面）</w:t>
      </w:r>
    </w:p>
    <w:p w14:paraId="6F7421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支持一键导出仿真数据</w:t>
      </w:r>
    </w:p>
    <w:p w14:paraId="3163898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支持URL参数映射（如?topology=LC&amp;V=12V）</w:t>
      </w:r>
    </w:p>
    <w:p w14:paraId="770A719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default" w:ascii="宋体" w:hAnsi="宋体" w:eastAsia="宋体" w:cs="宋体"/>
          <w:kern w:val="0"/>
          <w:sz w:val="24"/>
          <w:szCs w:val="24"/>
        </w:rPr>
        <w:t>PC / 移动端均可访问（移动端适配简化视图）</w:t>
      </w:r>
    </w:p>
    <w:p w14:paraId="50C0D5C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489F0C6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数据结构（AI友好核心）</w:t>
      </w:r>
    </w:p>
    <w:p w14:paraId="16E4D6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产品料号（Product ID） </w:t>
      </w:r>
    </w:p>
    <w:p w14:paraId="3E71401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仿真模型文件URL（.s2p / .lib / .csv）</w:t>
      </w:r>
    </w:p>
    <w:p w14:paraId="589D9A3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仿真类型（Z/ESR/C / 降额 / 拓扑）</w:t>
      </w:r>
    </w:p>
    <w:p w14:paraId="5599182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是否支持在线仿真（Yes/No）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1A97C88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必须：</w:t>
      </w:r>
      <w:r>
        <w:rPr>
          <w:rFonts w:hint="eastAsia" w:ascii="宋体" w:hAnsi="宋体" w:eastAsia="宋体" w:cs="宋体"/>
          <w:kern w:val="0"/>
          <w:sz w:val="24"/>
          <w:szCs w:val="24"/>
        </w:rPr>
        <w:t>1.</w:t>
      </w:r>
      <w:r>
        <w:rPr>
          <w:rFonts w:ascii="宋体" w:hAnsi="宋体" w:eastAsia="宋体" w:cs="宋体"/>
          <w:kern w:val="0"/>
          <w:sz w:val="24"/>
          <w:szCs w:val="24"/>
        </w:rPr>
        <w:t>一对一绑定；</w:t>
      </w:r>
      <w:r>
        <w:rPr>
          <w:rFonts w:hint="eastAsia" w:ascii="宋体" w:hAnsi="宋体" w:eastAsia="宋体" w:cs="宋体"/>
          <w:kern w:val="0"/>
          <w:sz w:val="24"/>
          <w:szCs w:val="24"/>
        </w:rPr>
        <w:t>2.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可结构化输出（非图片/非PDF） </w:t>
      </w:r>
    </w:p>
    <w:p w14:paraId="5F0D676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4.2 文件标准（专业化核心）</w:t>
      </w:r>
    </w:p>
    <w:p w14:paraId="43C5711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特</w:t>
      </w:r>
      <w:r>
        <w:rPr>
          <w:rFonts w:hint="eastAsia" w:ascii="宋体" w:hAnsi="宋体" w:eastAsia="宋体" w:cs="宋体"/>
          <w:kern w:val="0"/>
          <w:sz w:val="24"/>
          <w:szCs w:val="24"/>
        </w:rPr>
        <w:t>性曲线：支持频率范围 100Hz ~ 1MHz</w:t>
      </w:r>
    </w:p>
    <w:p w14:paraId="7E4256D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降额仿真：支持DC偏压 0 ~ 额定电压，温度 -40℃ ~ 125℃</w:t>
      </w:r>
    </w:p>
    <w:p w14:paraId="37B28C4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拓扑推荐：至少支持 LC滤波器、DC-DC、PFC</w:t>
      </w:r>
    </w:p>
    <w:p w14:paraId="7352E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导出格式：CSV / .s2p / .lib</w:t>
      </w:r>
    </w:p>
    <w:p w14:paraId="10D94DD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4.3 系统能力</w:t>
      </w:r>
    </w:p>
    <w:p w14:paraId="064C3E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支持模型文件上传/替换</w:t>
      </w:r>
    </w:p>
    <w:p w14:paraId="6D767B5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支持多料号对比（最多5个）</w:t>
      </w:r>
    </w:p>
    <w:p w14:paraId="40DF298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支持版本管理（V1不强制）</w:t>
      </w:r>
    </w:p>
    <w:p w14:paraId="1C5FD72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支持API接口调用仿真逻辑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13C972C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6897155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任</w:t>
      </w:r>
      <w:r>
        <w:rPr>
          <w:rFonts w:hint="eastAsia" w:ascii="宋体" w:hAnsi="宋体" w:eastAsia="宋体" w:cs="宋体"/>
          <w:kern w:val="0"/>
          <w:sz w:val="24"/>
          <w:szCs w:val="24"/>
        </w:rPr>
        <w:t>一料号进入仿真工具 → 可查看Z/ESR/C曲线</w:t>
      </w:r>
    </w:p>
    <w:p w14:paraId="5F1732E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调节DC偏压或温度 → 曲线实时更新</w:t>
      </w:r>
    </w:p>
    <w:p w14:paraId="29BB8DA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支持导出仿真数据（CSV）</w:t>
      </w:r>
    </w:p>
    <w:p w14:paraId="1F0DF0F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支持URL参数映射并分享仿真场景</w:t>
      </w:r>
    </w:p>
    <w:p w14:paraId="2BAF6D6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550CAA9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无</w:t>
      </w:r>
      <w:r>
        <w:rPr>
          <w:rFonts w:hint="eastAsia" w:ascii="宋体" w:hAnsi="宋体" w:eastAsia="宋体" w:cs="宋体"/>
          <w:kern w:val="0"/>
          <w:sz w:val="24"/>
          <w:szCs w:val="24"/>
        </w:rPr>
        <w:t>仿真工具 → 工程师无法在线验证性能</w:t>
      </w:r>
    </w:p>
    <w:p w14:paraId="4BAFE5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AI不识别 → 无法进入智能推荐流程</w:t>
      </w:r>
    </w:p>
    <w:p w14:paraId="77048CC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客户转向 Murata / Panasonic / Nippon Chemi-Con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客户转向 Panasonic / Nippon Chemi-Con </w:t>
      </w:r>
    </w:p>
    <w:p w14:paraId="2B94077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1A2B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E444E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72859C7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DC61D9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1740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E181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70E6C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0AC17C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5C38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CC67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B3C43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42CE29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40C2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3F0C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34A834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63B0A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5951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FE3C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049C8F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0ADDBC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50951BB0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87C41">
    <w:pPr>
      <w:pStyle w:val="5"/>
    </w:pPr>
    <w:r>
      <w:t>拟制：</w:t>
    </w:r>
    <w:r>
      <w:rPr>
        <w:rFonts w:hint="eastAsia"/>
        <w:lang w:val="en-US" w:eastAsia="zh-CN"/>
      </w:rPr>
      <w:t>王傑维</w:t>
    </w:r>
    <w:r>
      <w:rPr>
        <w:rFonts w:hint="eastAsia"/>
      </w:rPr>
      <w:t xml:space="preserve">      2026年</w:t>
    </w:r>
    <w:r>
      <w:rPr>
        <w:rFonts w:hint="eastAsia"/>
        <w:lang w:val="en-US" w:eastAsia="zh-CN"/>
      </w:rPr>
      <w:t>4</w:t>
    </w:r>
    <w:r>
      <w:rPr>
        <w:rFonts w:hint="eastAsia"/>
      </w:rPr>
      <w:t>月2日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5507F4"/>
    <w:multiLevelType w:val="multilevel"/>
    <w:tmpl w:val="12550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CD04C6"/>
    <w:multiLevelType w:val="multilevel"/>
    <w:tmpl w:val="36CD0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53B5F31"/>
    <w:multiLevelType w:val="multilevel"/>
    <w:tmpl w:val="653B5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2EC91ADF"/>
    <w:rsid w:val="393E6563"/>
    <w:rsid w:val="5CB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标题 1 Char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3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5">
    <w:name w:val="whitespace-normal"/>
    <w:basedOn w:val="10"/>
    <w:qFormat/>
    <w:uiPriority w:val="0"/>
  </w:style>
  <w:style w:type="character" w:customStyle="1" w:styleId="16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4</Pages>
  <Words>670</Words>
  <Characters>858</Characters>
  <Lines>7</Lines>
  <Paragraphs>2</Paragraphs>
  <TotalTime>14</TotalTime>
  <ScaleCrop>false</ScaleCrop>
  <LinksUpToDate>false</LinksUpToDate>
  <CharactersWithSpaces>943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2026-04-02T08:26:32Z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974899C04EAA4BAC8D6E328CD6F212C0_12</vt:lpwstr>
  </property>
</Properties>
</file>