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01D8F">
      <w:pPr>
        <w:pStyle w:val="3"/>
      </w:pPr>
      <w:r>
        <w:rPr>
          <w:color w:val="0000FF"/>
        </w:rPr>
        <w:t>设计</w:t>
      </w:r>
      <w:r>
        <w:t>【SPICE模型/S参数】</w:t>
      </w:r>
      <w:r>
        <w:rPr>
          <w:color w:val="0000FF"/>
        </w:rPr>
        <w:t>功能</w:t>
      </w:r>
      <w:r>
        <w:rPr>
          <w:rFonts w:hint="eastAsia"/>
        </w:rPr>
        <w:t>-</w:t>
      </w:r>
      <w:r>
        <w:rPr>
          <w:color w:val="0000FF"/>
        </w:rPr>
        <w:t>需求</w:t>
      </w:r>
      <w:bookmarkStart w:id="0" w:name="_GoBack"/>
      <w:bookmarkEnd w:id="0"/>
      <w:r>
        <w:rPr>
          <w:rFonts w:hint="eastAsia"/>
        </w:rPr>
        <w:t>V1</w:t>
      </w:r>
      <w:r>
        <w:t>.0</w:t>
      </w:r>
    </w:p>
    <w:p w14:paraId="0FEAA7C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一、功能定位</w:t>
      </w:r>
    </w:p>
    <w:p w14:paraId="5C29E57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1.1 专业化（高频仿真刚需）</w:t>
      </w:r>
    </w:p>
    <w:p w14:paraId="23D26C6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定位：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工程师将其导入电路仿真软件（如LTspice、ADS）进行电源完整性和高频滤波验证的数据基础。</w:t>
      </w:r>
    </w:p>
    <w:p w14:paraId="514F3AEF">
      <w:pPr>
        <w:widowControl/>
        <w:spacing w:before="100" w:beforeAutospacing="1" w:after="100" w:afterAutospacing="1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3B661D7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产品无法导入仿真软件测试。</w:t>
      </w:r>
    </w:p>
    <w:p w14:paraId="15787F1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在PD快充、5G基站等高频应用设计初期即被淘汰。</w:t>
      </w:r>
    </w:p>
    <w:p w14:paraId="3C7FC7A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结论： </w:t>
      </w:r>
      <w:r>
        <w:rPr>
          <w:rFonts w:ascii="宋体" w:hAnsi="宋体" w:eastAsia="宋体" w:cs="宋体"/>
          <w:sz w:val="24"/>
          <w:szCs w:val="24"/>
        </w:rPr>
        <w:t>必须提供对应元件的SPICE网表与S参数文件。</w:t>
      </w:r>
    </w:p>
    <w:p w14:paraId="1E0C9E3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1.2 AI友好（结构化数字资产）</w:t>
      </w:r>
    </w:p>
    <w:p w14:paraId="61D2EBA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定位：</w:t>
      </w:r>
      <w:r>
        <w:rPr>
          <w:rFonts w:ascii="宋体" w:hAnsi="宋体" w:eastAsia="宋体" w:cs="宋体"/>
          <w:sz w:val="24"/>
          <w:szCs w:val="24"/>
        </w:rPr>
        <w:t xml:space="preserve"> 构建电子元器件数字孪生体系的底层文件，便于外部系统与自动化脚本调取。</w:t>
      </w:r>
    </w:p>
    <w:p w14:paraId="2282846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37D018F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第三方仿真库或AI电路生成工具无法调用永铭的元件参数。</w:t>
      </w:r>
    </w:p>
    <w:p w14:paraId="0BFFC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宋体" w:hAnsi="宋体" w:eastAsia="宋体" w:cs="宋体"/>
          <w:sz w:val="24"/>
          <w:szCs w:val="24"/>
        </w:rPr>
        <w:t>模型文件需按照“产品类别-系列-型号”构建规范的文件树，并在后台API接口预留参数暴露路径。</w:t>
      </w:r>
    </w:p>
    <w:p w14:paraId="6AB42CA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二、用户动作（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谁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+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干什么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）</w:t>
      </w:r>
    </w:p>
    <w:p w14:paraId="7A6C4D1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2.1 用户角色</w:t>
      </w:r>
    </w:p>
    <w:p w14:paraId="667206B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电源完整性（PI）/信号完整性（SI）工程师</w:t>
      </w:r>
    </w:p>
    <w:p w14:paraId="3485981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射频工程师、电路仿真工程师</w:t>
      </w:r>
    </w:p>
    <w:p w14:paraId="0BA95CD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2.2 用户路径</w:t>
      </w:r>
    </w:p>
    <w:p w14:paraId="6A4BAB4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进入产品详情页或下载库</w:t>
      </w:r>
    </w:p>
    <w:p w14:paraId="4B67F05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选择需要的料号</w:t>
      </w:r>
    </w:p>
    <w:p w14:paraId="4791C5F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选择格式（SPICE或S-parameter）</w:t>
      </w:r>
    </w:p>
    <w:p w14:paraId="3DE954E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下载数据包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5ABC889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导入第三方EDA/仿真软件</w:t>
      </w:r>
    </w:p>
    <w:p w14:paraId="2FD0C83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三、页面与交互</w:t>
      </w:r>
    </w:p>
    <w:p w14:paraId="6E02A7F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3.1 页面位置</w:t>
      </w:r>
    </w:p>
    <w:p w14:paraId="362B2EE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产品详情页下载区（特定料号级）。</w:t>
      </w:r>
    </w:p>
    <w:p w14:paraId="12B718E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统一的【SPICE模型/S参数】资源下载聚合页。 </w:t>
      </w:r>
    </w:p>
    <w:p w14:paraId="362E8E8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3.2 页面模块结构</w:t>
      </w:r>
    </w:p>
    <w:p w14:paraId="4F6FDB7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模块名称：</w:t>
      </w:r>
      <w:r>
        <w:rPr>
          <w:rFonts w:ascii="宋体" w:hAnsi="宋体" w:eastAsia="宋体" w:cs="宋体"/>
          <w:b/>
          <w:bCs/>
          <w:sz w:val="24"/>
          <w:szCs w:val="24"/>
        </w:rPr>
        <w:t>SPICE模型与S参数 / SPICE Model &amp; S-parameters</w:t>
      </w:r>
    </w:p>
    <w:p w14:paraId="61AFB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必须包含：</w:t>
      </w:r>
    </w:p>
    <w:p w14:paraId="146D6C1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按照电容类别（如固态、混合型、铝电解）划分的层级菜单。</w:t>
      </w:r>
    </w:p>
    <w:p w14:paraId="6401CCC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型号与适用频率/偏置电压说明。</w:t>
      </w:r>
    </w:p>
    <w:p w14:paraId="0782115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文件下载按钮。 </w:t>
      </w:r>
    </w:p>
    <w:p w14:paraId="3B2E096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3.3 交互要求</w:t>
      </w:r>
    </w:p>
    <w:p w14:paraId="4C86FBE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支持单型号精准下载，同时支持按“系列”提供ZIP压缩包批量下载。</w:t>
      </w:r>
    </w:p>
    <w:p w14:paraId="2D6BA6A9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5DD6E42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四、系统行为（IT执行标准）</w:t>
      </w:r>
    </w:p>
    <w:p w14:paraId="2FABFCE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4.1 数据结构（AI友好核心）</w:t>
      </w:r>
    </w:p>
    <w:p w14:paraId="4A96BB7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数据库关联：产品料号（Product ID） -&gt; 是否提供SPICE（Yes/No） -&gt; 是否提供S-Parameter（Yes/No） -&gt; 文件URL。</w:t>
      </w:r>
    </w:p>
    <w:p w14:paraId="1CE460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URL路径与存储目录结构必须具备逻辑规律（例如按照系列划分文件夹）。</w:t>
      </w:r>
    </w:p>
    <w:p w14:paraId="5C15B60C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4.2 文件标准（专业化核心）</w:t>
      </w:r>
    </w:p>
    <w:p w14:paraId="42BA7C3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SPICE模型：提供标准的 .lib 或 .txt 格式网表文件。</w:t>
      </w:r>
    </w:p>
    <w:p w14:paraId="37D784D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S参数：提供标准的Touchstone格式文件（</w:t>
      </w:r>
      <w:r>
        <w:rPr>
          <w:rStyle w:val="12"/>
          <w:rFonts w:ascii="宋体" w:hAnsi="宋体" w:eastAsia="宋体" w:cs="宋体"/>
          <w:sz w:val="24"/>
          <w:szCs w:val="24"/>
        </w:rPr>
        <w:t>.s2p</w:t>
      </w:r>
      <w:r>
        <w:rPr>
          <w:rFonts w:ascii="宋体" w:hAnsi="宋体" w:eastAsia="宋体" w:cs="宋体"/>
          <w:sz w:val="24"/>
          <w:szCs w:val="24"/>
        </w:rPr>
        <w:t xml:space="preserve"> 或 </w:t>
      </w:r>
      <w:r>
        <w:rPr>
          <w:rStyle w:val="12"/>
          <w:rFonts w:ascii="宋体" w:hAnsi="宋体" w:eastAsia="宋体" w:cs="宋体"/>
          <w:sz w:val="24"/>
          <w:szCs w:val="24"/>
        </w:rPr>
        <w:t>.sNp</w:t>
      </w:r>
      <w:r>
        <w:rPr>
          <w:rFonts w:ascii="宋体" w:hAnsi="宋体" w:eastAsia="宋体" w:cs="宋体"/>
          <w:sz w:val="24"/>
          <w:szCs w:val="24"/>
        </w:rPr>
        <w:t>）。</w:t>
      </w:r>
    </w:p>
    <w:p w14:paraId="0749E05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命</w:t>
      </w:r>
      <w:r>
        <w:rPr>
          <w:rFonts w:hint="eastAsia" w:ascii="宋体" w:hAnsi="宋体" w:eastAsia="宋体" w:cs="宋体"/>
          <w:sz w:val="24"/>
          <w:szCs w:val="24"/>
        </w:rPr>
        <w:t>包含静态等效电路模型与支持DC偏置特性的动态模型文件。</w:t>
      </w:r>
    </w:p>
    <w:p w14:paraId="328A1BDE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4.3 系统能力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60C102A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支持仿真文件的版本迭代记录。</w:t>
      </w:r>
    </w:p>
    <w:p w14:paraId="57D984A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五、验收标准（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初版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p w14:paraId="618C7A1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选定高频应用料号 -&gt; 下载 </w:t>
      </w:r>
      <w:r>
        <w:rPr>
          <w:rStyle w:val="12"/>
          <w:rFonts w:ascii="宋体" w:hAnsi="宋体" w:eastAsia="宋体" w:cs="宋体"/>
          <w:sz w:val="24"/>
          <w:szCs w:val="24"/>
        </w:rPr>
        <w:t>.s2p</w:t>
      </w:r>
      <w:r>
        <w:rPr>
          <w:rFonts w:ascii="宋体" w:hAnsi="宋体" w:eastAsia="宋体" w:cs="宋体"/>
          <w:sz w:val="24"/>
          <w:szCs w:val="24"/>
        </w:rPr>
        <w:t xml:space="preserve"> 文件 -&gt; 成功导入仿真工具（如Keysight或LTspice）并生成相应的特性曲线。</w:t>
      </w:r>
    </w:p>
    <w:p w14:paraId="3AF490D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六、失败后果</w:t>
      </w:r>
    </w:p>
    <w:p w14:paraId="5078206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无SPICE/S参数 -&gt; 工程师无法进行电路前期仿真 -&gt; 客户为了降低试错成本直接选用已有模型的竞争对手产品。</w:t>
      </w:r>
    </w:p>
    <w:p w14:paraId="69325A4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56"/>
        <w:gridCol w:w="1536"/>
      </w:tblGrid>
      <w:tr w14:paraId="0B9F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24980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</w:tcPr>
          <w:p w14:paraId="6015CAC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</w:tcPr>
          <w:p w14:paraId="598970F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给谁看</w:t>
            </w:r>
          </w:p>
        </w:tc>
      </w:tr>
      <w:tr w14:paraId="711F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4B3B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功能定位（AI/专业）</w:t>
            </w:r>
          </w:p>
        </w:tc>
        <w:tc>
          <w:tcPr>
            <w:tcW w:w="0" w:type="auto"/>
          </w:tcPr>
          <w:p w14:paraId="04C64A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为什么必须做</w:t>
            </w:r>
          </w:p>
        </w:tc>
        <w:tc>
          <w:tcPr>
            <w:tcW w:w="0" w:type="auto"/>
          </w:tcPr>
          <w:p w14:paraId="5F71C9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0E89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308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用户动作</w:t>
            </w:r>
          </w:p>
        </w:tc>
        <w:tc>
          <w:tcPr>
            <w:tcW w:w="0" w:type="auto"/>
          </w:tcPr>
          <w:p w14:paraId="37E1F9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谁在用</w:t>
            </w:r>
          </w:p>
        </w:tc>
        <w:tc>
          <w:tcPr>
            <w:tcW w:w="0" w:type="auto"/>
          </w:tcPr>
          <w:p w14:paraId="07D2C6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7E9B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42F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页面交互</w:t>
            </w:r>
          </w:p>
        </w:tc>
        <w:tc>
          <w:tcPr>
            <w:tcW w:w="0" w:type="auto"/>
          </w:tcPr>
          <w:p w14:paraId="06AE24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怎么用</w:t>
            </w:r>
          </w:p>
        </w:tc>
        <w:tc>
          <w:tcPr>
            <w:tcW w:w="0" w:type="auto"/>
          </w:tcPr>
          <w:p w14:paraId="68CA47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设计 / 前端</w:t>
            </w:r>
          </w:p>
        </w:tc>
      </w:tr>
      <w:tr w14:paraId="0A35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831D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系统行为</w:t>
            </w:r>
          </w:p>
        </w:tc>
        <w:tc>
          <w:tcPr>
            <w:tcW w:w="0" w:type="auto"/>
          </w:tcPr>
          <w:p w14:paraId="477447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怎么做</w:t>
            </w:r>
          </w:p>
        </w:tc>
        <w:tc>
          <w:tcPr>
            <w:tcW w:w="0" w:type="auto"/>
          </w:tcPr>
          <w:p w14:paraId="56E379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IT </w:t>
            </w:r>
          </w:p>
        </w:tc>
      </w:tr>
    </w:tbl>
    <w:p w14:paraId="22D2F7BF"/>
    <w:sectPr>
      <w:footerReference r:id="rId3" w:type="default"/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7BC2F">
    <w:pPr>
      <w:pStyle w:val="5"/>
    </w:pPr>
    <w:r>
      <w:t>拟制：</w:t>
    </w:r>
    <w:r>
      <w:rPr>
        <w:rFonts w:hint="eastAsia"/>
        <w:lang w:val="en-US" w:eastAsia="zh-CN"/>
      </w:rPr>
      <w:t>王傑维     复核：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 2026年3月24日     版本V1.0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503EC"/>
    <w:multiLevelType w:val="multilevel"/>
    <w:tmpl w:val="0A550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0D0E2B"/>
    <w:multiLevelType w:val="multilevel"/>
    <w:tmpl w:val="170D0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E835117"/>
    <w:multiLevelType w:val="multilevel"/>
    <w:tmpl w:val="1E83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D97623"/>
    <w:multiLevelType w:val="multilevel"/>
    <w:tmpl w:val="41D9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A67071"/>
    <w:multiLevelType w:val="multilevel"/>
    <w:tmpl w:val="43A67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D23BBF"/>
    <w:multiLevelType w:val="multilevel"/>
    <w:tmpl w:val="54D23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8561BD"/>
    <w:multiLevelType w:val="multilevel"/>
    <w:tmpl w:val="6285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53B5F31"/>
    <w:multiLevelType w:val="multilevel"/>
    <w:tmpl w:val="653B5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EE2276F"/>
    <w:multiLevelType w:val="multilevel"/>
    <w:tmpl w:val="6EE22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0C6"/>
    <w:rsid w:val="00072970"/>
    <w:rsid w:val="000E7A67"/>
    <w:rsid w:val="001D7A21"/>
    <w:rsid w:val="0048015D"/>
    <w:rsid w:val="00654D21"/>
    <w:rsid w:val="007702E9"/>
    <w:rsid w:val="0084158B"/>
    <w:rsid w:val="00943231"/>
    <w:rsid w:val="009C577E"/>
    <w:rsid w:val="00BB10EC"/>
    <w:rsid w:val="00BB60C6"/>
    <w:rsid w:val="00BE7324"/>
    <w:rsid w:val="00D04911"/>
    <w:rsid w:val="00D64AEA"/>
    <w:rsid w:val="01B95F04"/>
    <w:rsid w:val="0DB439D0"/>
    <w:rsid w:val="22342595"/>
    <w:rsid w:val="2A86112F"/>
    <w:rsid w:val="2C541518"/>
    <w:rsid w:val="36A0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标题 1 Char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Char"/>
    <w:basedOn w:val="10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5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6">
    <w:name w:val="whitespace-normal"/>
    <w:basedOn w:val="10"/>
    <w:qFormat/>
    <w:uiPriority w:val="0"/>
  </w:style>
  <w:style w:type="character" w:customStyle="1" w:styleId="17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Char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885</Words>
  <Characters>1075</Characters>
  <Lines>7</Lines>
  <Paragraphs>2</Paragraphs>
  <TotalTime>0</TotalTime>
  <ScaleCrop>false</ScaleCrop>
  <LinksUpToDate>false</LinksUpToDate>
  <CharactersWithSpaces>1131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2026-03-24T02:22:00Z</dcterms:created>
  <dc:creator>Windows User</dc:creator>
  <cp:lastModifiedBy>WPS_1750757121</cp:lastModifiedBy>
  <dcterms:modified xsi:type="dcterms:W3CDTF">2026-03-24T09:46:43Z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eyJoZGlkIjoiYWI5MWViYTYyZWE2YjFkYzY4YmE5ODFhMWFkZjY1MTIiLCJ1c2VySWQiOiIxNzEzNTcwMjU2In0=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C5B8771964B44BBF9248A92C9E06C940_12</vt:lpwstr>
  </property>
</Properties>
</file>