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45FC9">
      <w:pPr>
        <w:pStyle w:val="2"/>
        <w:jc w:val="center"/>
        <w:rPr>
          <w:rFonts w:hint="default"/>
        </w:rPr>
      </w:pPr>
      <w:r>
        <w:t>1-产品中心需求V2.0-2026.04.02</w:t>
      </w:r>
    </w:p>
    <w:p w14:paraId="532AD52B">
      <w:r>
        <w:rPr>
          <w:rFonts w:hint="eastAsia"/>
          <w:b/>
          <w:bCs/>
        </w:rPr>
        <w:t>新官网布局</w:t>
      </w:r>
    </w:p>
    <w:p w14:paraId="34BB611E">
      <w:r>
        <w:rPr>
          <w:rFonts w:hint="eastAsia"/>
        </w:rPr>
        <w:t>首页</w:t>
      </w:r>
    </w:p>
    <w:p w14:paraId="2AE0D5AD">
      <w:r>
        <w:rPr>
          <w:rFonts w:hint="eastAsia"/>
          <w:b/>
          <w:bCs/>
          <w:color w:val="0000FF"/>
        </w:rPr>
        <w:t>√产品中心</w:t>
      </w:r>
      <w:r>
        <w:rPr>
          <w:rFonts w:hint="eastAsia"/>
          <w:color w:val="0000FF"/>
        </w:rPr>
        <w:t>（筛选功能/ 产品详情页/ 产品搜索/ 产品替代）</w:t>
      </w:r>
      <w:r>
        <w:rPr>
          <w:rFonts w:hint="eastAsia"/>
        </w:rPr>
        <w:br w:type="textWrapping"/>
      </w:r>
      <w:r>
        <w:rPr>
          <w:rFonts w:hint="eastAsia"/>
        </w:rPr>
        <w:t>应用中心</w:t>
      </w:r>
      <w:r>
        <w:rPr>
          <w:rFonts w:hint="eastAsia"/>
        </w:rPr>
        <w:br w:type="textWrapping"/>
      </w:r>
      <w:r>
        <w:rPr>
          <w:rFonts w:hint="eastAsia"/>
        </w:rPr>
        <w:t>设计工具 （参数搜索 / 替代查询 / 寿命计算器 / BOM工具）</w:t>
      </w:r>
      <w:r>
        <w:rPr>
          <w:rFonts w:hint="eastAsia"/>
        </w:rPr>
        <w:br w:type="textWrapping"/>
      </w:r>
      <w:r>
        <w:rPr>
          <w:rFonts w:hint="eastAsia"/>
        </w:rPr>
        <w:t>服务支持 （知识库 (FAQ) / 下载中心 / 合规证书）</w:t>
      </w:r>
      <w:r>
        <w:rPr>
          <w:rFonts w:hint="eastAsia"/>
        </w:rPr>
        <w:br w:type="textWrapping"/>
      </w:r>
      <w:r>
        <w:rPr>
          <w:rFonts w:hint="eastAsia"/>
        </w:rPr>
        <w:t>关于永铭 （智能工厂 / 质量体系 / 代理商网络）</w:t>
      </w:r>
    </w:p>
    <w:p w14:paraId="58EAD6D4">
      <w:pPr>
        <w:pStyle w:val="3"/>
        <w:rPr>
          <w:rFonts w:hint="default"/>
          <w:color w:val="0000FF"/>
          <w:highlight w:val="yellow"/>
        </w:rPr>
      </w:pPr>
      <w:r>
        <w:rPr>
          <w:color w:val="0000FF"/>
          <w:highlight w:val="yellow"/>
        </w:rPr>
        <w:t xml:space="preserve">功能一：产品（电容）中心 </w:t>
      </w:r>
    </w:p>
    <w:p w14:paraId="428A4491">
      <w:pPr>
        <w:numPr>
          <w:ilvl w:val="1"/>
          <w:numId w:val="1"/>
        </w:numPr>
      </w:pPr>
      <w:r>
        <w:rPr>
          <w:rFonts w:hint="eastAsia"/>
        </w:rPr>
        <w:t>筛选功能</w:t>
      </w:r>
    </w:p>
    <w:p w14:paraId="2404E7CC">
      <w:pPr>
        <w:numPr>
          <w:ilvl w:val="1"/>
          <w:numId w:val="1"/>
        </w:numPr>
      </w:pPr>
      <w:r>
        <w:rPr>
          <w:rFonts w:hint="eastAsia"/>
        </w:rPr>
        <w:t>产品（电容）详情页</w:t>
      </w:r>
    </w:p>
    <w:p w14:paraId="155A3136">
      <w:pPr>
        <w:numPr>
          <w:ilvl w:val="1"/>
          <w:numId w:val="1"/>
        </w:numPr>
      </w:pPr>
      <w:r>
        <w:rPr>
          <w:rFonts w:hint="eastAsia"/>
        </w:rPr>
        <w:t>产品搜索</w:t>
      </w:r>
      <w:r>
        <w:rPr>
          <w:rFonts w:hint="eastAsia"/>
        </w:rPr>
        <w:br w:type="textWrapping"/>
      </w:r>
      <w:r>
        <w:rPr>
          <w:rFonts w:hint="eastAsia"/>
        </w:rPr>
        <w:t>1.4 产品替代</w:t>
      </w:r>
    </w:p>
    <w:p w14:paraId="3C65D557"/>
    <w:p w14:paraId="4EEF74A0">
      <w:r>
        <w:rPr>
          <w:rFonts w:hint="eastAsia"/>
        </w:rPr>
        <w:t>筛选功能：</w:t>
      </w:r>
    </w:p>
    <w:p w14:paraId="25C40BA6">
      <w:pPr>
        <w:rPr>
          <w:b/>
          <w:bCs/>
          <w:sz w:val="30"/>
          <w:szCs w:val="30"/>
          <w:highlight w:val="yellow"/>
        </w:rPr>
      </w:pPr>
      <w:r>
        <w:rPr>
          <w:rFonts w:hint="eastAsia"/>
        </w:rPr>
        <w:object>
          <v:shape id="_x0000_i1029" o:spt="75" type="#_x0000_t75" style="height:66pt;width:72.75pt;" o:ole="t" filled="f" o:preferrelative="t" stroked="f" coordsize="21600,21600"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xcel.Sheet.12" ShapeID="_x0000_i1029" DrawAspect="Icon" ObjectID="_1468075725" r:id="rId5">
            <o:LockedField>false</o:LockedField>
          </o:OLEObject>
        </w:object>
      </w:r>
      <w:bookmarkStart w:id="0" w:name="_GoBack"/>
      <w:bookmarkEnd w:id="0"/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b/>
          <w:bCs/>
          <w:sz w:val="30"/>
          <w:szCs w:val="30"/>
          <w:highlight w:val="yellow"/>
        </w:rPr>
        <w:t>1.1 筛选功能（参考贵弥功）</w:t>
      </w:r>
    </w:p>
    <w:p w14:paraId="7081EA78">
      <w:pPr>
        <w:rPr>
          <w:b/>
          <w:bCs/>
          <w:sz w:val="30"/>
          <w:szCs w:val="30"/>
          <w:highlight w:val="yellow"/>
        </w:rPr>
      </w:pPr>
      <w:r>
        <w:drawing>
          <wp:inline distT="0" distB="0" distL="114300" distR="114300">
            <wp:extent cx="5264785" cy="2597150"/>
            <wp:effectExtent l="0" t="0" r="12065" b="1270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DF90D"/>
    <w:p w14:paraId="51B03BC1">
      <w:pPr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【筛选功能】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专业化</w:t>
      </w:r>
      <w:r>
        <w:rPr>
          <w:rFonts w:hint="eastAsia"/>
          <w:b/>
          <w:bCs/>
          <w:sz w:val="28"/>
          <w:szCs w:val="28"/>
          <w:highlight w:val="yellow"/>
        </w:rPr>
        <w:t>要求（4项）</w:t>
      </w:r>
    </w:p>
    <w:p w14:paraId="728A035F"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>多维度参数过滤</w:t>
      </w:r>
      <w:r>
        <w:rPr>
          <w:rFonts w:hint="eastAsia"/>
        </w:rPr>
        <w:t>： 筛选字段包含封装类型（贴片、引线、螺栓端子等）、温度范围（下限-55℃至上限150℃）、额定纹波电流（区分120Hz和100kHz测试频率）、ESR/阻抗极限值 。</w:t>
      </w:r>
      <w:r>
        <w:rPr>
          <w:rFonts w:hint="eastAsia"/>
          <w:b/>
          <w:bCs/>
        </w:rPr>
        <w:t>参考贵弥功</w:t>
      </w:r>
    </w:p>
    <w:p w14:paraId="7F646211">
      <w:r>
        <w:drawing>
          <wp:inline distT="0" distB="0" distL="114300" distR="114300">
            <wp:extent cx="1661795" cy="4069080"/>
            <wp:effectExtent l="12700" t="12700" r="20955" b="1397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1795" cy="40690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56435" cy="4039235"/>
            <wp:effectExtent l="12700" t="12700" r="31115" b="24765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6435" cy="40392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5950C"/>
    <w:p w14:paraId="39083885">
      <w:r>
        <w:rPr>
          <w:rFonts w:hint="eastAsia"/>
          <w:b/>
          <w:bCs/>
          <w:color w:val="0000FF"/>
        </w:rPr>
        <w:t>生命周期状态筛选</w:t>
      </w:r>
      <w:r>
        <w:rPr>
          <w:rFonts w:hint="eastAsia"/>
        </w:rPr>
        <w:t>： 将“生产中”、“不推荐用于新设计（NRND）”、“计划停产”和“已停产”作为独立筛选条件 。</w:t>
      </w:r>
    </w:p>
    <w:p w14:paraId="7EB81241">
      <w:pPr>
        <w:rPr>
          <w:b/>
          <w:bCs/>
          <w:color w:val="0000FF"/>
        </w:rPr>
      </w:pPr>
      <w:r>
        <w:drawing>
          <wp:inline distT="0" distB="0" distL="114300" distR="114300">
            <wp:extent cx="2029460" cy="1428115"/>
            <wp:effectExtent l="9525" t="9525" r="18415" b="1016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14281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CC351">
      <w:pPr>
        <w:rPr>
          <w:b/>
          <w:bCs/>
          <w:color w:val="0000FF"/>
        </w:rPr>
      </w:pPr>
    </w:p>
    <w:p w14:paraId="6018830C">
      <w:r>
        <w:rPr>
          <w:rFonts w:hint="eastAsia"/>
          <w:b/>
          <w:bCs/>
          <w:color w:val="0000FF"/>
        </w:rPr>
        <w:t>工程支持筛选</w:t>
      </w:r>
      <w:r>
        <w:rPr>
          <w:rFonts w:hint="eastAsia"/>
        </w:rPr>
        <w:t>： 设有“具备SPICE模型”、“具备3D-CAD数据”以及“符合AEC-Q200车规标准”的专属勾选项 。</w:t>
      </w:r>
    </w:p>
    <w:p w14:paraId="312C4BD8">
      <w:r>
        <w:drawing>
          <wp:inline distT="0" distB="0" distL="114300" distR="114300">
            <wp:extent cx="1887220" cy="2454910"/>
            <wp:effectExtent l="12700" t="12700" r="24130" b="2794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24549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D02731"/>
    <w:p w14:paraId="7756AD56"/>
    <w:p w14:paraId="26033539">
      <w:pPr>
        <w:rPr>
          <w:b/>
          <w:bCs/>
          <w:sz w:val="28"/>
          <w:szCs w:val="28"/>
        </w:rPr>
      </w:pPr>
    </w:p>
    <w:p w14:paraId="485CB37A">
      <w:r>
        <w:rPr>
          <w:rFonts w:hint="eastAsia"/>
          <w:b/>
          <w:bCs/>
          <w:sz w:val="28"/>
          <w:szCs w:val="28"/>
        </w:rPr>
        <w:t>2</w:t>
      </w:r>
      <w:r>
        <w:rPr>
          <w:rFonts w:hint="eastAsia"/>
          <w:b/>
          <w:bCs/>
          <w:color w:val="0000FF"/>
          <w:sz w:val="28"/>
          <w:szCs w:val="28"/>
        </w:rPr>
        <w:t>、技术路线分类</w:t>
      </w:r>
      <w:r>
        <w:rPr>
          <w:rFonts w:hint="eastAsia"/>
        </w:rPr>
        <w:t>： 初级菜单按底层介质严格分类，如通用铝电解、OS-CON（高分子铝固体）、POSCAP（聚合物钽固体）及混合型铝电解电容。</w:t>
      </w:r>
      <w:r>
        <w:rPr>
          <w:rFonts w:hint="eastAsia"/>
          <w:b/>
          <w:bCs/>
        </w:rPr>
        <w:t>参考松下</w:t>
      </w:r>
    </w:p>
    <w:p w14:paraId="681FD43B"/>
    <w:p w14:paraId="7E68F2DC">
      <w:r>
        <w:drawing>
          <wp:inline distT="0" distB="0" distL="114300" distR="114300">
            <wp:extent cx="5269230" cy="2401570"/>
            <wp:effectExtent l="0" t="0" r="7620" b="1778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8CDCA"/>
    <w:p w14:paraId="502ECFD1">
      <w:r>
        <w:rPr>
          <w:rFonts w:hint="eastAsia"/>
          <w:b/>
          <w:bCs/>
          <w:sz w:val="28"/>
          <w:szCs w:val="28"/>
        </w:rPr>
        <w:t>3、</w:t>
      </w:r>
      <w:r>
        <w:rPr>
          <w:rFonts w:hint="eastAsia"/>
          <w:b/>
          <w:bCs/>
          <w:color w:val="0000FF"/>
          <w:sz w:val="28"/>
          <w:szCs w:val="28"/>
        </w:rPr>
        <w:t>交叉引用查询</w:t>
      </w:r>
      <w:r>
        <w:rPr>
          <w:rFonts w:hint="eastAsia"/>
        </w:rPr>
        <w:t>： 独立工具，支持用户直接输入竞品料号（精确匹配或前缀模糊匹配），系统自动映射输出对应的松下替代料号。</w:t>
      </w:r>
      <w:r>
        <w:rPr>
          <w:rFonts w:hint="eastAsia"/>
          <w:b/>
          <w:bCs/>
        </w:rPr>
        <w:t>参考松下</w:t>
      </w:r>
    </w:p>
    <w:p w14:paraId="0DFF7DAA">
      <w:r>
        <w:drawing>
          <wp:inline distT="0" distB="0" distL="114300" distR="114300">
            <wp:extent cx="5271135" cy="4424045"/>
            <wp:effectExtent l="0" t="0" r="5715" b="14605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5782"/>
    <w:p w14:paraId="1B47B9EB">
      <w:pPr>
        <w:rPr>
          <w:b/>
          <w:bCs/>
        </w:rPr>
      </w:pPr>
      <w:r>
        <w:rPr>
          <w:rFonts w:hint="eastAsia"/>
          <w:b/>
          <w:bCs/>
          <w:sz w:val="28"/>
          <w:szCs w:val="28"/>
        </w:rPr>
        <w:t>4、</w:t>
      </w:r>
      <w:r>
        <w:rPr>
          <w:rFonts w:hint="eastAsia"/>
          <w:b/>
          <w:bCs/>
          <w:color w:val="0000FF"/>
          <w:sz w:val="28"/>
          <w:szCs w:val="28"/>
        </w:rPr>
        <w:t>可视化二维映射图</w:t>
      </w:r>
      <w:r>
        <w:rPr>
          <w:rFonts w:hint="eastAsia"/>
        </w:rPr>
        <w:t>： 提供以电容量为Y轴、额定电压为X轴的坐标系，将不同类型电容器的推荐工作区间以不同色块叠加显示 。</w:t>
      </w:r>
      <w:r>
        <w:rPr>
          <w:rFonts w:hint="eastAsia"/>
          <w:b/>
          <w:bCs/>
        </w:rPr>
        <w:t>参考村田</w:t>
      </w:r>
    </w:p>
    <w:p w14:paraId="5B7D7AAC">
      <w:pPr>
        <w:rPr>
          <w:b/>
          <w:bCs/>
          <w:sz w:val="28"/>
          <w:szCs w:val="28"/>
          <w:highlight w:val="yellow"/>
        </w:rPr>
      </w:pPr>
    </w:p>
    <w:p w14:paraId="3C341CE6">
      <w:pPr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【筛选功能】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AI友好型</w:t>
      </w:r>
      <w:r>
        <w:rPr>
          <w:rFonts w:hint="eastAsia"/>
          <w:b/>
          <w:bCs/>
          <w:sz w:val="28"/>
          <w:szCs w:val="28"/>
          <w:highlight w:val="yellow"/>
        </w:rPr>
        <w:t>要求（5项）</w:t>
      </w:r>
    </w:p>
    <w:p w14:paraId="41B1D26B"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>DOM表格结构</w:t>
      </w:r>
      <w:r>
        <w:rPr>
          <w:rFonts w:hint="eastAsia"/>
        </w:rPr>
        <w:t xml:space="preserve">： </w:t>
      </w:r>
      <w:r>
        <w:rPr>
          <w:rFonts w:hint="eastAsia"/>
          <w:b/>
          <w:bCs/>
        </w:rPr>
        <w:t>检索结果以标准的HTML表格渲染</w:t>
      </w:r>
      <w:r>
        <w:rPr>
          <w:rFonts w:hint="eastAsia"/>
        </w:rPr>
        <w:t>。例如状态、温度范围、尺寸、ESR等数据在列和行中呈现一一对应的结构，便于机器解析算法直接提取结构化数据 。</w:t>
      </w:r>
      <w:r>
        <w:br w:type="textWrapping"/>
      </w:r>
      <w:r>
        <w:rPr>
          <w:rFonts w:hint="eastAsia"/>
        </w:rPr>
        <w:t>（DOM表格结构解释：DOM（Document Object Model，文档对象模型）表格结构，简单来说，就是浏览器如何理解并操作你在HTML里写的&lt;table&gt;标签。我们可以把它想象成一栋房子的结构图。HTML是你的建筑设计图，而DOM就是基于这张图搭建起来的、带编号的实际房屋骨架，方便你去修改它（比如刷墙、挪家具）），</w:t>
      </w:r>
      <w:r>
        <w:rPr>
          <w:rFonts w:hint="eastAsia"/>
          <w:b/>
          <w:bCs/>
          <w:color w:val="0000FF"/>
        </w:rPr>
        <w:t>参考【贵弥功】</w:t>
      </w:r>
    </w:p>
    <w:p w14:paraId="04B3B16A">
      <w:pPr>
        <w:rPr>
          <w:b/>
          <w:bCs/>
          <w:sz w:val="28"/>
          <w:szCs w:val="28"/>
        </w:rPr>
      </w:pPr>
      <w:r>
        <w:drawing>
          <wp:inline distT="0" distB="0" distL="114300" distR="114300">
            <wp:extent cx="5262245" cy="1821815"/>
            <wp:effectExtent l="0" t="0" r="14605" b="698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7D3E7">
      <w:pPr>
        <w:rPr>
          <w:b/>
          <w:bCs/>
          <w:sz w:val="28"/>
          <w:szCs w:val="28"/>
        </w:rPr>
      </w:pPr>
    </w:p>
    <w:p w14:paraId="5256248C">
      <w:pPr>
        <w:numPr>
          <w:ilvl w:val="0"/>
          <w:numId w:val="2"/>
        </w:numPr>
      </w:pPr>
      <w:r>
        <w:rPr>
          <w:rFonts w:hint="eastAsia"/>
          <w:b/>
          <w:bCs/>
          <w:color w:val="0000FF"/>
          <w:sz w:val="28"/>
          <w:szCs w:val="28"/>
        </w:rPr>
        <w:t>静态路由结构</w:t>
      </w:r>
      <w:r>
        <w:rPr>
          <w:rFonts w:hint="eastAsia"/>
        </w:rPr>
        <w:t xml:space="preserve">： </w:t>
      </w:r>
      <w:r>
        <w:rPr>
          <w:rFonts w:hint="eastAsia"/>
          <w:b/>
          <w:bCs/>
        </w:rPr>
        <w:t>采用层级明确的URL</w:t>
      </w:r>
      <w:r>
        <w:rPr>
          <w:rFonts w:hint="eastAsia"/>
        </w:rPr>
        <w:t>（如 /products/capacitors/polymer-capacitors），搜索引擎爬虫和AI代理无需执行JavaScript脚本即可通过URL路径获取分类从属关系 。</w:t>
      </w:r>
    </w:p>
    <w:p w14:paraId="2F797E1E">
      <w:pPr>
        <w:rPr>
          <w:b/>
          <w:bCs/>
        </w:rPr>
      </w:pPr>
      <w:r>
        <w:rPr>
          <w:rFonts w:hint="eastAsia"/>
          <w:b/>
          <w:bCs/>
        </w:rPr>
        <w:t>参考松下</w:t>
      </w:r>
    </w:p>
    <w:p w14:paraId="52F80AE5">
      <w:r>
        <w:fldChar w:fldCharType="begin"/>
      </w:r>
      <w:r>
        <w:instrText xml:space="preserve"> HYPERLINK "https://industrial.panasonic.cn/ea/products/pt/sp-cap/models?op=search#model-list-search-results" </w:instrText>
      </w:r>
      <w:r>
        <w:fldChar w:fldCharType="separate"/>
      </w:r>
      <w:r>
        <w:rPr>
          <w:rStyle w:val="11"/>
          <w:rFonts w:hint="eastAsia"/>
        </w:rPr>
        <w:t>https://industrial.panasonic.cn/ea/products/pt/sp-cap/models?op=search#model-list-search-results</w:t>
      </w:r>
      <w:r>
        <w:rPr>
          <w:rStyle w:val="11"/>
          <w:rFonts w:hint="eastAsia"/>
        </w:rPr>
        <w:fldChar w:fldCharType="end"/>
      </w:r>
    </w:p>
    <w:p w14:paraId="25943882">
      <w:r>
        <w:rPr>
          <w:rFonts w:hint="eastAsia"/>
        </w:rPr>
        <w:t>URL层级语义化（如：product:100uf-10V）,不能使用无意义的动态参数（如？id=512）</w:t>
      </w:r>
    </w:p>
    <w:p w14:paraId="4F37C92D">
      <w:pPr>
        <w:numPr>
          <w:ilvl w:val="0"/>
          <w:numId w:val="2"/>
        </w:numPr>
      </w:pPr>
      <w:r>
        <w:rPr>
          <w:rFonts w:hint="eastAsia"/>
          <w:b/>
          <w:bCs/>
          <w:color w:val="0000FF"/>
          <w:sz w:val="28"/>
          <w:szCs w:val="28"/>
        </w:rPr>
        <w:t>API与每日更新</w:t>
      </w:r>
      <w:r>
        <w:rPr>
          <w:rFonts w:hint="eastAsia"/>
        </w:rPr>
        <w:t>：底层产品搜索数据每日自动更新。同时通过开放API接口（</w:t>
      </w:r>
      <w:r>
        <w:rPr>
          <w:rFonts w:hint="eastAsia"/>
          <w:b/>
          <w:bCs/>
        </w:rPr>
        <w:t>参考村田</w:t>
      </w:r>
      <w:r>
        <w:rPr>
          <w:rFonts w:hint="eastAsia"/>
        </w:rPr>
        <w:t xml:space="preserve"> https://api.murata.com/v2/products）对外提供JSON格式的规格数据。</w:t>
      </w:r>
    </w:p>
    <w:p w14:paraId="6ED9000A">
      <w:r>
        <w:rPr>
          <w:rFonts w:hint="eastAsia"/>
        </w:rPr>
        <w:t>模糊通配符支持： 搜索框底层支持星号（*）和问号（?）逻辑，提升不完整料号的匹配率 。</w:t>
      </w:r>
    </w:p>
    <w:p w14:paraId="5697C3AF"/>
    <w:p w14:paraId="12E97891">
      <w:pPr>
        <w:numPr>
          <w:ilvl w:val="0"/>
          <w:numId w:val="2"/>
        </w:numPr>
      </w:pPr>
      <w:r>
        <w:rPr>
          <w:rFonts w:hint="eastAsia"/>
          <w:b/>
          <w:bCs/>
          <w:color w:val="0000FF"/>
          <w:sz w:val="28"/>
          <w:szCs w:val="28"/>
        </w:rPr>
        <w:t>可抓取HTML</w:t>
      </w:r>
      <w:r>
        <w:rPr>
          <w:rFonts w:hint="eastAsia"/>
        </w:rPr>
        <w:t>：产品筛选功能页、筛选结果落地页，支持服务端输出可抓取HTML（SSR/预渲染），不能依赖前端JS渲染导致抓取失败。</w:t>
      </w:r>
    </w:p>
    <w:p w14:paraId="15B453E4">
      <w:pPr>
        <w:numPr>
          <w:ilvl w:val="0"/>
          <w:numId w:val="2"/>
        </w:numPr>
      </w:pPr>
      <w:r>
        <w:rPr>
          <w:rFonts w:hint="eastAsia"/>
          <w:b/>
          <w:bCs/>
          <w:color w:val="0000FF"/>
          <w:sz w:val="28"/>
          <w:szCs w:val="28"/>
        </w:rPr>
        <w:t>Schema类型制定</w:t>
      </w:r>
      <w:r>
        <w:rPr>
          <w:rFonts w:hint="eastAsia"/>
        </w:rPr>
        <w:t>：必须埋设product(产品) 、MerchantListing(商家列表)、FAQPage(问答)、BreadcrumbList(面包屑)等四类标记。</w:t>
      </w:r>
    </w:p>
    <w:p w14:paraId="134056AD"/>
    <w:p w14:paraId="6DEC9AB3"/>
    <w:p w14:paraId="387571AB">
      <w:pPr>
        <w:rPr>
          <w:b/>
          <w:bCs/>
          <w:sz w:val="30"/>
          <w:szCs w:val="30"/>
          <w:highlight w:val="yellow"/>
        </w:rPr>
      </w:pPr>
      <w:r>
        <w:rPr>
          <w:rFonts w:hint="eastAsia"/>
          <w:b/>
          <w:bCs/>
          <w:sz w:val="30"/>
          <w:szCs w:val="30"/>
          <w:highlight w:val="yellow"/>
        </w:rPr>
        <w:t>1.2 产品详情页（图示：贵弥功、村田）</w:t>
      </w:r>
    </w:p>
    <w:p w14:paraId="3F327389">
      <w:pPr>
        <w:rPr>
          <w:b/>
          <w:bCs/>
          <w:sz w:val="30"/>
          <w:szCs w:val="30"/>
          <w:highlight w:val="yellow"/>
        </w:rPr>
      </w:pPr>
      <w:r>
        <w:rPr>
          <w:rFonts w:hint="eastAsia"/>
          <w:b/>
          <w:bCs/>
          <w:sz w:val="30"/>
          <w:szCs w:val="30"/>
          <w:highlight w:val="yellow"/>
        </w:rPr>
        <w:t>产品详情页字段：推广部已经从</w:t>
      </w:r>
      <w:r>
        <w:rPr>
          <w:rFonts w:hint="eastAsia"/>
          <w:b/>
          <w:bCs/>
          <w:color w:val="0000FF"/>
          <w:sz w:val="30"/>
          <w:szCs w:val="30"/>
          <w:highlight w:val="yellow"/>
        </w:rPr>
        <w:t>AI友好型、专业化、国际化</w:t>
      </w:r>
      <w:r>
        <w:rPr>
          <w:rFonts w:hint="eastAsia"/>
          <w:b/>
          <w:bCs/>
          <w:sz w:val="30"/>
          <w:szCs w:val="30"/>
          <w:highlight w:val="yellow"/>
        </w:rPr>
        <w:t>方面共梳理了44个字段，经过和同行【松下、贵弥功、村田】的对比，保留了</w:t>
      </w:r>
      <w:r>
        <w:rPr>
          <w:rFonts w:hint="eastAsia"/>
          <w:b/>
          <w:bCs/>
          <w:color w:val="0000FF"/>
          <w:sz w:val="30"/>
          <w:szCs w:val="30"/>
          <w:highlight w:val="yellow"/>
        </w:rPr>
        <w:t>31个字段</w:t>
      </w:r>
      <w:r>
        <w:rPr>
          <w:rFonts w:hint="eastAsia"/>
          <w:b/>
          <w:bCs/>
          <w:sz w:val="30"/>
          <w:szCs w:val="30"/>
          <w:highlight w:val="yellow"/>
        </w:rPr>
        <w:t>。31个字段中，CRM有11个字段，剩20个字段，要补充。因为未来新官网的产品数据，从CRM直接通过API接口同步到官网。</w:t>
      </w:r>
    </w:p>
    <w:p w14:paraId="0095937E">
      <w:pPr>
        <w:rPr>
          <w:b/>
          <w:bCs/>
          <w:sz w:val="30"/>
          <w:szCs w:val="30"/>
          <w:highlight w:val="yellow"/>
        </w:rPr>
      </w:pPr>
      <w:r>
        <w:rPr>
          <w:b/>
          <w:bCs/>
          <w:sz w:val="30"/>
          <w:szCs w:val="30"/>
        </w:rPr>
        <w:object>
          <v:shape id="_x0000_i1026" o:spt="75" type="#_x0000_t75" style="height:66pt;width:72.6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15">
            <o:LockedField>false</o:LockedField>
          </o:OLEObject>
        </w:object>
      </w:r>
      <w:r>
        <w:rPr>
          <w:b/>
          <w:bCs/>
          <w:sz w:val="30"/>
          <w:szCs w:val="30"/>
        </w:rPr>
        <w:object>
          <v:shape id="_x0000_i1027" o:spt="75" type="#_x0000_t75" style="height:66pt;width:72.6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7">
            <o:LockedField>false</o:LockedField>
          </o:OLEObject>
        </w:object>
      </w:r>
      <w:r>
        <w:rPr>
          <w:rFonts w:hint="eastAsia"/>
          <w:b/>
          <w:bCs/>
          <w:sz w:val="30"/>
          <w:szCs w:val="30"/>
          <w:highlight w:val="yellow"/>
        </w:rPr>
        <w:br w:type="textWrapping"/>
      </w:r>
      <w:r>
        <w:rPr>
          <w:rFonts w:hint="eastAsia"/>
          <w:b/>
          <w:bCs/>
          <w:sz w:val="30"/>
          <w:szCs w:val="30"/>
          <w:highlight w:val="yellow"/>
        </w:rPr>
        <w:t>详情页展示样式及关联功能：</w:t>
      </w:r>
      <w:r>
        <w:rPr>
          <w:rFonts w:hint="eastAsia"/>
          <w:b/>
          <w:bCs/>
          <w:color w:val="FF0000"/>
          <w:sz w:val="30"/>
          <w:szCs w:val="30"/>
        </w:rPr>
        <w:t>需讨论确定永铭</w:t>
      </w:r>
    </w:p>
    <w:p w14:paraId="50B387BB">
      <w:pPr>
        <w:rPr>
          <w:b/>
          <w:bCs/>
          <w:sz w:val="30"/>
          <w:szCs w:val="30"/>
          <w:highlight w:val="yellow"/>
        </w:rPr>
      </w:pPr>
    </w:p>
    <w:p w14:paraId="1B9472DD">
      <w:r>
        <w:rPr>
          <w:rFonts w:hint="eastAsia"/>
        </w:rPr>
        <w:drawing>
          <wp:inline distT="0" distB="0" distL="114300" distR="114300">
            <wp:extent cx="2450465" cy="4852670"/>
            <wp:effectExtent l="12700" t="12700" r="13335" b="30480"/>
            <wp:docPr id="5" name="图片 5" descr="EMHU250JRA471MJA5G 铝电解电容器｜日本贵弥功株式会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MHU250JRA471MJA5G 铝电解电容器｜日本贵弥功株式会社"/>
                    <pic:cNvPicPr>
                      <a:picLocks noChangeAspect="1"/>
                    </pic:cNvPicPr>
                  </pic:nvPicPr>
                  <pic:blipFill>
                    <a:blip r:embed="rId19"/>
                    <a:srcRect l="28556" r="24928" b="23450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485267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114300" distR="114300">
            <wp:extent cx="2090420" cy="4859655"/>
            <wp:effectExtent l="12700" t="12700" r="30480" b="23495"/>
            <wp:docPr id="8" name="图片 8" descr="ECGCY0G471R - 导电性聚合物片式铝电解电容器(SP-Cap) - 导电性聚合物电容器 - 松下电器机电（中国）有限公司 官方网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CGCY0G471R - 导电性聚合物片式铝电解电容器(SP-Cap) - 导电性聚合物电容器 - 松下电器机电（中国）有限公司 官方网站"/>
                    <pic:cNvPicPr>
                      <a:picLocks noChangeAspect="1"/>
                    </pic:cNvPicPr>
                  </pic:nvPicPr>
                  <pic:blipFill>
                    <a:blip r:embed="rId20"/>
                    <a:srcRect l="29255" r="28086" b="35292"/>
                    <a:stretch>
                      <a:fillRect/>
                    </a:stretch>
                  </pic:blipFill>
                  <pic:spPr>
                    <a:xfrm>
                      <a:off x="0" y="0"/>
                      <a:ext cx="2090420" cy="485965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8D505B5"/>
    <w:p w14:paraId="3078E7E8"/>
    <w:p w14:paraId="71CA5DB0">
      <w:pPr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【详情页功能】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专业化</w:t>
      </w:r>
      <w:r>
        <w:rPr>
          <w:rFonts w:hint="eastAsia"/>
          <w:b/>
          <w:bCs/>
          <w:sz w:val="28"/>
          <w:szCs w:val="28"/>
          <w:highlight w:val="yellow"/>
        </w:rPr>
        <w:t>要求（7项）</w:t>
      </w:r>
    </w:p>
    <w:p w14:paraId="6DB0BB4C"/>
    <w:p w14:paraId="1BD1D2C9">
      <w:pPr>
        <w:rPr>
          <w:b/>
          <w:bCs/>
        </w:rPr>
      </w:pPr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 xml:space="preserve">测试条件绑定展示： </w:t>
      </w:r>
      <w:r>
        <w:rPr>
          <w:rFonts w:hint="eastAsia"/>
        </w:rPr>
        <w:t>以型号 HHXK160ARA561MHA0G 为例，参数不仅显示数值，强制绑定物理测试条件。寿命标明 4000hrs / 125℃ / DC+Ripple；ESR标明 20mΩ max / 20℃ / 100kHz 。</w:t>
      </w:r>
      <w:r>
        <w:rPr>
          <w:rFonts w:hint="eastAsia"/>
          <w:b/>
          <w:bCs/>
        </w:rPr>
        <w:t>参考贵弥功 (Nippon Chemi-Con)</w:t>
      </w:r>
    </w:p>
    <w:p w14:paraId="6CC3B7A7">
      <w:pPr>
        <w:jc w:val="center"/>
      </w:pPr>
      <w:r>
        <w:drawing>
          <wp:inline distT="0" distB="0" distL="114300" distR="114300">
            <wp:extent cx="3098165" cy="3921760"/>
            <wp:effectExtent l="0" t="0" r="6985" b="254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795A">
      <w:r>
        <w:rPr>
          <w:rFonts w:hint="eastAsia"/>
          <w:b/>
          <w:bCs/>
          <w:sz w:val="28"/>
          <w:szCs w:val="28"/>
        </w:rPr>
        <w:t>2、</w:t>
      </w:r>
      <w:r>
        <w:rPr>
          <w:rFonts w:hint="eastAsia"/>
          <w:b/>
          <w:bCs/>
          <w:color w:val="0000FF"/>
          <w:sz w:val="28"/>
          <w:szCs w:val="28"/>
        </w:rPr>
        <w:t>工程工具直达：</w:t>
      </w:r>
      <w:r>
        <w:rPr>
          <w:rFonts w:hint="eastAsia"/>
        </w:rPr>
        <w:t xml:space="preserve"> 页面提供该型号的“寿命推算工具（Lifetime Estimation）”跳转入口，以及专属的可靠性测试数据（Reliability test data）、SPICE模型ZIP包、3D-CAD文件下载 。</w:t>
      </w:r>
      <w:r>
        <w:rPr>
          <w:rFonts w:hint="eastAsia"/>
          <w:b/>
          <w:bCs/>
        </w:rPr>
        <w:t>参考贵弥功 (Nippon Chemi-Con)</w:t>
      </w:r>
    </w:p>
    <w:p w14:paraId="69202815">
      <w:pPr>
        <w:jc w:val="center"/>
      </w:pPr>
      <w:r>
        <w:drawing>
          <wp:inline distT="0" distB="0" distL="114300" distR="114300">
            <wp:extent cx="5273040" cy="3469005"/>
            <wp:effectExtent l="0" t="0" r="3810" b="1714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2FA61">
      <w:r>
        <w:rPr>
          <w:rFonts w:hint="eastAsia"/>
          <w:b/>
          <w:bCs/>
          <w:sz w:val="28"/>
          <w:szCs w:val="28"/>
        </w:rPr>
        <w:t>3、</w:t>
      </w:r>
      <w:r>
        <w:rPr>
          <w:rFonts w:hint="eastAsia"/>
          <w:b/>
          <w:bCs/>
          <w:color w:val="0000FF"/>
          <w:sz w:val="28"/>
          <w:szCs w:val="28"/>
        </w:rPr>
        <w:t>合规性文档自动化：</w:t>
      </w:r>
      <w:r>
        <w:rPr>
          <w:rFonts w:hint="eastAsia"/>
        </w:rPr>
        <w:t xml:space="preserve"> 用户在详情页或下载中心输入单一零件编号，系统自动生成该料号对应的RoHS指令和REACH法规确认报告 。</w:t>
      </w:r>
      <w:r>
        <w:rPr>
          <w:rFonts w:hint="eastAsia"/>
          <w:b/>
          <w:bCs/>
        </w:rPr>
        <w:t>参考松下 (Panasonic)</w:t>
      </w:r>
    </w:p>
    <w:p w14:paraId="739CE099">
      <w:r>
        <w:drawing>
          <wp:inline distT="0" distB="0" distL="114300" distR="114300">
            <wp:extent cx="4180840" cy="4079875"/>
            <wp:effectExtent l="12700" t="12700" r="16510" b="2222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40798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95445" cy="3166745"/>
            <wp:effectExtent l="12700" t="12700" r="20955" b="2095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31667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ED3D1">
      <w:r>
        <w:rPr>
          <w:rFonts w:hint="eastAsia"/>
          <w:b/>
          <w:bCs/>
          <w:sz w:val="28"/>
          <w:szCs w:val="28"/>
        </w:rPr>
        <w:t>4、</w:t>
      </w:r>
      <w:r>
        <w:rPr>
          <w:rFonts w:hint="eastAsia"/>
          <w:b/>
          <w:bCs/>
          <w:color w:val="0000FF"/>
          <w:sz w:val="28"/>
          <w:szCs w:val="28"/>
        </w:rPr>
        <w:t>场景化CAD提供：</w:t>
      </w:r>
      <w:r>
        <w:rPr>
          <w:rFonts w:hint="eastAsia"/>
        </w:rPr>
        <w:t xml:space="preserve"> 针对相同物理尺寸的贴片电容（如 G13、J16 尺寸），分别提供“标准版”和“抗震版（Vibration-proof）”两套不同的3D-CAD（.stp）模型下载 。</w:t>
      </w:r>
      <w:r>
        <w:rPr>
          <w:rFonts w:hint="eastAsia"/>
          <w:b/>
          <w:bCs/>
        </w:rPr>
        <w:t>参考松下 (Panasonic)</w:t>
      </w:r>
    </w:p>
    <w:p w14:paraId="1F65BB78">
      <w:r>
        <w:drawing>
          <wp:inline distT="0" distB="0" distL="114300" distR="114300">
            <wp:extent cx="5269865" cy="2920365"/>
            <wp:effectExtent l="0" t="0" r="6985" b="1333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3B7C4">
      <w:r>
        <w:rPr>
          <w:rFonts w:hint="eastAsia"/>
        </w:rPr>
        <w:t>SamacSys SnapMagic这两种下载方式的主要区别在于提供数据的第三方平台不同。虽然它们都能下载到“ECGGY0G471R”这个元器件的 3D 模型、PCB 符号和封装，但背后的数据来源和下载流程是独立的。</w:t>
      </w:r>
    </w:p>
    <w:p w14:paraId="31278183">
      <w:r>
        <w:rPr>
          <w:rFonts w:hint="eastAsia"/>
        </w:rPr>
        <w:t>具体对比如下：</w:t>
      </w:r>
    </w:p>
    <w:p w14:paraId="7DB26E46">
      <w:r>
        <w:rPr>
          <w:rFonts w:hint="eastAsia"/>
        </w:rPr>
        <w:t>1. SamacSys</w:t>
      </w:r>
    </w:p>
    <w:p w14:paraId="6ACF0BD9">
      <w:r>
        <w:rPr>
          <w:rFonts w:hint="eastAsia"/>
        </w:rPr>
        <w:t>来源：数据由 SamacSys 公司提供。</w:t>
      </w:r>
    </w:p>
    <w:p w14:paraId="43434832">
      <w:r>
        <w:rPr>
          <w:rFonts w:hint="eastAsia"/>
        </w:rPr>
        <w:t>特点：</w:t>
      </w:r>
    </w:p>
    <w:p w14:paraId="574DFF20">
      <w:r>
        <w:rPr>
          <w:rFonts w:hint="eastAsia"/>
        </w:rPr>
        <w:t>SamacSys 是专注于电子元器件 CAD 模型的知名服务商，为许多主流 EDA 软件（如 Altium Designer、KiCad、Eagle 等）提供库文件。</w:t>
      </w:r>
    </w:p>
    <w:p w14:paraId="6FB23665">
      <w:r>
        <w:rPr>
          <w:rFonts w:hint="eastAsia"/>
        </w:rPr>
        <w:t>通常会提供高精度的模型，并且可以直接在支持的 EDA 软件中通过插件加载。</w:t>
      </w:r>
    </w:p>
    <w:p w14:paraId="1E6147AF">
      <w:r>
        <w:rPr>
          <w:rFonts w:hint="eastAsia"/>
        </w:rPr>
        <w:t>操作：点击后会跳转到 SamacSys 官网，需要注册或登录 SamacSys 的免费账号才能下载。</w:t>
      </w:r>
    </w:p>
    <w:p w14:paraId="355C4008">
      <w:r>
        <w:rPr>
          <w:rFonts w:hint="eastAsia"/>
        </w:rPr>
        <w:t>2. SnapMagic</w:t>
      </w:r>
    </w:p>
    <w:p w14:paraId="78DC7A82">
      <w:r>
        <w:rPr>
          <w:rFonts w:hint="eastAsia"/>
        </w:rPr>
        <w:t>来源：数据由 SnapMagic（原名 SnapEDA）提供。</w:t>
      </w:r>
    </w:p>
    <w:p w14:paraId="6A0159D2">
      <w:r>
        <w:rPr>
          <w:rFonts w:hint="eastAsia"/>
        </w:rPr>
        <w:t>特点：</w:t>
      </w:r>
    </w:p>
    <w:p w14:paraId="095DC33F">
      <w:r>
        <w:rPr>
          <w:rFonts w:hint="eastAsia"/>
        </w:rPr>
        <w:t>SnapMagic 同样是电子元器件 CAD 模型的大型平台，拥有庞大的库资源。</w:t>
      </w:r>
    </w:p>
    <w:p w14:paraId="5BD5C3E4">
      <w:r>
        <w:rPr>
          <w:rFonts w:hint="eastAsia"/>
        </w:rPr>
        <w:t>界面可能更侧重于搜索和快速集成，同样支持多种 EDA 格式。</w:t>
      </w:r>
    </w:p>
    <w:p w14:paraId="706C5B7A">
      <w:r>
        <w:rPr>
          <w:rFonts w:hint="eastAsia"/>
        </w:rPr>
        <w:t>SnapMagic 还提供基于 AI 的原理图设计建议功能，但下载模型的核心功能是免费的。</w:t>
      </w:r>
    </w:p>
    <w:p w14:paraId="4F8530DE">
      <w:r>
        <w:rPr>
          <w:rFonts w:hint="eastAsia"/>
        </w:rPr>
        <w:t>操作：点击后会跳转到 SnapMagic 的页面，需要注册或登录 SnapMagic 的免费账号。</w:t>
      </w:r>
    </w:p>
    <w:p w14:paraId="771F13E4">
      <w:r>
        <w:rPr>
          <w:rFonts w:hint="eastAsia"/>
          <w:b/>
          <w:bCs/>
          <w:sz w:val="28"/>
          <w:szCs w:val="28"/>
        </w:rPr>
        <w:t>5、</w:t>
      </w:r>
      <w:r>
        <w:rPr>
          <w:rFonts w:hint="eastAsia"/>
          <w:b/>
          <w:bCs/>
          <w:color w:val="0000FF"/>
          <w:sz w:val="28"/>
          <w:szCs w:val="28"/>
        </w:rPr>
        <w:t>在线系统级仿真：</w:t>
      </w:r>
      <w:r>
        <w:rPr>
          <w:rFonts w:hint="eastAsia"/>
        </w:rPr>
        <w:t xml:space="preserve"> 详情页关联LC滤波器模拟器，支持工程师直接使用松下电容器与电感器搭建π型、T型、L型滤波网络，并在线输出衰减特性图表与CSV数据。松下 (Panasonic)</w:t>
      </w:r>
    </w:p>
    <w:p w14:paraId="3413D04B">
      <w:pPr>
        <w:jc w:val="center"/>
      </w:pPr>
      <w:r>
        <w:drawing>
          <wp:inline distT="0" distB="0" distL="114300" distR="114300">
            <wp:extent cx="4104640" cy="4104640"/>
            <wp:effectExtent l="0" t="0" r="10160" b="1016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A1B1">
      <w:r>
        <w:rPr>
          <w:rFonts w:hint="eastAsia"/>
          <w:b/>
          <w:bCs/>
          <w:sz w:val="28"/>
          <w:szCs w:val="28"/>
        </w:rPr>
        <w:t>6、</w:t>
      </w:r>
      <w:r>
        <w:rPr>
          <w:rFonts w:hint="eastAsia"/>
          <w:b/>
          <w:bCs/>
          <w:color w:val="0000FF"/>
          <w:sz w:val="28"/>
          <w:szCs w:val="28"/>
        </w:rPr>
        <w:t>SimSurfing 动态模型平台：</w:t>
      </w:r>
      <w:r>
        <w:rPr>
          <w:rFonts w:hint="eastAsia"/>
        </w:rPr>
        <w:t xml:space="preserve"> 在线设计辅助软件SimSurfing集成在页面中，提供的SPICE与S参数为“动态模型”，能真实反映多层陶瓷电容器因温度波动和直流偏置电压（DC Bias）改变而导致的容值非线性变化。</w:t>
      </w:r>
      <w:r>
        <w:rPr>
          <w:rFonts w:hint="eastAsia"/>
          <w:b/>
          <w:bCs/>
        </w:rPr>
        <w:t>参考松下 (Panasonic)</w:t>
      </w:r>
    </w:p>
    <w:p w14:paraId="120A0891">
      <w:pPr>
        <w:jc w:val="center"/>
      </w:pPr>
      <w:r>
        <w:drawing>
          <wp:inline distT="0" distB="0" distL="114300" distR="114300">
            <wp:extent cx="3717925" cy="3764915"/>
            <wp:effectExtent l="0" t="0" r="15875" b="698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995C6">
      <w:r>
        <w:rPr>
          <w:rFonts w:hint="eastAsia"/>
          <w:b/>
          <w:bCs/>
          <w:sz w:val="28"/>
          <w:szCs w:val="28"/>
        </w:rPr>
        <w:t>7、</w:t>
      </w:r>
      <w:r>
        <w:rPr>
          <w:rFonts w:hint="eastAsia"/>
          <w:b/>
          <w:bCs/>
          <w:color w:val="0000FF"/>
          <w:sz w:val="28"/>
          <w:szCs w:val="28"/>
        </w:rPr>
        <w:t>市场准入矩阵表：</w:t>
      </w:r>
      <w:r>
        <w:rPr>
          <w:rFonts w:hint="eastAsia"/>
        </w:rPr>
        <w:t xml:space="preserve"> 以表格打钩的形式明确标示元件是否适用于特定法规市场（如普通消费类、车载动力总成、GHTF医疗设备等），并配有最高耐温图标（如150℃ max） 。</w:t>
      </w:r>
      <w:r>
        <w:rPr>
          <w:rFonts w:hint="eastAsia"/>
          <w:b/>
          <w:bCs/>
        </w:rPr>
        <w:t>参考村田</w:t>
      </w:r>
    </w:p>
    <w:p w14:paraId="192C0A79"/>
    <w:p w14:paraId="401DCFC3"/>
    <w:p w14:paraId="7EA84873">
      <w:pPr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【详情页功能】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AI友好型</w:t>
      </w:r>
      <w:r>
        <w:rPr>
          <w:rFonts w:hint="eastAsia"/>
          <w:b/>
          <w:bCs/>
          <w:sz w:val="28"/>
          <w:szCs w:val="28"/>
          <w:highlight w:val="yellow"/>
        </w:rPr>
        <w:t>要求（3项）</w:t>
      </w:r>
    </w:p>
    <w:p w14:paraId="0A6ADDD8">
      <w:pPr>
        <w:rPr>
          <w:b/>
          <w:bCs/>
          <w:sz w:val="28"/>
          <w:szCs w:val="28"/>
          <w:highlight w:val="yellow"/>
        </w:rPr>
      </w:pPr>
    </w:p>
    <w:p w14:paraId="1BD51C65"/>
    <w:p w14:paraId="7D8DD533">
      <w:pPr>
        <w:rPr>
          <w:b/>
          <w:bCs/>
        </w:rPr>
      </w:pPr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</w:rPr>
        <w:t>独立数据矩阵： 页面没有冗长的营销文本，直接分为“耐久性规格”、“电气特性”等多个标准化微表格，键值对（Key-Value）清晰，极大降低了大模型提取参数发生“幻觉”的概率 。</w:t>
      </w:r>
      <w:r>
        <w:rPr>
          <w:rFonts w:hint="eastAsia"/>
          <w:b/>
          <w:bCs/>
        </w:rPr>
        <w:t>参考贵弥功 (Nippon Chemi-Con)</w:t>
      </w:r>
    </w:p>
    <w:p w14:paraId="61B1AEA3">
      <w:pPr>
        <w:rPr>
          <w:b/>
          <w:bCs/>
        </w:rPr>
      </w:pPr>
      <w:r>
        <w:drawing>
          <wp:inline distT="0" distB="0" distL="114300" distR="114300">
            <wp:extent cx="2138045" cy="2090420"/>
            <wp:effectExtent l="0" t="0" r="14605" b="508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96AF">
      <w:pPr>
        <w:rPr>
          <w:b/>
          <w:bCs/>
        </w:rPr>
      </w:pPr>
      <w:r>
        <w:rPr>
          <w:rFonts w:hint="eastAsia"/>
          <w:b/>
          <w:bCs/>
          <w:sz w:val="28"/>
          <w:szCs w:val="28"/>
        </w:rPr>
        <w:t>2、</w:t>
      </w:r>
      <w:r>
        <w:rPr>
          <w:rFonts w:hint="eastAsia"/>
        </w:rPr>
        <w:t>结构化工厂数据： 公开各工厂的ISO 9001/14001认证编号及有效期，提升了供应链检索AI核实企业资质的效率 。</w:t>
      </w:r>
      <w:r>
        <w:rPr>
          <w:rFonts w:hint="eastAsia"/>
          <w:b/>
          <w:bCs/>
        </w:rPr>
        <w:t>参考松下</w:t>
      </w:r>
    </w:p>
    <w:p w14:paraId="5359CE97">
      <w:pPr>
        <w:rPr>
          <w:b/>
          <w:bCs/>
        </w:rPr>
      </w:pPr>
      <w:r>
        <w:rPr>
          <w:rFonts w:hint="eastAsia"/>
          <w:b/>
          <w:bCs/>
          <w:sz w:val="28"/>
          <w:szCs w:val="28"/>
        </w:rPr>
        <w:t>3、</w:t>
      </w:r>
      <w:r>
        <w:rPr>
          <w:rFonts w:hint="eastAsia"/>
        </w:rPr>
        <w:t>语义网基础（Schema.org）： 村田在文档底层支持机器可读标准的提取。当AI抽取元件数据时，能通过特定的标识符建立“产品-参数-测试环境”三者的知识关联。</w:t>
      </w:r>
      <w:r>
        <w:rPr>
          <w:rFonts w:hint="eastAsia"/>
          <w:b/>
          <w:bCs/>
        </w:rPr>
        <w:t>参考村田 (Murata)</w:t>
      </w:r>
    </w:p>
    <w:p w14:paraId="53D83A83">
      <w:r>
        <w:rPr>
          <w:rFonts w:hint="eastAsia"/>
        </w:rPr>
        <w:t>永铭现官网在所有产品详情页已经做了详细的Schema标记给AI读取：以下是产品详情页源文件展示的Schema标记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8315"/>
      </w:tblGrid>
      <w:tr w14:paraId="5E49F0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8315" w:type="dxa"/>
          <w:trHeight w:val="24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7DACA1">
            <w:pPr>
              <w:widowControl/>
              <w:jc w:val="left"/>
              <w:rPr>
                <w:color w:val="000000"/>
              </w:rPr>
            </w:pPr>
          </w:p>
        </w:tc>
      </w:tr>
      <w:tr w14:paraId="731E21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CDCC6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EB08EE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&lt;script type="application/ld+json"&gt;{</w:t>
            </w:r>
          </w:p>
        </w:tc>
      </w:tr>
      <w:tr w14:paraId="5FD6F9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7BCC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7D4BE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"@context": "https://schema.org/",</w:t>
            </w:r>
          </w:p>
        </w:tc>
      </w:tr>
      <w:tr w14:paraId="015CEE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77C3F9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D75D3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"Product",</w:t>
            </w:r>
          </w:p>
        </w:tc>
      </w:tr>
      <w:tr w14:paraId="7E4B29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09F4E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E1E15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"CN32G102MNNAS09S2",</w:t>
            </w:r>
          </w:p>
        </w:tc>
      </w:tr>
      <w:tr w14:paraId="226B2D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EFA422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6A674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"description": "</w:t>
            </w:r>
          </w:p>
        </w:tc>
      </w:tr>
      <w:tr w14:paraId="1C7BF2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17F120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A7A24F">
            <w:pPr>
              <w:widowControl/>
              <w:jc w:val="left"/>
              <w:rPr>
                <w:color w:val="000000"/>
              </w:rPr>
            </w:pPr>
          </w:p>
        </w:tc>
      </w:tr>
      <w:tr w14:paraId="41E6B8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7FBBB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0475DE">
            <w:pPr>
              <w:widowControl/>
              <w:jc w:val="left"/>
              <w:rPr>
                <w:color w:val="000000"/>
              </w:rPr>
            </w:pPr>
          </w:p>
        </w:tc>
      </w:tr>
      <w:tr w14:paraId="225796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D3CC68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05939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小体积 超低温</w:t>
            </w:r>
          </w:p>
        </w:tc>
      </w:tr>
      <w:tr w14:paraId="24CFCC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AA58DB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0CC404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85℃ 3000小时</w:t>
            </w:r>
          </w:p>
        </w:tc>
      </w:tr>
      <w:tr w14:paraId="64575E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BA6B32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EEEE68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适用于变频器、工业驱动</w:t>
            </w:r>
          </w:p>
        </w:tc>
      </w:tr>
      <w:tr w14:paraId="7C016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1F197C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CAECD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RoHS指令对应...",</w:t>
            </w:r>
          </w:p>
        </w:tc>
      </w:tr>
      <w:tr w14:paraId="61D8E0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2162E4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207ADF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"brand": {</w:t>
            </w:r>
          </w:p>
        </w:tc>
      </w:tr>
      <w:tr w14:paraId="50255D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1F069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3C0B12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"Brand",</w:t>
            </w:r>
          </w:p>
        </w:tc>
      </w:tr>
      <w:tr w14:paraId="6E95F1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18C52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FE86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"永铭电子"</w:t>
            </w:r>
          </w:p>
        </w:tc>
      </w:tr>
      <w:tr w14:paraId="107F5E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971236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AE945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</w:t>
            </w:r>
          </w:p>
        </w:tc>
      </w:tr>
      <w:tr w14:paraId="33B1C3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4D3945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A45A3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"sku": "CN32G102MNNAS09S2",</w:t>
            </w:r>
          </w:p>
        </w:tc>
      </w:tr>
      <w:tr w14:paraId="0A403F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3021F3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3162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"image": "/uploads/images/20240113/1fc68235c3d394a4539787ad3c6d599b.png",</w:t>
            </w:r>
          </w:p>
        </w:tc>
      </w:tr>
      <w:tr w14:paraId="4B85A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5BB189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0B496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"aggregateRating": {</w:t>
            </w:r>
          </w:p>
        </w:tc>
      </w:tr>
      <w:tr w14:paraId="371B5E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0FDFC5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500604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"AggregateRating",</w:t>
            </w:r>
          </w:p>
        </w:tc>
      </w:tr>
      <w:tr w14:paraId="5E3FEA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78114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9C7F15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"ratingValue": "4.5",</w:t>
            </w:r>
          </w:p>
        </w:tc>
      </w:tr>
      <w:tr w14:paraId="18C151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94D1C3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67B4D4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"reviewCount": "50",</w:t>
            </w:r>
          </w:p>
        </w:tc>
      </w:tr>
      <w:tr w14:paraId="687E45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D54827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A4FF78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"bestRating": "5",</w:t>
            </w:r>
          </w:p>
        </w:tc>
      </w:tr>
      <w:tr w14:paraId="496450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435C86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EEDA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"worstRating": "1"</w:t>
            </w:r>
          </w:p>
        </w:tc>
      </w:tr>
      <w:tr w14:paraId="518189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0C6C29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02C369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</w:t>
            </w:r>
          </w:p>
        </w:tc>
      </w:tr>
      <w:tr w14:paraId="5E914C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43D08D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6A6EF3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"review": [</w:t>
            </w:r>
          </w:p>
        </w:tc>
      </w:tr>
      <w:tr w14:paraId="16FBEF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ECA5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5BCE5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{</w:t>
            </w:r>
          </w:p>
        </w:tc>
      </w:tr>
      <w:tr w14:paraId="021370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597008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30CCE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"Review",</w:t>
            </w:r>
          </w:p>
        </w:tc>
      </w:tr>
      <w:tr w14:paraId="763B60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3085A7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519322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"author": {</w:t>
            </w:r>
          </w:p>
        </w:tc>
      </w:tr>
      <w:tr w14:paraId="75F552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7A5DFE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C78ABD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"Person",</w:t>
            </w:r>
          </w:p>
        </w:tc>
      </w:tr>
      <w:tr w14:paraId="0822ED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DE81EB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871DF3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"满意客户"</w:t>
            </w:r>
          </w:p>
        </w:tc>
      </w:tr>
      <w:tr w14:paraId="0C91C6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BE2282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BE823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</w:t>
            </w:r>
          </w:p>
        </w:tc>
      </w:tr>
      <w:tr w14:paraId="71E578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0C0D8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59E6DC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"datePublished": "2024-01-15",</w:t>
            </w:r>
          </w:p>
        </w:tc>
      </w:tr>
      <w:tr w14:paraId="61EC49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F77148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706AC4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"reviewRating": {</w:t>
            </w:r>
          </w:p>
        </w:tc>
      </w:tr>
      <w:tr w14:paraId="65A099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E90A5C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AFD6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"Rating",</w:t>
            </w:r>
          </w:p>
        </w:tc>
      </w:tr>
      <w:tr w14:paraId="1779B0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583C41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F0AFF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"ratingValue": "5",</w:t>
            </w:r>
          </w:p>
        </w:tc>
      </w:tr>
      <w:tr w14:paraId="48E40C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0BF6FC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26159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"bestRating": "5",</w:t>
            </w:r>
          </w:p>
        </w:tc>
      </w:tr>
      <w:tr w14:paraId="7F8C4A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2C971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157200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"worstRating": "1"</w:t>
            </w:r>
          </w:p>
        </w:tc>
      </w:tr>
      <w:tr w14:paraId="2D207D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5A2042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E3E1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</w:t>
            </w:r>
          </w:p>
        </w:tc>
      </w:tr>
      <w:tr w14:paraId="34E3A8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69EBF4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5B959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"reviewBody": "产品质量很好，性能稳定，服务也很专业。",</w:t>
            </w:r>
          </w:p>
        </w:tc>
      </w:tr>
      <w:tr w14:paraId="49376E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F331EE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254C7C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"publisher": {</w:t>
            </w:r>
          </w:p>
        </w:tc>
      </w:tr>
      <w:tr w14:paraId="535E00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81A177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10F34C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"Organization",</w:t>
            </w:r>
          </w:p>
        </w:tc>
      </w:tr>
      <w:tr w14:paraId="3DE51B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D70416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E82F4B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"永铭电子"</w:t>
            </w:r>
          </w:p>
        </w:tc>
      </w:tr>
      <w:tr w14:paraId="2D8BB3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CBFA8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86876B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</w:t>
            </w:r>
          </w:p>
        </w:tc>
      </w:tr>
      <w:tr w14:paraId="4A695B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775522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A2B18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</w:t>
            </w:r>
          </w:p>
        </w:tc>
      </w:tr>
      <w:tr w14:paraId="2115FB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E897F0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FC80AC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],</w:t>
            </w:r>
          </w:p>
        </w:tc>
      </w:tr>
      <w:tr w14:paraId="49F525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76FDD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576EC9">
            <w:pPr>
              <w:rPr>
                <w:rFonts w:ascii="宋体"/>
                <w:color w:val="000000"/>
                <w:sz w:val="24"/>
              </w:rPr>
            </w:pPr>
          </w:p>
        </w:tc>
      </w:tr>
      <w:tr w14:paraId="0D2212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EC01AE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DB4DE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"offers": {</w:t>
            </w:r>
          </w:p>
        </w:tc>
      </w:tr>
      <w:tr w14:paraId="0CE982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B93E8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6D4883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"Offer",</w:t>
            </w:r>
          </w:p>
        </w:tc>
      </w:tr>
      <w:tr w14:paraId="10D390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814191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E1BE93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"priceCurrency": "CNY",</w:t>
            </w:r>
          </w:p>
        </w:tc>
      </w:tr>
      <w:tr w14:paraId="4455BA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538AF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AB74CC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"price": "0",</w:t>
            </w:r>
          </w:p>
        </w:tc>
      </w:tr>
      <w:tr w14:paraId="6B0D30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03E748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FB694D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"priceValidUntil": "2025-12-31",</w:t>
            </w:r>
          </w:p>
        </w:tc>
      </w:tr>
      <w:tr w14:paraId="727FC1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925AF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AA10A8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"availability": "https://schema.org/InStock",</w:t>
            </w:r>
          </w:p>
        </w:tc>
      </w:tr>
      <w:tr w14:paraId="02CD36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1365CC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8B8FB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"itemCondition": "https://schema.org/NewCondition",</w:t>
            </w:r>
          </w:p>
        </w:tc>
      </w:tr>
      <w:tr w14:paraId="0A7AAF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FBBDC4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B8C180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"shippingDetails": {</w:t>
            </w:r>
          </w:p>
        </w:tc>
      </w:tr>
      <w:tr w14:paraId="5B77BF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BF1A2B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74622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"OfferShippingDetails",</w:t>
            </w:r>
          </w:p>
        </w:tc>
      </w:tr>
      <w:tr w14:paraId="1EE1C0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7AD151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A430F0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"shippingRate": {</w:t>
            </w:r>
          </w:p>
        </w:tc>
      </w:tr>
      <w:tr w14:paraId="3ED8FD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5AD783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899C93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"MonetaryAmount",</w:t>
            </w:r>
          </w:p>
        </w:tc>
      </w:tr>
      <w:tr w14:paraId="16AA47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F7C4A3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C423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"0",</w:t>
            </w:r>
          </w:p>
        </w:tc>
      </w:tr>
      <w:tr w14:paraId="496926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E7D10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5E59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"currency": "CNY"</w:t>
            </w:r>
          </w:p>
        </w:tc>
      </w:tr>
      <w:tr w14:paraId="41A128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EFF5B9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AF8449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</w:t>
            </w:r>
          </w:p>
        </w:tc>
      </w:tr>
      <w:tr w14:paraId="7D730E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60B17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4DB4D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"shippingDestination": {</w:t>
            </w:r>
          </w:p>
        </w:tc>
      </w:tr>
      <w:tr w14:paraId="361E7B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00100E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A052FB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"DefinedRegion",</w:t>
            </w:r>
          </w:p>
        </w:tc>
      </w:tr>
      <w:tr w14:paraId="33925A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FAB905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E9F699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"addressCountry": "CN"</w:t>
            </w:r>
          </w:p>
        </w:tc>
      </w:tr>
      <w:tr w14:paraId="03F845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4A2C2C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7C292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</w:t>
            </w:r>
          </w:p>
        </w:tc>
      </w:tr>
      <w:tr w14:paraId="1A4AA2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2C385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B1FA02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"deliveryTime": {</w:t>
            </w:r>
          </w:p>
        </w:tc>
      </w:tr>
      <w:tr w14:paraId="0AC932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17879C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A701DC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"ShippingDeliveryTime",</w:t>
            </w:r>
          </w:p>
        </w:tc>
      </w:tr>
      <w:tr w14:paraId="773489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FB198C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7915E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"handlingTime": {</w:t>
            </w:r>
          </w:p>
        </w:tc>
      </w:tr>
      <w:tr w14:paraId="3F8D74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804968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7D3682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"QuantitativeValue",</w:t>
            </w:r>
          </w:p>
        </w:tc>
      </w:tr>
      <w:tr w14:paraId="6B4D92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934F3B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B2410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"minValue": "1",</w:t>
            </w:r>
          </w:p>
        </w:tc>
      </w:tr>
      <w:tr w14:paraId="58D7AB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466AB3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4D1EDB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"maxValue": "2"</w:t>
            </w:r>
          </w:p>
        </w:tc>
      </w:tr>
      <w:tr w14:paraId="050AFA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D1DA4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DC4BD9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</w:t>
            </w:r>
          </w:p>
        </w:tc>
      </w:tr>
      <w:tr w14:paraId="222849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658042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5CAD5B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"transitTime": {</w:t>
            </w:r>
          </w:p>
        </w:tc>
      </w:tr>
      <w:tr w14:paraId="0E5D76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8CEB65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8360F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"QuantitativeValue",</w:t>
            </w:r>
          </w:p>
        </w:tc>
      </w:tr>
      <w:tr w14:paraId="44874B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80545C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8B6B7C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"minValue": "3",</w:t>
            </w:r>
          </w:p>
        </w:tc>
      </w:tr>
      <w:tr w14:paraId="09F360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070A38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79A699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"maxValue": "7"</w:t>
            </w:r>
          </w:p>
        </w:tc>
      </w:tr>
      <w:tr w14:paraId="2A7064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CD71B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96B9BD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</w:t>
            </w:r>
          </w:p>
        </w:tc>
      </w:tr>
      <w:tr w14:paraId="5DD344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DA1D9B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3D6A33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</w:t>
            </w:r>
          </w:p>
        </w:tc>
      </w:tr>
      <w:tr w14:paraId="4BC56A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9E96A0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326242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</w:t>
            </w:r>
          </w:p>
        </w:tc>
      </w:tr>
      <w:tr w14:paraId="5154B7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B9A54E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36625D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"hasMerchantReturnPolicy": {</w:t>
            </w:r>
          </w:p>
        </w:tc>
      </w:tr>
      <w:tr w14:paraId="43BB4B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973CF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7AC409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"MerchantReturnPolicy",</w:t>
            </w:r>
          </w:p>
        </w:tc>
      </w:tr>
      <w:tr w14:paraId="2BB5DD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E0D78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5F8DCD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"returnPolicyCategory": "https://schema.org/MerchantReturnFiniteReturnWindow",</w:t>
            </w:r>
          </w:p>
        </w:tc>
      </w:tr>
      <w:tr w14:paraId="7614EB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F1D979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E7BB53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"merchantReturnDays": 7,</w:t>
            </w:r>
          </w:p>
        </w:tc>
      </w:tr>
      <w:tr w14:paraId="5F72FC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31DB37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52067C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"returnMethod": "https://schema.org/ReturnByMail",</w:t>
            </w:r>
          </w:p>
        </w:tc>
      </w:tr>
      <w:tr w14:paraId="25D8F5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F4CC19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C42DC0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"returnFees": "https://schema.org/FreeReturn"</w:t>
            </w:r>
          </w:p>
        </w:tc>
      </w:tr>
      <w:tr w14:paraId="189CB6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7E96C9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79B30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</w:t>
            </w:r>
          </w:p>
        </w:tc>
      </w:tr>
      <w:tr w14:paraId="107906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1F48F5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13D091">
            <w:pPr>
              <w:rPr>
                <w:rFonts w:ascii="宋体"/>
                <w:color w:val="000000"/>
                <w:sz w:val="24"/>
              </w:rPr>
            </w:pPr>
          </w:p>
        </w:tc>
      </w:tr>
      <w:tr w14:paraId="503203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A07E75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C552DE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"seller": {</w:t>
            </w:r>
          </w:p>
        </w:tc>
      </w:tr>
      <w:tr w14:paraId="05D4F6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E9DEC7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4EEAE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"Organization",</w:t>
            </w:r>
          </w:p>
        </w:tc>
      </w:tr>
      <w:tr w14:paraId="57CDC1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D1289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26574B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"上海永铭电子股份有限公司",</w:t>
            </w:r>
          </w:p>
        </w:tc>
      </w:tr>
      <w:tr w14:paraId="236257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30D3F3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665A63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"url": "https://www.ymin.com"</w:t>
            </w:r>
          </w:p>
        </w:tc>
      </w:tr>
      <w:tr w14:paraId="2C1FAC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21240D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E02764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</w:t>
            </w:r>
          </w:p>
        </w:tc>
      </w:tr>
      <w:tr w14:paraId="20D64B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6203A1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CB63D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</w:t>
            </w:r>
          </w:p>
        </w:tc>
      </w:tr>
      <w:tr w14:paraId="7F5AA3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19A184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C80702">
            <w:pPr>
              <w:rPr>
                <w:rFonts w:ascii="宋体"/>
                <w:color w:val="000000"/>
                <w:sz w:val="24"/>
              </w:rPr>
            </w:pPr>
          </w:p>
        </w:tc>
      </w:tr>
      <w:tr w14:paraId="0A0BA6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31E13C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60DB0D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"additionalProperty": [</w:t>
            </w:r>
          </w:p>
        </w:tc>
      </w:tr>
      <w:tr w14:paraId="4B91AF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A3D793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7D3F7F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{</w:t>
            </w:r>
          </w:p>
        </w:tc>
      </w:tr>
      <w:tr w14:paraId="597F5C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628354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53753C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0F8F4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CD3B88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DACA42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"额定电压（V）",</w:t>
            </w:r>
          </w:p>
        </w:tc>
      </w:tr>
      <w:tr w14:paraId="410265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F3DBE9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4ED046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"400"</w:t>
            </w:r>
          </w:p>
        </w:tc>
      </w:tr>
      <w:tr w14:paraId="501222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27F94E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0D38E4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474853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1B32F5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5D184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154D73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E21A1C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23ADD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"直径 D(mm）",</w:t>
            </w:r>
          </w:p>
        </w:tc>
      </w:tr>
      <w:tr w14:paraId="03DC7D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E2BDF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C8C1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"35"</w:t>
            </w:r>
          </w:p>
        </w:tc>
      </w:tr>
      <w:tr w14:paraId="02EF21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F13C00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FC2C95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6F5D7E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D32CC8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18F3A6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6D47FB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361BB3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0ED64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"静电容量(&amp;mu;F)",</w:t>
            </w:r>
          </w:p>
        </w:tc>
      </w:tr>
      <w:tr w14:paraId="49861E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582E99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E4C66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"1000"</w:t>
            </w:r>
          </w:p>
        </w:tc>
      </w:tr>
      <w:tr w14:paraId="6A79AF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94C2E6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8D626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206496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BE382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A57132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7B237F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718171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7EF5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"高度 L(mm）",</w:t>
            </w:r>
          </w:p>
        </w:tc>
      </w:tr>
      <w:tr w14:paraId="776001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18F4B7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95352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"60"</w:t>
            </w:r>
          </w:p>
        </w:tc>
      </w:tr>
      <w:tr w14:paraId="7BCF65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48D07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66F79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1C3C67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D900CE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8062F8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473527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43CB1D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16265D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"浪涌电压（V）",</w:t>
            </w:r>
          </w:p>
        </w:tc>
      </w:tr>
      <w:tr w14:paraId="4FF91C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8A8B55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AC8150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"450"</w:t>
            </w:r>
          </w:p>
        </w:tc>
      </w:tr>
      <w:tr w14:paraId="35D08F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E6F412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1A53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0240D3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E8AFB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F8A196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0FC00C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D9DA63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E8B6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"容量允许偏差",</w:t>
            </w:r>
          </w:p>
        </w:tc>
      </w:tr>
      <w:tr w14:paraId="2F2B3C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E6884B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725D96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"&amp;plusmn;20% / 20℃120Hz"</w:t>
            </w:r>
          </w:p>
        </w:tc>
      </w:tr>
      <w:tr w14:paraId="6ADB42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55060D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45A665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15EE69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2B226E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0C5F9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434CF7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0DB26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B165A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"工作温度（℃）",</w:t>
            </w:r>
          </w:p>
        </w:tc>
      </w:tr>
      <w:tr w14:paraId="1D1B13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84DD05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159EB3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"-40~85"</w:t>
            </w:r>
          </w:p>
        </w:tc>
      </w:tr>
      <w:tr w14:paraId="7ECBE9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72407D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CB8826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1C58AA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E0F401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8049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5B8425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397819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1316CB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"ESR (&amp;Omega;)",</w:t>
            </w:r>
          </w:p>
        </w:tc>
      </w:tr>
      <w:tr w14:paraId="4F0F00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3ED51B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151C00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"0.17 / 20℃120Hz"</w:t>
            </w:r>
          </w:p>
        </w:tc>
      </w:tr>
      <w:tr w14:paraId="43D467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5854E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AF5270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496730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FC2419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011E42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1A43E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67840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6225F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"漏电流(&amp;mu;A)",</w:t>
            </w:r>
          </w:p>
        </w:tc>
      </w:tr>
      <w:tr w14:paraId="7FC584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D82AB4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58FD7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"1897 / 20℃ 5min"</w:t>
            </w:r>
          </w:p>
        </w:tc>
      </w:tr>
      <w:tr w14:paraId="4D4635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F8320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A020A1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6994E0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276E6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63B15E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554270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1D9563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BF4BC4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"额定纹波电流(mA)",</w:t>
            </w:r>
          </w:p>
        </w:tc>
      </w:tr>
      <w:tr w14:paraId="5A7440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CB472E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4BD14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"3934 / 85℃120Hz"</w:t>
            </w:r>
          </w:p>
        </w:tc>
      </w:tr>
      <w:tr w14:paraId="0FE1FE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1FA85C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64C61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1F4FE1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BFC30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22D49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1AEE36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A55A3D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9A0B7D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"损失角正切值 (tan&amp;delta;)",</w:t>
            </w:r>
          </w:p>
        </w:tc>
      </w:tr>
      <w:tr w14:paraId="22402C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4F4AF7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2401E6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"0.15"</w:t>
            </w:r>
          </w:p>
        </w:tc>
      </w:tr>
      <w:tr w14:paraId="4A7B1A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6F8DFE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5A92B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605A36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F947E6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F42C2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6D425A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8A4A57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CFC19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"寿命(hrs)",</w:t>
            </w:r>
          </w:p>
        </w:tc>
      </w:tr>
      <w:tr w14:paraId="0FCA68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0F59F4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570613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"3000"</w:t>
            </w:r>
          </w:p>
        </w:tc>
      </w:tr>
      <w:tr w14:paraId="2AF313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6CFD7D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4D440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5E773B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94D1CB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1FAF6B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23E21F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6585B8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ACC266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"AEC-Q200",</w:t>
            </w:r>
          </w:p>
        </w:tc>
      </w:tr>
      <w:tr w14:paraId="4B16A8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3D6EF4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5F9ADC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"&amp;mdash;&amp;mdash;"</w:t>
            </w:r>
          </w:p>
        </w:tc>
      </w:tr>
      <w:tr w14:paraId="066FDC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CABE0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AE89E0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2E10B4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BFA168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E390BD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5583D0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3C5770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807E26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"RoHS指令",</w:t>
            </w:r>
          </w:p>
        </w:tc>
      </w:tr>
      <w:tr w14:paraId="384543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6DBA86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364C4A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"符合"</w:t>
            </w:r>
          </w:p>
        </w:tc>
      </w:tr>
      <w:tr w14:paraId="774363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36A6F3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4CD09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392259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E8685E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7547D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2A042A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F6F736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9C966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"参考重量(g)",</w:t>
            </w:r>
          </w:p>
        </w:tc>
      </w:tr>
      <w:tr w14:paraId="6B734D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706566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6B392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"&amp;mdash;&amp;mdash;"</w:t>
            </w:r>
          </w:p>
        </w:tc>
      </w:tr>
      <w:tr w14:paraId="7B3E78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39DF36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6747B3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}, {</w:t>
            </w:r>
          </w:p>
        </w:tc>
      </w:tr>
      <w:tr w14:paraId="0620D3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489FDD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09BA08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"@type": "PropertyValue",</w:t>
            </w:r>
          </w:p>
        </w:tc>
      </w:tr>
      <w:tr w14:paraId="76F8C4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5E8777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411EDE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"name": "包装数量",</w:t>
            </w:r>
          </w:p>
        </w:tc>
      </w:tr>
      <w:tr w14:paraId="23B1A6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21020B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C096F9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"value": "200"</w:t>
            </w:r>
          </w:p>
        </w:tc>
      </w:tr>
      <w:tr w14:paraId="14B6EB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D040BB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B6E08E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 ]</w:t>
            </w:r>
          </w:p>
        </w:tc>
      </w:tr>
      <w:tr w14:paraId="0D5C6C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D697AA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82EA2E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}</w:t>
            </w:r>
          </w:p>
        </w:tc>
      </w:tr>
      <w:tr w14:paraId="37BEA0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DE731">
            <w:pPr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C3029B">
            <w:pPr>
              <w:widowControl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&lt;/script&gt;</w:t>
            </w:r>
          </w:p>
        </w:tc>
      </w:tr>
    </w:tbl>
    <w:p w14:paraId="0C7B5935"/>
    <w:p w14:paraId="753E4626"/>
    <w:p w14:paraId="30C20218">
      <w:pPr>
        <w:rPr>
          <w:b/>
          <w:bCs/>
          <w:sz w:val="30"/>
          <w:szCs w:val="30"/>
          <w:highlight w:val="yellow"/>
        </w:rPr>
      </w:pPr>
      <w:r>
        <w:rPr>
          <w:rFonts w:hint="eastAsia"/>
        </w:rPr>
        <w:br w:type="textWrapping"/>
      </w:r>
      <w:r>
        <w:rPr>
          <w:rFonts w:hint="eastAsia"/>
          <w:b/>
          <w:bCs/>
          <w:sz w:val="30"/>
          <w:szCs w:val="30"/>
          <w:highlight w:val="yellow"/>
        </w:rPr>
        <w:t>1.3 产品搜索功能（图示：贵弥功、松下）</w:t>
      </w:r>
    </w:p>
    <w:p w14:paraId="7C094DFC">
      <w:pPr>
        <w:rPr>
          <w:b/>
          <w:bCs/>
          <w:sz w:val="30"/>
          <w:szCs w:val="30"/>
          <w:highlight w:val="yellow"/>
        </w:rPr>
      </w:pPr>
      <w:r>
        <w:drawing>
          <wp:inline distT="0" distB="0" distL="114300" distR="114300">
            <wp:extent cx="5269865" cy="1991995"/>
            <wp:effectExtent l="0" t="0" r="6985" b="825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8D89">
      <w:r>
        <w:drawing>
          <wp:inline distT="0" distB="0" distL="114300" distR="114300">
            <wp:extent cx="2333625" cy="8001000"/>
            <wp:effectExtent l="0" t="0" r="9525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52BD9"/>
    <w:p w14:paraId="48F4A0D1">
      <w:pPr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</w:rPr>
        <w:t>产品搜索</w:t>
      </w:r>
      <w:r>
        <w:rPr>
          <w:rFonts w:hint="eastAsia"/>
          <w:b/>
          <w:bCs/>
          <w:sz w:val="28"/>
          <w:szCs w:val="28"/>
          <w:highlight w:val="yellow"/>
        </w:rPr>
        <w:t>功能】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专业化</w:t>
      </w:r>
      <w:r>
        <w:rPr>
          <w:rFonts w:hint="eastAsia"/>
          <w:b/>
          <w:bCs/>
          <w:sz w:val="28"/>
          <w:szCs w:val="28"/>
          <w:highlight w:val="yellow"/>
        </w:rPr>
        <w:t>要求（5项）</w:t>
      </w:r>
    </w:p>
    <w:p w14:paraId="38B6065D">
      <w:pPr>
        <w:numPr>
          <w:ilvl w:val="0"/>
          <w:numId w:val="3"/>
        </w:numPr>
      </w:pPr>
      <w:r>
        <w:rPr>
          <w:b/>
          <w:bCs/>
          <w:color w:val="0000FF"/>
          <w:sz w:val="28"/>
          <w:szCs w:val="28"/>
        </w:rPr>
        <w:t>料号逻辑搜索与纠偏提示：</w:t>
      </w:r>
      <w:r>
        <w:t xml:space="preserve"> 针对长位数产品料号（如18位固定长度）设计了支持部分匹配的搜索规则。同时提供专业的搜索纠偏说明，指导工程师将特定的引脚端子代码转换为目录标准代码，以确保高命中率。（</w:t>
      </w:r>
      <w:r>
        <w:rPr>
          <w:rFonts w:hint="eastAsia"/>
          <w:b/>
          <w:bCs/>
        </w:rPr>
        <w:t>参考</w:t>
      </w:r>
      <w:r>
        <w:rPr>
          <w:b/>
          <w:bCs/>
        </w:rPr>
        <w:t>贵弥功</w:t>
      </w:r>
      <w:r>
        <w:t>）</w:t>
      </w:r>
    </w:p>
    <w:p w14:paraId="72FB18E8">
      <w:r>
        <w:drawing>
          <wp:inline distT="0" distB="0" distL="114300" distR="114300">
            <wp:extent cx="2333625" cy="8001000"/>
            <wp:effectExtent l="0" t="0" r="9525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93C2">
      <w:r>
        <w:rPr>
          <w:rFonts w:hint="eastAsia"/>
        </w:rPr>
        <w:t>2.</w:t>
      </w:r>
      <w:r>
        <w:rPr>
          <w:b/>
          <w:bCs/>
          <w:color w:val="0000FF"/>
          <w:sz w:val="28"/>
          <w:szCs w:val="28"/>
        </w:rPr>
        <w:t>庞大参数库驱动的独立搜索：</w:t>
      </w:r>
      <w:r>
        <w:t xml:space="preserve"> 设立独立的核心参数搜索引擎（Parametric Search），支撑庞大规格（如超15万个料号）的精准查询与交叉过滤。（</w:t>
      </w:r>
      <w:r>
        <w:rPr>
          <w:rFonts w:hint="eastAsia"/>
          <w:b/>
          <w:bCs/>
        </w:rPr>
        <w:t>参考</w:t>
      </w:r>
      <w:r>
        <w:rPr>
          <w:b/>
          <w:bCs/>
        </w:rPr>
        <w:t>松下</w:t>
      </w:r>
      <w:r>
        <w:t>）</w:t>
      </w:r>
    </w:p>
    <w:p w14:paraId="529A1649">
      <w:r>
        <w:rPr>
          <w:rFonts w:hint="eastAsia"/>
        </w:rPr>
        <w:t>3.</w:t>
      </w:r>
      <w:r>
        <w:rPr>
          <w:b/>
          <w:bCs/>
          <w:color w:val="0000FF"/>
          <w:sz w:val="28"/>
          <w:szCs w:val="28"/>
        </w:rPr>
        <w:t>动态交叉引用与竞品对照（Cross Reference）：</w:t>
      </w:r>
      <w:r>
        <w:t xml:space="preserve"> 提供专用的竞品替换搜索工具。支持用户输入其他厂商的料号，系统通过精确匹配或前缀模糊匹配，实时下拉展示候选并映射输出对应的替代料号。（</w:t>
      </w:r>
      <w:r>
        <w:rPr>
          <w:rFonts w:hint="eastAsia"/>
          <w:b/>
          <w:bCs/>
        </w:rPr>
        <w:t>参考</w:t>
      </w:r>
      <w:r>
        <w:rPr>
          <w:b/>
          <w:bCs/>
        </w:rPr>
        <w:t>：松下</w:t>
      </w:r>
      <w:r>
        <w:t>）</w:t>
      </w:r>
    </w:p>
    <w:p w14:paraId="0655B8DE">
      <w:r>
        <w:drawing>
          <wp:inline distT="0" distB="0" distL="114300" distR="114300">
            <wp:extent cx="5269865" cy="3126740"/>
            <wp:effectExtent l="0" t="0" r="6985" b="1651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FCE9">
      <w:r>
        <w:rPr>
          <w:rFonts w:hint="eastAsia"/>
        </w:rPr>
        <w:t>4.</w:t>
      </w:r>
      <w:r>
        <w:rPr>
          <w:b/>
          <w:bCs/>
          <w:color w:val="0000FF"/>
          <w:sz w:val="28"/>
          <w:szCs w:val="28"/>
        </w:rPr>
        <w:t>通配符高级检索：</w:t>
      </w:r>
      <w:r>
        <w:t xml:space="preserve"> 搜索框底层支持“*”（代表任意字符串）和“?”（代表任意单字符）作为通配符，解决工程师遗忘部分料号时的模糊检索痛点。（</w:t>
      </w:r>
      <w:r>
        <w:rPr>
          <w:rFonts w:hint="eastAsia"/>
          <w:b/>
          <w:bCs/>
        </w:rPr>
        <w:t>参考</w:t>
      </w:r>
      <w:r>
        <w:rPr>
          <w:b/>
          <w:bCs/>
        </w:rPr>
        <w:t>：村田</w:t>
      </w:r>
      <w:r>
        <w:t>）</w:t>
      </w:r>
    </w:p>
    <w:p w14:paraId="34B0657B">
      <w:r>
        <w:rPr>
          <w:rFonts w:hint="eastAsia"/>
        </w:rPr>
        <w:t>5.</w:t>
      </w:r>
      <w:r>
        <w:rPr>
          <w:b/>
          <w:bCs/>
          <w:color w:val="0000FF"/>
          <w:sz w:val="28"/>
          <w:szCs w:val="28"/>
        </w:rPr>
        <w:t>批量数据打包下载（Bulk Download）：</w:t>
      </w:r>
      <w:r>
        <w:t xml:space="preserve"> 检索系统支持针对多份文件和多个料号的批量打包下载功能，高度契合B2B大客户在采购比对时的工作流。（</w:t>
      </w:r>
      <w:r>
        <w:rPr>
          <w:rFonts w:hint="eastAsia"/>
          <w:b/>
          <w:bCs/>
        </w:rPr>
        <w:t>参考</w:t>
      </w:r>
      <w:r>
        <w:rPr>
          <w:b/>
          <w:bCs/>
        </w:rPr>
        <w:t>：村田</w:t>
      </w:r>
      <w:r>
        <w:t>）</w:t>
      </w:r>
    </w:p>
    <w:p w14:paraId="74F0F36E"/>
    <w:p w14:paraId="114C6284"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</w:rPr>
        <w:t>产品搜索</w:t>
      </w:r>
      <w:r>
        <w:rPr>
          <w:rFonts w:hint="eastAsia"/>
          <w:b/>
          <w:bCs/>
          <w:sz w:val="28"/>
          <w:szCs w:val="28"/>
          <w:highlight w:val="yellow"/>
        </w:rPr>
        <w:t>功能】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AI友好型</w:t>
      </w:r>
      <w:r>
        <w:rPr>
          <w:rFonts w:hint="eastAsia"/>
          <w:b/>
          <w:bCs/>
          <w:sz w:val="28"/>
          <w:szCs w:val="28"/>
          <w:highlight w:val="yellow"/>
        </w:rPr>
        <w:t>要求（4项）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1.</w:t>
      </w:r>
      <w:r>
        <w:rPr>
          <w:rFonts w:hint="eastAsia"/>
          <w:b/>
          <w:bCs/>
          <w:color w:val="0000FF"/>
          <w:sz w:val="28"/>
          <w:szCs w:val="28"/>
        </w:rPr>
        <w:t>固定位数编码的正则解析友好性：</w:t>
      </w:r>
      <w:r>
        <w:rPr>
          <w:rFonts w:hint="eastAsia"/>
        </w:rPr>
        <w:t xml:space="preserve"> 维持料号结构（如18位长度）的极强规律性，使得AI模型的正则表达式（Regex）极其容易抓取和进行结构化解析。（</w:t>
      </w:r>
      <w:r>
        <w:rPr>
          <w:rFonts w:hint="eastAsia"/>
          <w:b/>
          <w:bCs/>
        </w:rPr>
        <w:t>参考</w:t>
      </w:r>
      <w:r>
        <w:rPr>
          <w:b/>
          <w:bCs/>
        </w:rPr>
        <w:t>：</w:t>
      </w:r>
      <w:r>
        <w:rPr>
          <w:rFonts w:hint="eastAsia"/>
          <w:b/>
          <w:bCs/>
        </w:rPr>
        <w:t>贵弥功</w:t>
      </w:r>
      <w:r>
        <w:rPr>
          <w:rFonts w:hint="eastAsia"/>
        </w:rPr>
        <w:t>）</w:t>
      </w:r>
    </w:p>
    <w:p w14:paraId="2D1088AC">
      <w:r>
        <w:t>贴片型・HXF系列</w:t>
      </w:r>
      <w:r>
        <w:fldChar w:fldCharType="begin"/>
      </w:r>
      <w:r>
        <w:rPr>
          <w:rFonts w:hint="eastAsia"/>
        </w:rPr>
        <w:instrText xml:space="preserve"> HYPERLINK "https://www.chemi-con.co.jp/cn/products/detail-condenser.php?part_number=HHXF350ARA471MJH0G" </w:instrText>
      </w:r>
      <w:r>
        <w:fldChar w:fldCharType="separate"/>
      </w:r>
      <w:r>
        <w:t>HHXF350ARA471MJH0G</w:t>
      </w:r>
      <w:r>
        <w:fldChar w:fldCharType="end"/>
      </w:r>
      <w:r>
        <w:rPr>
          <w:rFonts w:ascii="sans-serif" w:hAnsi="sans-serif" w:eastAsia="sans-serif" w:cs="sans-serif"/>
          <w:color w:val="333333"/>
          <w:szCs w:val="21"/>
        </w:rPr>
        <w:br w:type="textWrapping"/>
      </w:r>
    </w:p>
    <w:p w14:paraId="26D501A5">
      <w:r>
        <w:rPr>
          <w:rFonts w:hint="eastAsia"/>
        </w:rPr>
        <w:t>2.</w:t>
      </w:r>
      <w:r>
        <w:rPr>
          <w:rFonts w:hint="eastAsia"/>
          <w:b/>
          <w:bCs/>
          <w:color w:val="0000FF"/>
          <w:sz w:val="28"/>
          <w:szCs w:val="28"/>
        </w:rPr>
        <w:t>底层数据API直接暴露：</w:t>
      </w:r>
      <w:r>
        <w:rPr>
          <w:rFonts w:hint="eastAsia"/>
        </w:rPr>
        <w:t xml:space="preserve"> 部署专用的规格数据库API接口（如 api.pim... 或 api.murata.com...），从架构层允许机器端、大语言模型或第三方AI选型Agent直接调用底层规格数据。（</w:t>
      </w:r>
      <w:r>
        <w:rPr>
          <w:rFonts w:hint="eastAsia"/>
          <w:b/>
          <w:bCs/>
        </w:rPr>
        <w:t>参考</w:t>
      </w:r>
      <w:r>
        <w:rPr>
          <w:b/>
          <w:bCs/>
        </w:rPr>
        <w:t>：</w:t>
      </w:r>
      <w:r>
        <w:rPr>
          <w:rFonts w:hint="eastAsia"/>
          <w:b/>
          <w:bCs/>
        </w:rPr>
        <w:t>松下、村田</w:t>
      </w:r>
      <w:r>
        <w:rPr>
          <w:rFonts w:hint="eastAsia"/>
        </w:rPr>
        <w:t>）</w:t>
      </w:r>
    </w:p>
    <w:p w14:paraId="35C4FB72"/>
    <w:p w14:paraId="39FCEE59">
      <w:r>
        <w:rPr>
          <w:rFonts w:hint="eastAsia"/>
        </w:rPr>
        <w:t>3.</w:t>
      </w:r>
      <w:r>
        <w:rPr>
          <w:rFonts w:hint="eastAsia"/>
          <w:b/>
          <w:bCs/>
          <w:color w:val="0000FF"/>
          <w:sz w:val="28"/>
          <w:szCs w:val="28"/>
        </w:rPr>
        <w:t>标准化JSON格式与高级查询语法：</w:t>
      </w:r>
      <w:r>
        <w:rPr>
          <w:rFonts w:hint="eastAsia"/>
        </w:rPr>
        <w:t xml:space="preserve"> 开放的API接口支持OData标准的高级查询语法（如使用 $filter=startswith 进行筛选），并以标准的JSON格式无损返回产品的状态、尺寸、核心参数及详情页URL。（</w:t>
      </w:r>
      <w:r>
        <w:rPr>
          <w:rFonts w:hint="eastAsia"/>
          <w:b/>
          <w:bCs/>
        </w:rPr>
        <w:t>参考</w:t>
      </w:r>
      <w:r>
        <w:rPr>
          <w:b/>
          <w:bCs/>
        </w:rPr>
        <w:t>：</w:t>
      </w:r>
      <w:r>
        <w:rPr>
          <w:rFonts w:hint="eastAsia"/>
          <w:b/>
          <w:bCs/>
        </w:rPr>
        <w:t>村田</w:t>
      </w:r>
      <w:r>
        <w:rPr>
          <w:rFonts w:hint="eastAsia"/>
        </w:rPr>
        <w:t>）</w:t>
      </w:r>
    </w:p>
    <w:p w14:paraId="326ADBFF"/>
    <w:p w14:paraId="40BA6EC1">
      <w:pPr>
        <w:rPr>
          <w:b/>
          <w:bCs/>
          <w:sz w:val="30"/>
          <w:szCs w:val="30"/>
          <w:highlight w:val="yellow"/>
        </w:rPr>
      </w:pPr>
      <w:r>
        <w:rPr>
          <w:rFonts w:hint="eastAsia"/>
          <w:b/>
          <w:bCs/>
          <w:sz w:val="30"/>
          <w:szCs w:val="30"/>
        </w:rPr>
        <w:t>4.</w:t>
      </w:r>
      <w:r>
        <w:rPr>
          <w:rFonts w:hint="eastAsia"/>
          <w:b/>
          <w:bCs/>
          <w:color w:val="0000FF"/>
          <w:sz w:val="28"/>
          <w:szCs w:val="28"/>
        </w:rPr>
        <w:t>API直连Excel等数据处理工具：</w:t>
      </w:r>
      <w:r>
        <w:rPr>
          <w:rFonts w:hint="eastAsia"/>
        </w:rPr>
        <w:t xml:space="preserve"> 官方提供基于底层API的Excel自定义函数插件。工程师或自动化脚本可以输入特定函数（如 MURATA_GET_CAPACITANCE），直接从云端批量拉取料号的最新技术参数，实现了工具级的机器读取对接。（</w:t>
      </w:r>
      <w:r>
        <w:rPr>
          <w:rFonts w:hint="eastAsia"/>
          <w:b/>
          <w:bCs/>
        </w:rPr>
        <w:t>参考</w:t>
      </w:r>
      <w:r>
        <w:rPr>
          <w:b/>
          <w:bCs/>
        </w:rPr>
        <w:t>：</w:t>
      </w:r>
      <w:r>
        <w:rPr>
          <w:rFonts w:hint="eastAsia"/>
          <w:b/>
          <w:bCs/>
        </w:rPr>
        <w:t>村田</w:t>
      </w:r>
      <w:r>
        <w:rPr>
          <w:rFonts w:hint="eastAsia"/>
        </w:rPr>
        <w:t>）</w:t>
      </w:r>
      <w:r>
        <w:rPr>
          <w:rFonts w:hint="eastAsia"/>
        </w:rPr>
        <w:br w:type="textWrapping"/>
      </w:r>
      <w:r>
        <w:rPr>
          <w:rFonts w:hint="eastAsia"/>
          <w:b/>
          <w:bCs/>
          <w:sz w:val="30"/>
          <w:szCs w:val="30"/>
          <w:highlight w:val="yellow"/>
        </w:rPr>
        <w:t>1.3 产品替代功能（图示：村田、松下）</w:t>
      </w:r>
    </w:p>
    <w:p w14:paraId="13115FE9">
      <w:pPr>
        <w:rPr>
          <w:b/>
          <w:bCs/>
          <w:sz w:val="30"/>
          <w:szCs w:val="30"/>
          <w:highlight w:val="yellow"/>
        </w:rPr>
      </w:pPr>
      <w:r>
        <w:drawing>
          <wp:inline distT="0" distB="0" distL="114300" distR="114300">
            <wp:extent cx="5267325" cy="3254375"/>
            <wp:effectExtent l="0" t="0" r="9525" b="317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F71D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object>
          <v:shape id="_x0000_i1028" o:spt="75" type="#_x0000_t75" style="height:66pt;width:72.6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Word.Document.12" ShapeID="_x0000_i1028" DrawAspect="Icon" ObjectID="_1468075728" r:id="rId33">
            <o:LockedField>false</o:LockedField>
          </o:OLEObject>
        </w:object>
      </w:r>
    </w:p>
    <w:p w14:paraId="7B1924C5">
      <w:pPr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</w:rPr>
        <w:t>产品替代功能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专业化</w:t>
      </w:r>
      <w:r>
        <w:rPr>
          <w:rFonts w:hint="eastAsia"/>
          <w:b/>
          <w:bCs/>
          <w:sz w:val="28"/>
          <w:szCs w:val="28"/>
          <w:highlight w:val="yellow"/>
        </w:rPr>
        <w:t>要求（6项）</w:t>
      </w:r>
    </w:p>
    <w:p w14:paraId="59C1159D">
      <w:pPr>
        <w:pStyle w:val="7"/>
        <w:widowControl/>
        <w:spacing w:beforeAutospacing="0" w:line="17" w:lineRule="atLeast"/>
        <w:rPr>
          <w:rFonts w:cstheme="minorBidi"/>
          <w:kern w:val="2"/>
          <w:sz w:val="21"/>
        </w:rPr>
      </w:pPr>
      <w:r>
        <w:rPr>
          <w:rFonts w:hint="eastAsia" w:cstheme="minorBidi"/>
          <w:b/>
          <w:bCs/>
          <w:kern w:val="2"/>
          <w:sz w:val="30"/>
          <w:szCs w:val="30"/>
        </w:rPr>
        <w:t>1.</w:t>
      </w:r>
      <w:r>
        <w:rPr>
          <w:rFonts w:cstheme="minorBidi"/>
          <w:b/>
          <w:bCs/>
          <w:color w:val="0000FF"/>
          <w:kern w:val="2"/>
          <w:sz w:val="28"/>
          <w:szCs w:val="28"/>
        </w:rPr>
        <w:t>竞品料号智能解析与自动纠偏</w:t>
      </w:r>
      <w:r>
        <w:rPr>
          <w:rFonts w:ascii="sans-serif" w:hAnsi="sans-serif" w:eastAsia="sans-serif" w:cs="sans-serif"/>
          <w:b/>
          <w:bCs/>
        </w:rPr>
        <w:t>：</w:t>
      </w:r>
      <w:r>
        <w:rPr>
          <w:rFonts w:ascii="sans-serif" w:hAnsi="sans-serif" w:eastAsia="sans-serif" w:cs="sans-serif"/>
        </w:rPr>
        <w:t xml:space="preserve"> </w:t>
      </w:r>
      <w:r>
        <w:rPr>
          <w:rFonts w:cstheme="minorBidi"/>
          <w:kern w:val="2"/>
          <w:sz w:val="21"/>
        </w:rPr>
        <w:t>针对长达 18 位的竞品料号（如贵弥功），系统需内置解析逻辑，自动识别料号中的封装码、电压码及容量码。当用户输入不完整的料号时，提供联想下拉建议，并指导工程师将特定终端代码转换为目录标准代码，以提升搜索命中率 。</w:t>
      </w:r>
    </w:p>
    <w:p w14:paraId="69144119">
      <w:pPr>
        <w:pStyle w:val="7"/>
        <w:widowControl/>
        <w:spacing w:beforeAutospacing="0" w:line="17" w:lineRule="atLeast"/>
        <w:rPr>
          <w:rFonts w:cstheme="minorBidi"/>
          <w:kern w:val="2"/>
          <w:sz w:val="21"/>
        </w:rPr>
      </w:pPr>
      <w:r>
        <w:rPr>
          <w:rFonts w:hint="eastAsia" w:cstheme="minorBidi"/>
          <w:b/>
          <w:bCs/>
          <w:kern w:val="2"/>
          <w:sz w:val="30"/>
          <w:szCs w:val="30"/>
        </w:rPr>
        <w:t>2.</w:t>
      </w:r>
      <w:r>
        <w:rPr>
          <w:rFonts w:cstheme="minorBidi"/>
          <w:b/>
          <w:bCs/>
          <w:color w:val="0000FF"/>
          <w:kern w:val="2"/>
          <w:sz w:val="28"/>
          <w:szCs w:val="28"/>
        </w:rPr>
        <w:t>梯度化对比矩阵</w:t>
      </w:r>
      <w:r>
        <w:rPr>
          <w:rFonts w:ascii="sans-serif" w:hAnsi="sans-serif" w:eastAsia="sans-serif" w:cs="sans-serif"/>
          <w:b/>
          <w:bCs/>
        </w:rPr>
        <w:t>：</w:t>
      </w:r>
      <w:r>
        <w:rPr>
          <w:rFonts w:ascii="sans-serif" w:hAnsi="sans-serif" w:eastAsia="sans-serif" w:cs="sans-serif"/>
        </w:rPr>
        <w:t xml:space="preserve"> </w:t>
      </w:r>
      <w:r>
        <w:rPr>
          <w:rFonts w:cstheme="minorBidi"/>
          <w:kern w:val="2"/>
          <w:sz w:val="21"/>
        </w:rPr>
        <w:t>查询结果需以 Side-by-Side 形式展示。对比字段必须包含电容核心四维：静电容量公差、损耗角正切、纹波电流（需注明测试频率，如 100kHz）、漏电流。差异项需通过色块高亮，例如：若替代型号的 ESR 优于原型号，显示为绿色；若高度增加，显示为红色预警 。（参考：村田）</w:t>
      </w:r>
    </w:p>
    <w:p w14:paraId="65B660CB">
      <w:pPr>
        <w:pStyle w:val="7"/>
        <w:widowControl/>
        <w:spacing w:beforeAutospacing="0" w:line="17" w:lineRule="atLeast"/>
        <w:rPr>
          <w:rFonts w:cstheme="minorBidi"/>
          <w:kern w:val="2"/>
          <w:sz w:val="21"/>
        </w:rPr>
      </w:pPr>
      <w:r>
        <w:rPr>
          <w:rFonts w:hint="eastAsia" w:cstheme="minorBidi"/>
          <w:b/>
          <w:bCs/>
          <w:kern w:val="2"/>
          <w:sz w:val="30"/>
          <w:szCs w:val="30"/>
        </w:rPr>
        <w:t>3.</w:t>
      </w:r>
      <w:r>
        <w:rPr>
          <w:rFonts w:cstheme="minorBidi"/>
          <w:b/>
          <w:bCs/>
          <w:color w:val="0000FF"/>
          <w:kern w:val="2"/>
          <w:sz w:val="28"/>
          <w:szCs w:val="28"/>
        </w:rPr>
        <w:t>动态生命周期校验</w:t>
      </w:r>
      <w:r>
        <w:rPr>
          <w:rFonts w:ascii="sans-serif" w:hAnsi="sans-serif" w:eastAsia="sans-serif" w:cs="sans-serif"/>
          <w:b/>
          <w:bCs/>
        </w:rPr>
        <w:t>：</w:t>
      </w:r>
      <w:r>
        <w:rPr>
          <w:rFonts w:ascii="sans-serif" w:hAnsi="sans-serif" w:eastAsia="sans-serif" w:cs="sans-serif"/>
        </w:rPr>
        <w:t xml:space="preserve"> </w:t>
      </w:r>
      <w:r>
        <w:rPr>
          <w:rFonts w:cstheme="minorBidi"/>
          <w:kern w:val="2"/>
          <w:sz w:val="21"/>
        </w:rPr>
        <w:t>系统需实时关联生产数据库。若替代料号处于“不推荐用于新设计 (NRND)”或“已停产 (EOL)”状态，严禁将其作为替代建议输出。对于已停产竞品，优先推荐处于“生产中 (Active)”且库存充足的自有型号 。（参考：贵弥功）</w:t>
      </w:r>
    </w:p>
    <w:p w14:paraId="0D85CEB2">
      <w:pPr>
        <w:pStyle w:val="7"/>
        <w:widowControl/>
        <w:spacing w:beforeAutospacing="0" w:line="17" w:lineRule="atLeast"/>
        <w:rPr>
          <w:rFonts w:cstheme="minorBidi"/>
          <w:kern w:val="2"/>
          <w:sz w:val="21"/>
        </w:rPr>
      </w:pPr>
      <w:r>
        <w:drawing>
          <wp:inline distT="0" distB="0" distL="114300" distR="114300">
            <wp:extent cx="2266950" cy="1495425"/>
            <wp:effectExtent l="0" t="0" r="0" b="952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B96B">
      <w:pPr>
        <w:pStyle w:val="7"/>
        <w:widowControl/>
        <w:spacing w:beforeAutospacing="0" w:line="17" w:lineRule="atLeast"/>
        <w:rPr>
          <w:rFonts w:ascii="sans-serif" w:hAnsi="sans-serif" w:eastAsia="sans-serif" w:cs="sans-serif"/>
        </w:rPr>
      </w:pPr>
      <w:r>
        <w:rPr>
          <w:rFonts w:hint="eastAsia" w:cstheme="minorBidi"/>
          <w:b/>
          <w:bCs/>
          <w:kern w:val="2"/>
          <w:sz w:val="30"/>
          <w:szCs w:val="30"/>
        </w:rPr>
        <w:t>4.</w:t>
      </w:r>
      <w:r>
        <w:rPr>
          <w:rFonts w:cstheme="minorBidi"/>
          <w:b/>
          <w:bCs/>
          <w:color w:val="0000FF"/>
          <w:kern w:val="2"/>
          <w:sz w:val="28"/>
          <w:szCs w:val="28"/>
        </w:rPr>
        <w:t>工程数据一键包 (Design-in Package)</w:t>
      </w:r>
      <w:r>
        <w:rPr>
          <w:rFonts w:ascii="sans-serif" w:hAnsi="sans-serif" w:eastAsia="sans-serif" w:cs="sans-serif"/>
          <w:b/>
          <w:bCs/>
        </w:rPr>
        <w:t>：</w:t>
      </w:r>
      <w:r>
        <w:rPr>
          <w:rFonts w:ascii="sans-serif" w:hAnsi="sans-serif" w:eastAsia="sans-serif" w:cs="sans-serif"/>
        </w:rPr>
        <w:t xml:space="preserve"> </w:t>
      </w:r>
      <w:r>
        <w:rPr>
          <w:rFonts w:cstheme="minorBidi"/>
          <w:kern w:val="2"/>
          <w:sz w:val="21"/>
        </w:rPr>
        <w:t>在替代建议页，必须直接提供该型号的.step 3D 模型、SPICE 仿真模型及寿命计算器跳转链接。工程师需能当场验证替代料在极端纹波工况下的热稳定性，无需返回产品中心重复搜索 。（参考：松下 / 贵弥功）</w:t>
      </w:r>
    </w:p>
    <w:p w14:paraId="616BA731">
      <w:pPr>
        <w:pStyle w:val="7"/>
        <w:widowControl/>
        <w:spacing w:beforeAutospacing="0" w:line="17" w:lineRule="atLeast"/>
        <w:rPr>
          <w:rFonts w:ascii="sans-serif" w:hAnsi="sans-serif" w:eastAsia="sans-serif" w:cs="sans-serif"/>
        </w:rPr>
      </w:pPr>
      <w:r>
        <w:rPr>
          <w:rFonts w:hint="eastAsia" w:cstheme="minorBidi"/>
          <w:b/>
          <w:bCs/>
          <w:kern w:val="2"/>
          <w:sz w:val="30"/>
          <w:szCs w:val="30"/>
        </w:rPr>
        <w:t>5.</w:t>
      </w:r>
      <w:r>
        <w:rPr>
          <w:rFonts w:cstheme="minorBidi"/>
          <w:b/>
          <w:bCs/>
          <w:color w:val="0000FF"/>
          <w:kern w:val="2"/>
          <w:sz w:val="28"/>
          <w:szCs w:val="28"/>
        </w:rPr>
        <w:t>合规性自动比对</w:t>
      </w:r>
      <w:r>
        <w:rPr>
          <w:rFonts w:ascii="sans-serif" w:hAnsi="sans-serif" w:eastAsia="sans-serif" w:cs="sans-serif"/>
          <w:b/>
          <w:bCs/>
        </w:rPr>
        <w:t>：</w:t>
      </w:r>
      <w:r>
        <w:rPr>
          <w:rFonts w:ascii="sans-serif" w:hAnsi="sans-serif" w:eastAsia="sans-serif" w:cs="sans-serif"/>
        </w:rPr>
        <w:t xml:space="preserve"> </w:t>
      </w:r>
      <w:r>
        <w:rPr>
          <w:rFonts w:cstheme="minorBidi"/>
          <w:kern w:val="2"/>
          <w:sz w:val="21"/>
        </w:rPr>
        <w:t>系统自动提取替代前后的 RoHS、REACH、无卤（Halogen-free）状态。若用户原始需求包含 AEC-Q200 车规认证，系统推荐的型号必须具备相应的证书下载入口，确保存量市场替换的合规性 。（参考：松下）</w:t>
      </w:r>
    </w:p>
    <w:p w14:paraId="5F69F70D">
      <w:pPr>
        <w:pStyle w:val="7"/>
        <w:widowControl/>
        <w:spacing w:beforeAutospacing="0" w:line="17" w:lineRule="atLeast"/>
        <w:rPr>
          <w:rFonts w:cstheme="minorBidi"/>
          <w:kern w:val="2"/>
          <w:sz w:val="21"/>
        </w:rPr>
      </w:pPr>
      <w:r>
        <w:rPr>
          <w:rFonts w:hint="eastAsia" w:cstheme="minorBidi"/>
          <w:b/>
          <w:bCs/>
          <w:kern w:val="2"/>
          <w:sz w:val="30"/>
          <w:szCs w:val="30"/>
        </w:rPr>
        <w:t>6.</w:t>
      </w:r>
      <w:r>
        <w:rPr>
          <w:rFonts w:cstheme="minorBidi"/>
          <w:b/>
          <w:bCs/>
          <w:color w:val="0000FF"/>
          <w:kern w:val="2"/>
          <w:sz w:val="28"/>
          <w:szCs w:val="28"/>
        </w:rPr>
        <w:t>批量 BOM 风险分析</w:t>
      </w:r>
      <w:r>
        <w:rPr>
          <w:rFonts w:ascii="sans-serif" w:hAnsi="sans-serif" w:eastAsia="sans-serif" w:cs="sans-serif"/>
          <w:b/>
          <w:bCs/>
        </w:rPr>
        <w:t>：</w:t>
      </w:r>
      <w:r>
        <w:rPr>
          <w:rFonts w:ascii="sans-serif" w:hAnsi="sans-serif" w:eastAsia="sans-serif" w:cs="sans-serif"/>
        </w:rPr>
        <w:t xml:space="preserve"> </w:t>
      </w:r>
      <w:r>
        <w:rPr>
          <w:rFonts w:cstheme="minorBidi"/>
          <w:kern w:val="2"/>
          <w:sz w:val="21"/>
        </w:rPr>
        <w:t>支持上传.xlsx 或.csv 格式的 BOM 清单。系统不仅输出对应的替代料号，还需对整个 BOM 的供应稳定性、成本优化空间进行多维度评估，输出“替代可行性总结报告” 。（参考：松下） 。</w:t>
      </w:r>
    </w:p>
    <w:p w14:paraId="5D160804">
      <w:pPr>
        <w:rPr>
          <w:b/>
          <w:bCs/>
          <w:sz w:val="28"/>
          <w:szCs w:val="28"/>
          <w:highlight w:val="yellow"/>
        </w:rPr>
      </w:pPr>
    </w:p>
    <w:p w14:paraId="58606F0A">
      <w:pPr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</w:rPr>
        <w:t>产品替代功能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AI友好型</w:t>
      </w:r>
      <w:r>
        <w:rPr>
          <w:rFonts w:hint="eastAsia"/>
          <w:b/>
          <w:bCs/>
          <w:sz w:val="28"/>
          <w:szCs w:val="28"/>
          <w:highlight w:val="yellow"/>
        </w:rPr>
        <w:t>要求（5项）</w:t>
      </w:r>
    </w:p>
    <w:p w14:paraId="3103B653">
      <w:pPr>
        <w:rPr>
          <w:b/>
          <w:bCs/>
          <w:sz w:val="28"/>
          <w:szCs w:val="28"/>
          <w:highlight w:val="yellow"/>
        </w:rPr>
      </w:pPr>
    </w:p>
    <w:p w14:paraId="1573A68E">
      <w:pPr>
        <w:pStyle w:val="7"/>
        <w:widowControl/>
        <w:spacing w:beforeAutospacing="0" w:line="17" w:lineRule="atLeast"/>
        <w:rPr>
          <w:rFonts w:cstheme="minorBidi"/>
          <w:kern w:val="2"/>
          <w:sz w:val="21"/>
        </w:rPr>
      </w:pPr>
      <w:r>
        <w:rPr>
          <w:rFonts w:hint="eastAsia" w:cstheme="minorBidi"/>
          <w:b/>
          <w:bCs/>
          <w:kern w:val="2"/>
          <w:sz w:val="30"/>
          <w:szCs w:val="30"/>
        </w:rPr>
        <w:t>1.</w:t>
      </w:r>
      <w:r>
        <w:rPr>
          <w:rFonts w:cstheme="minorBidi"/>
          <w:b/>
          <w:bCs/>
          <w:color w:val="0000FF"/>
          <w:kern w:val="2"/>
          <w:sz w:val="28"/>
          <w:szCs w:val="28"/>
        </w:rPr>
        <w:t>DOM 结构化数据渲染</w:t>
      </w:r>
      <w:r>
        <w:rPr>
          <w:rFonts w:ascii="sans-serif" w:hAnsi="sans-serif" w:eastAsia="sans-serif" w:cs="sans-serif"/>
          <w:b/>
          <w:bCs/>
        </w:rPr>
        <w:t>：</w:t>
      </w:r>
      <w:r>
        <w:rPr>
          <w:rFonts w:ascii="sans-serif" w:hAnsi="sans-serif" w:eastAsia="sans-serif" w:cs="sans-serif"/>
        </w:rPr>
        <w:t xml:space="preserve"> </w:t>
      </w:r>
      <w:r>
        <w:rPr>
          <w:rFonts w:cstheme="minorBidi"/>
          <w:kern w:val="2"/>
          <w:sz w:val="21"/>
        </w:rPr>
        <w:t>替代结果对标表必须以标准的 HTML &lt;table&gt; 渲染。每一行 &lt;tr&gt; 对应一个参数维度，每一列 &lt;td&gt; 对应一个具体值。严禁使用 Canvas 或由加密 JS 生成的视图，确保 AI 代理能通过 DOM 树结构化地提取“参数-型号-对标值”三者的逻辑映射 。</w:t>
      </w:r>
    </w:p>
    <w:p w14:paraId="7E9FD01B">
      <w:pPr>
        <w:pStyle w:val="7"/>
        <w:widowControl/>
        <w:spacing w:beforeAutospacing="0" w:line="17" w:lineRule="atLeast"/>
        <w:rPr>
          <w:rFonts w:cstheme="minorBidi"/>
          <w:kern w:val="2"/>
          <w:sz w:val="21"/>
        </w:rPr>
      </w:pPr>
      <w:r>
        <w:rPr>
          <w:rFonts w:hint="eastAsia" w:cstheme="minorBidi"/>
          <w:b/>
          <w:bCs/>
          <w:kern w:val="2"/>
          <w:sz w:val="30"/>
          <w:szCs w:val="30"/>
        </w:rPr>
        <w:t>2.</w:t>
      </w:r>
      <w:r>
        <w:rPr>
          <w:rFonts w:cstheme="minorBidi"/>
          <w:b/>
          <w:bCs/>
          <w:color w:val="0000FF"/>
          <w:kern w:val="2"/>
          <w:sz w:val="28"/>
          <w:szCs w:val="28"/>
        </w:rPr>
        <w:t>双层 Schema 架构部署</w:t>
      </w:r>
      <w:r>
        <w:rPr>
          <w:rFonts w:ascii="sans-serif" w:hAnsi="sans-serif" w:eastAsia="sans-serif" w:cs="sans-serif"/>
          <w:b/>
          <w:bCs/>
        </w:rPr>
        <w:t>：</w:t>
      </w:r>
      <w:r>
        <w:rPr>
          <w:rFonts w:ascii="sans-serif" w:hAnsi="sans-serif" w:eastAsia="sans-serif" w:cs="sans-serif"/>
        </w:rPr>
        <w:t xml:space="preserve"> </w:t>
      </w:r>
      <w:r>
        <w:rPr>
          <w:rFonts w:cstheme="minorBidi"/>
          <w:kern w:val="2"/>
          <w:sz w:val="21"/>
        </w:rPr>
        <w:t>在替代工具页埋设 MerchantListing（商家列表）和 ProductGroup（产品组）标记。利用 isSimilarTo 属性将自有料号与竞品品牌名（如 Brand: Panasonic）进行语义关联，在语义网层面建立品牌替代心智 。</w:t>
      </w:r>
    </w:p>
    <w:p w14:paraId="054CD95B">
      <w:pPr>
        <w:pStyle w:val="7"/>
        <w:widowControl/>
        <w:spacing w:beforeAutospacing="0" w:line="17" w:lineRule="atLeast"/>
        <w:rPr>
          <w:rFonts w:cstheme="minorBidi"/>
          <w:kern w:val="2"/>
          <w:sz w:val="21"/>
        </w:rPr>
      </w:pPr>
      <w:r>
        <w:rPr>
          <w:rFonts w:hint="eastAsia" w:cstheme="minorBidi"/>
          <w:b/>
          <w:bCs/>
          <w:kern w:val="2"/>
          <w:sz w:val="30"/>
          <w:szCs w:val="30"/>
        </w:rPr>
        <w:t>3.</w:t>
      </w:r>
      <w:r>
        <w:rPr>
          <w:rFonts w:cstheme="minorBidi"/>
          <w:b/>
          <w:bCs/>
          <w:color w:val="0000FF"/>
          <w:kern w:val="2"/>
          <w:sz w:val="28"/>
          <w:szCs w:val="28"/>
        </w:rPr>
        <w:t>API 接口深度暴露</w:t>
      </w:r>
      <w:r>
        <w:rPr>
          <w:rFonts w:ascii="sans-serif" w:hAnsi="sans-serif" w:eastAsia="sans-serif" w:cs="sans-serif"/>
          <w:b/>
          <w:bCs/>
        </w:rPr>
        <w:t>：</w:t>
      </w:r>
      <w:r>
        <w:rPr>
          <w:rFonts w:ascii="sans-serif" w:hAnsi="sans-serif" w:eastAsia="sans-serif" w:cs="sans-serif"/>
        </w:rPr>
        <w:t xml:space="preserve"> </w:t>
      </w:r>
      <w:r>
        <w:rPr>
          <w:rFonts w:cstheme="minorBidi"/>
          <w:kern w:val="2"/>
          <w:sz w:val="21"/>
        </w:rPr>
        <w:t>部署专门的规格映射 API（如 api.ymin.com/cross-reference/search）。允许 AI 驱动的第三方设计 Agent 或采购机器人通过提交 JSON 格式的竞品料号，直接获取结构化的替代参数、价格及库存状态。API 需支持 OData 标准的高级查询逻辑 。</w:t>
      </w:r>
    </w:p>
    <w:p w14:paraId="5C712554">
      <w:pPr>
        <w:pStyle w:val="7"/>
        <w:widowControl/>
        <w:spacing w:beforeAutospacing="0" w:line="17" w:lineRule="atLeast"/>
        <w:rPr>
          <w:rFonts w:cstheme="minorBidi"/>
          <w:kern w:val="2"/>
          <w:sz w:val="21"/>
        </w:rPr>
      </w:pPr>
      <w:r>
        <w:rPr>
          <w:rFonts w:hint="eastAsia" w:cstheme="minorBidi"/>
          <w:b/>
          <w:bCs/>
          <w:kern w:val="2"/>
          <w:sz w:val="30"/>
          <w:szCs w:val="30"/>
        </w:rPr>
        <w:t>4.</w:t>
      </w:r>
      <w:r>
        <w:rPr>
          <w:rFonts w:cstheme="minorBidi"/>
          <w:b/>
          <w:bCs/>
          <w:color w:val="0000FF"/>
          <w:kern w:val="2"/>
          <w:sz w:val="28"/>
          <w:szCs w:val="28"/>
        </w:rPr>
        <w:t>可抓取的静态路由结构</w:t>
      </w:r>
      <w:r>
        <w:rPr>
          <w:rFonts w:ascii="sans-serif" w:hAnsi="sans-serif" w:eastAsia="sans-serif" w:cs="sans-serif"/>
          <w:b/>
          <w:bCs/>
        </w:rPr>
        <w:t>：</w:t>
      </w:r>
      <w:r>
        <w:rPr>
          <w:rFonts w:ascii="sans-serif" w:hAnsi="sans-serif" w:eastAsia="sans-serif" w:cs="sans-serif"/>
        </w:rPr>
        <w:t xml:space="preserve"> </w:t>
      </w:r>
      <w:r>
        <w:rPr>
          <w:rFonts w:cstheme="minorBidi"/>
          <w:kern w:val="2"/>
          <w:sz w:val="21"/>
        </w:rPr>
        <w:t>针对每一个竞品品牌、每一个主推系列，建立静态化路径（如 /compare/ymin-vs-chemi-con-hxf-series）。这些页面作为 AI 的“知识节点”，无需执行复杂的交互即可获取完整的对比逻辑，极大降低了大型语言模型抓取时的计算开销 。</w:t>
      </w:r>
    </w:p>
    <w:p w14:paraId="3EF66123">
      <w:pPr>
        <w:pStyle w:val="7"/>
        <w:widowControl/>
        <w:spacing w:beforeAutospacing="0" w:line="17" w:lineRule="atLeast"/>
        <w:rPr>
          <w:b/>
          <w:bCs/>
          <w:sz w:val="28"/>
          <w:szCs w:val="28"/>
          <w:highlight w:val="yellow"/>
        </w:rPr>
      </w:pPr>
      <w:r>
        <w:rPr>
          <w:rFonts w:hint="eastAsia" w:cstheme="minorBidi"/>
          <w:b/>
          <w:bCs/>
          <w:kern w:val="2"/>
          <w:sz w:val="30"/>
          <w:szCs w:val="30"/>
        </w:rPr>
        <w:t>5.</w:t>
      </w:r>
      <w:r>
        <w:rPr>
          <w:rFonts w:cstheme="minorBidi"/>
          <w:b/>
          <w:bCs/>
          <w:color w:val="0000FF"/>
          <w:kern w:val="2"/>
          <w:sz w:val="28"/>
          <w:szCs w:val="28"/>
        </w:rPr>
        <w:t>向量相似度语义反馈</w:t>
      </w:r>
      <w:r>
        <w:rPr>
          <w:rFonts w:ascii="sans-serif" w:hAnsi="sans-serif" w:eastAsia="sans-serif" w:cs="sans-serif"/>
          <w:b/>
          <w:bCs/>
        </w:rPr>
        <w:t>：</w:t>
      </w:r>
      <w:r>
        <w:rPr>
          <w:rFonts w:ascii="sans-serif" w:hAnsi="sans-serif" w:eastAsia="sans-serif" w:cs="sans-serif"/>
        </w:rPr>
        <w:t xml:space="preserve"> </w:t>
      </w:r>
      <w:r>
        <w:rPr>
          <w:rFonts w:cstheme="minorBidi"/>
          <w:kern w:val="2"/>
          <w:sz w:val="21"/>
        </w:rPr>
        <w:t>搜索框底层集成向量检索（Vector Search）。当用户输入非标准描述（如“高可靠性 105℃ 2000 小时电容”）时，系统能返回语意最接近的替代方案，而非简单的“无结果”。这种非线性匹配能力是 AI 友好型的核心体现 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128AB">
    <w:pPr>
      <w:pStyle w:val="5"/>
      <w:ind w:firstLine="180" w:firstLineChars="100"/>
    </w:pPr>
    <w:r>
      <w:rPr>
        <w:rFonts w:hint="eastAsia"/>
      </w:rPr>
      <w:t>拟制：王傑维                       复核：周瑜玲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D4CF7C"/>
    <w:multiLevelType w:val="singleLevel"/>
    <w:tmpl w:val="C7D4CF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E899F96"/>
    <w:multiLevelType w:val="multilevel"/>
    <w:tmpl w:val="2E899F96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>
    <w:nsid w:val="53C2A4A9"/>
    <w:multiLevelType w:val="singleLevel"/>
    <w:tmpl w:val="53C2A4A9"/>
    <w:lvl w:ilvl="0" w:tentative="0">
      <w:start w:val="2"/>
      <w:numFmt w:val="decimal"/>
      <w:suff w:val="nothing"/>
      <w:lvlText w:val="%1、"/>
      <w:lvlJc w:val="left"/>
      <w:rPr>
        <w:rFonts w:hint="default"/>
        <w:b/>
        <w:bCs/>
        <w:sz w:val="28"/>
        <w:szCs w:val="28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BFB"/>
    <w:rsid w:val="000428F9"/>
    <w:rsid w:val="00082BCB"/>
    <w:rsid w:val="0020662E"/>
    <w:rsid w:val="002D2F00"/>
    <w:rsid w:val="00306FE9"/>
    <w:rsid w:val="00351BFB"/>
    <w:rsid w:val="0057650D"/>
    <w:rsid w:val="006B4965"/>
    <w:rsid w:val="008D387F"/>
    <w:rsid w:val="00976C0C"/>
    <w:rsid w:val="00A22F3E"/>
    <w:rsid w:val="013E61E2"/>
    <w:rsid w:val="018067FB"/>
    <w:rsid w:val="02A651DA"/>
    <w:rsid w:val="04591972"/>
    <w:rsid w:val="08640C24"/>
    <w:rsid w:val="0CD345CA"/>
    <w:rsid w:val="13BC7A49"/>
    <w:rsid w:val="13F310AE"/>
    <w:rsid w:val="172F4AF3"/>
    <w:rsid w:val="19CB2B28"/>
    <w:rsid w:val="1A840DC2"/>
    <w:rsid w:val="1C9553F8"/>
    <w:rsid w:val="1E7E59D8"/>
    <w:rsid w:val="1FAA1805"/>
    <w:rsid w:val="20503479"/>
    <w:rsid w:val="220F79FB"/>
    <w:rsid w:val="23955CC4"/>
    <w:rsid w:val="278624E6"/>
    <w:rsid w:val="287219D8"/>
    <w:rsid w:val="29874F71"/>
    <w:rsid w:val="2A3137FD"/>
    <w:rsid w:val="2BAB25FD"/>
    <w:rsid w:val="2D206FF2"/>
    <w:rsid w:val="2E3F11F2"/>
    <w:rsid w:val="346D235F"/>
    <w:rsid w:val="3B663F2E"/>
    <w:rsid w:val="3BC05FA4"/>
    <w:rsid w:val="45DB3E4A"/>
    <w:rsid w:val="45FA4169"/>
    <w:rsid w:val="48345216"/>
    <w:rsid w:val="495C0FA0"/>
    <w:rsid w:val="53966D85"/>
    <w:rsid w:val="53F25ADF"/>
    <w:rsid w:val="562D48BB"/>
    <w:rsid w:val="6254617C"/>
    <w:rsid w:val="654C7BA6"/>
    <w:rsid w:val="698D1F2A"/>
    <w:rsid w:val="6AE73CBC"/>
    <w:rsid w:val="6C690A30"/>
    <w:rsid w:val="6D08089B"/>
    <w:rsid w:val="6D9C4B6B"/>
    <w:rsid w:val="71502F9E"/>
    <w:rsid w:val="74E1132B"/>
    <w:rsid w:val="772E0EFE"/>
    <w:rsid w:val="7AC6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批注框文本 Char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眉 Char"/>
    <w:basedOn w:val="9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Char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numbering" Target="numbering.xml"/><Relationship Id="rId35" Type="http://schemas.openxmlformats.org/officeDocument/2006/relationships/image" Target="media/image27.png"/><Relationship Id="rId34" Type="http://schemas.openxmlformats.org/officeDocument/2006/relationships/image" Target="media/image26.emf"/><Relationship Id="rId33" Type="http://schemas.openxmlformats.org/officeDocument/2006/relationships/package" Target="embeddings/Document1.docx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er" Target="foot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emf"/><Relationship Id="rId17" Type="http://schemas.openxmlformats.org/officeDocument/2006/relationships/package" Target="embeddings/Workbook2.xlsx"/><Relationship Id="rId16" Type="http://schemas.openxmlformats.org/officeDocument/2006/relationships/image" Target="media/image10.emf"/><Relationship Id="rId15" Type="http://schemas.openxmlformats.org/officeDocument/2006/relationships/package" Target="embeddings/Workbook1.xlsx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DA7EA-FD67-4493-BD12-992D397C25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22</Pages>
  <Words>4697</Words>
  <Characters>8204</Characters>
  <Lines>40</Lines>
  <Paragraphs>19</Paragraphs>
  <TotalTime>15</TotalTime>
  <ScaleCrop>false</ScaleCrop>
  <LinksUpToDate>false</LinksUpToDate>
  <CharactersWithSpaces>8600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2026-03-16T07:32:00Z</dcterms:created>
  <dc:creator>Administrator</dc:creator>
  <cp:lastModifiedBy>WPS_1750757121</cp:lastModifiedBy>
  <dcterms:modified xsi:type="dcterms:W3CDTF">2026-04-23T07:01:21Z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eyJoZGlkIjoiZDFkOGE5MGMxZDVjZDQ2N2E5NzA3ZWQ2ZDhlNjMzZDkiLCJ1c2VySWQiOiIxNzEzNTcwMjU2In0=</vt:lpwstr>
  </property>
  <property fmtid="{D5CDD505-2E9C-101B-9397-08002B2CF9AE}" pid="4" name="ICV">
    <vt:lpwstr>21F87EE8A1724D34B16CD71975DB63A8_12</vt:lpwstr>
  </property>
</Properties>
</file>