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15D1D">
      <w:pPr>
        <w:pStyle w:val="2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关于永铭</w:t>
      </w:r>
      <w:r>
        <w:rPr>
          <w:rFonts w:hint="eastAsia"/>
        </w:rPr>
        <w:t>需求V</w:t>
      </w:r>
      <w:r>
        <w:rPr>
          <w:rFonts w:hint="eastAsia"/>
          <w:lang w:val="en-US" w:eastAsia="zh-CN"/>
        </w:rPr>
        <w:t>2.0</w:t>
      </w:r>
      <w:r>
        <w:rPr>
          <w:rFonts w:hint="eastAsia"/>
        </w:rPr>
        <w:t>-2026.03.</w:t>
      </w:r>
      <w:r>
        <w:rPr>
          <w:rFonts w:hint="eastAsia"/>
          <w:lang w:val="en-US" w:eastAsia="zh-CN"/>
        </w:rPr>
        <w:t>24</w:t>
      </w:r>
    </w:p>
    <w:p w14:paraId="14AAC063">
      <w:r>
        <w:rPr>
          <w:rFonts w:hint="eastAsia"/>
          <w:b/>
          <w:bCs/>
        </w:rPr>
        <w:t>新官网布局</w:t>
      </w:r>
    </w:p>
    <w:p w14:paraId="20C942CE">
      <w:r>
        <w:rPr>
          <w:rFonts w:hint="eastAsia"/>
        </w:rPr>
        <w:t>首页</w:t>
      </w:r>
    </w:p>
    <w:p w14:paraId="0DFDD7B1">
      <w:pPr>
        <w:rPr>
          <w:rFonts w:hint="eastAsia"/>
          <w:color w:val="808080" w:themeColor="background1" w:themeShade="80"/>
          <w:lang w:val="en-US" w:eastAsia="zh-CN"/>
        </w:rPr>
      </w:pPr>
      <w:r>
        <w:rPr>
          <w:rFonts w:hint="eastAsia"/>
          <w:b/>
          <w:bCs/>
          <w:color w:val="auto"/>
        </w:rPr>
        <w:t>产品中心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>应用中心</w:t>
      </w:r>
      <w:r>
        <w:rPr>
          <w:rFonts w:hint="eastAsia"/>
          <w:color w:val="auto"/>
        </w:rPr>
        <w:t>（</w:t>
      </w:r>
      <w:r>
        <w:rPr>
          <w:rFonts w:hint="eastAsia"/>
          <w:lang w:val="en-US" w:eastAsia="zh-CN"/>
        </w:rPr>
        <w:t>总览页 / 应用整机的电路拓扑 / 产品详情页</w:t>
      </w:r>
      <w:r>
        <w:rPr>
          <w:rFonts w:hint="eastAsia"/>
          <w:color w:val="auto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---2026.3.19提交</w:t>
      </w:r>
    </w:p>
    <w:p w14:paraId="58AF1D82">
      <w:r>
        <w:rPr>
          <w:rFonts w:hint="eastAsia"/>
          <w:b/>
          <w:bCs/>
          <w:color w:val="auto"/>
          <w:lang w:val="en-US" w:eastAsia="zh-CN"/>
        </w:rPr>
        <w:t xml:space="preserve">设计工具 </w:t>
      </w:r>
      <w:r>
        <w:rPr>
          <w:rFonts w:hint="eastAsia"/>
          <w:b w:val="0"/>
          <w:bCs w:val="0"/>
          <w:color w:val="auto"/>
          <w:lang w:val="en-US" w:eastAsia="zh-CN"/>
        </w:rPr>
        <w:t>（3D-CAD /寿命计算工具 /可靠性实验数据 / SPICE模型/S参数）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 xml:space="preserve">服务支持 </w:t>
      </w:r>
      <w:r>
        <w:rPr>
          <w:rFonts w:hint="eastAsia"/>
          <w:b w:val="0"/>
          <w:bCs w:val="0"/>
          <w:color w:val="auto"/>
          <w:lang w:val="en-US" w:eastAsia="zh-CN"/>
        </w:rPr>
        <w:t>（新闻资讯 / 产品或应用知识库 (FAQ) / 下载中心目录书 / 合规证书）</w:t>
      </w:r>
      <w:r>
        <w:rPr>
          <w:rFonts w:hint="eastAsia"/>
          <w:b w:val="0"/>
          <w:bCs w:val="0"/>
          <w:color w:val="auto"/>
          <w:lang w:val="en-US" w:eastAsia="zh-CN"/>
        </w:rPr>
        <w:br w:type="textWrapping"/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1"/>
          <w:szCs w:val="21"/>
          <w:highlight w:val="none"/>
          <w:lang w:val="en-US" w:eastAsia="zh-CN" w:bidi="ar-SA"/>
        </w:rPr>
        <w:t>√关于永铭</w:t>
      </w:r>
      <w:r>
        <w:rPr>
          <w:rFonts w:hint="eastAsia"/>
        </w:rPr>
        <w:t xml:space="preserve"> （</w:t>
      </w:r>
      <w:r>
        <w:rPr>
          <w:rFonts w:hint="eastAsia"/>
          <w:lang w:val="en-US" w:eastAsia="zh-CN"/>
        </w:rPr>
        <w:t>公司简介/企业荣誉/</w:t>
      </w:r>
      <w:r>
        <w:rPr>
          <w:rFonts w:hint="eastAsia"/>
        </w:rPr>
        <w:t>质量体系/代理商网络/</w:t>
      </w:r>
      <w:r>
        <w:rPr>
          <w:rFonts w:hint="eastAsia"/>
          <w:lang w:val="en-US" w:eastAsia="zh-CN"/>
        </w:rPr>
        <w:t>联系我们/加入我们</w:t>
      </w:r>
      <w:r>
        <w:rPr>
          <w:rFonts w:hint="eastAsia"/>
        </w:rPr>
        <w:t>）</w:t>
      </w:r>
    </w:p>
    <w:p w14:paraId="63854843">
      <w:pPr>
        <w:pStyle w:val="3"/>
        <w:bidi w:val="0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功能五：关于永铭</w:t>
      </w:r>
    </w:p>
    <w:p w14:paraId="02329E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5.1、公司简介</w:t>
      </w:r>
    </w:p>
    <w:p w14:paraId="2E920FF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5.2、企业荣誉</w:t>
      </w:r>
    </w:p>
    <w:p w14:paraId="0C8B76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5.3、</w:t>
      </w:r>
      <w:r>
        <w:rPr>
          <w:rFonts w:hint="eastAsia"/>
        </w:rPr>
        <w:t>代理商网络</w:t>
      </w:r>
    </w:p>
    <w:p w14:paraId="0ECFE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5.4、联系我们</w:t>
      </w:r>
    </w:p>
    <w:p w14:paraId="1AC15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5.5、加入我们</w:t>
      </w:r>
    </w:p>
    <w:p w14:paraId="13967F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5.6、</w:t>
      </w:r>
      <w:r>
        <w:rPr>
          <w:rFonts w:hint="eastAsia" w:cstheme="minorBidi"/>
          <w:b w:val="0"/>
          <w:bCs w:val="0"/>
          <w:color w:val="auto"/>
          <w:kern w:val="2"/>
          <w:sz w:val="21"/>
          <w:szCs w:val="24"/>
          <w:shd w:val="clear" w:color="FFFFFF" w:fill="D9D9D9"/>
          <w:lang w:val="en-US" w:eastAsia="zh-CN" w:bidi="ar-SA"/>
        </w:rPr>
        <w:t>原材料采购（待确认）</w:t>
      </w:r>
    </w:p>
    <w:p w14:paraId="6D90A438">
      <w:pPr>
        <w:rPr>
          <w:rFonts w:hint="eastAsia"/>
          <w:lang w:val="en-US" w:eastAsia="zh-CN"/>
        </w:rPr>
      </w:pPr>
    </w:p>
    <w:p w14:paraId="2FD77A47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5CFCEA7F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1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公司简介</w:t>
      </w:r>
    </w:p>
    <w:p w14:paraId="43C2B038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drawing>
          <wp:inline distT="0" distB="0" distL="114300" distR="114300">
            <wp:extent cx="5272405" cy="3829050"/>
            <wp:effectExtent l="0" t="0" r="444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EADD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公司简介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487D301E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技术主轴与垂直整合能力说明</w:t>
      </w:r>
      <w:r>
        <w:rPr>
          <w:rFonts w:ascii="宋体" w:hAnsi="宋体" w:eastAsia="宋体" w:cs="宋体"/>
          <w:sz w:val="24"/>
          <w:szCs w:val="24"/>
        </w:rPr>
        <w:t>：重点展示在铝电极箔化成、电解液自研等核心领域的垂直整合实力，体现技术护城河 。</w:t>
      </w:r>
      <w:r>
        <w:rPr>
          <w:rFonts w:hint="eastAsia"/>
          <w:b/>
          <w:bCs/>
        </w:rPr>
        <w:t>参考贵弥功</w:t>
      </w:r>
    </w:p>
    <w:p w14:paraId="239A2F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发布“愿景 2030”战略大纲</w:t>
      </w:r>
      <w:r>
        <w:rPr>
          <w:rFonts w:hint="eastAsia"/>
        </w:rPr>
        <w:t xml:space="preserve">： </w:t>
      </w:r>
      <w:r>
        <w:rPr>
          <w:rFonts w:hint="eastAsia" w:ascii="宋体" w:hAnsi="宋体" w:eastAsia="宋体" w:cs="宋体"/>
          <w:sz w:val="24"/>
          <w:szCs w:val="24"/>
        </w:rPr>
        <w:t xml:space="preserve">将企业发展方向与 AI 服务器、新能源汽车（xEV）、6G 通信等全球大趋势深度挂钩，展现品牌长期确定性 </w:t>
      </w:r>
      <w:r>
        <w:rPr>
          <w:rFonts w:hint="eastAsia"/>
        </w:rPr>
        <w:t>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22AEF76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</w:t>
      </w:r>
      <w:r>
        <w:rPr>
          <w:rFonts w:hint="eastAsia"/>
          <w:b/>
          <w:bCs/>
          <w:color w:val="0000FF"/>
          <w:sz w:val="28"/>
          <w:szCs w:val="28"/>
        </w:rPr>
        <w:t>多维度的研发强度展示</w:t>
      </w:r>
      <w:r>
        <w:rPr>
          <w:rFonts w:ascii="宋体" w:hAnsi="宋体" w:eastAsia="宋体" w:cs="宋体"/>
          <w:sz w:val="24"/>
          <w:szCs w:val="24"/>
        </w:rPr>
        <w:t>：明确披露研发投入占比（如 &gt;7%）及全球专利持有量，用硬性数据支撑“电子工业创新者”的定位。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323C63A8">
      <w:pPr>
        <w:rPr>
          <w:rFonts w:hint="eastAsia"/>
        </w:rPr>
      </w:pPr>
    </w:p>
    <w:p w14:paraId="1D02F329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公司简介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5C0AAC3C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Organization JSON-LD 结构部署</w:t>
      </w:r>
      <w:r>
        <w:rPr>
          <w:rFonts w:hint="eastAsia"/>
        </w:rPr>
        <w:t xml:space="preserve">： </w:t>
      </w:r>
      <w:r>
        <w:rPr>
          <w:rFonts w:hint="eastAsia" w:ascii="宋体" w:hAnsi="宋体" w:eastAsia="宋体" w:cs="宋体"/>
          <w:sz w:val="24"/>
          <w:szCs w:val="24"/>
        </w:rPr>
        <w:t>在底层代码嵌入结构化数据，明确永铭的全球法律名称、总部坐标、法定代表人及母子公司隶属关系，方便 AI 建立实体索引 。</w:t>
      </w:r>
      <w:r>
        <w:rPr>
          <w:rFonts w:hint="eastAsia"/>
          <w:lang w:val="en-US" w:eastAsia="zh-CN"/>
        </w:rPr>
        <w:t xml:space="preserve"> </w:t>
      </w:r>
    </w:p>
    <w:p w14:paraId="66311F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核心业务语义关联（knowsAbout）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在元数据中利用 knowsAbout 属性将永铭与“高可靠铝电解电容器”、“AI 算力电源优化”等技术词条强绑定，提升 AI 问答系统的命中率 。</w:t>
      </w:r>
    </w:p>
    <w:p w14:paraId="7B1BAB51">
      <w:pPr>
        <w:rPr>
          <w:rFonts w:hint="eastAsia"/>
          <w:b/>
          <w:bCs/>
          <w:lang w:val="en-US" w:eastAsia="zh-CN"/>
        </w:rPr>
      </w:pPr>
    </w:p>
    <w:p w14:paraId="694ED768">
      <w:pPr>
        <w:rPr>
          <w:rFonts w:hint="eastAsia"/>
          <w:b/>
          <w:bCs/>
          <w:lang w:val="en-US" w:eastAsia="zh-CN"/>
        </w:rPr>
      </w:pPr>
    </w:p>
    <w:p w14:paraId="13E9834A">
      <w:pPr>
        <w:rPr>
          <w:rFonts w:hint="eastAsia"/>
          <w:b/>
          <w:bCs/>
          <w:lang w:val="en-US" w:eastAsia="zh-CN"/>
        </w:rPr>
      </w:pPr>
    </w:p>
    <w:p w14:paraId="719DCE8D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2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企业荣誉</w:t>
      </w:r>
    </w:p>
    <w:p w14:paraId="32A21DA7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drawing>
          <wp:inline distT="0" distB="0" distL="114300" distR="114300">
            <wp:extent cx="5272405" cy="3117850"/>
            <wp:effectExtent l="0" t="0" r="4445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8295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企业荣誉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56DD1FEB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顶级 OEM 厂商背书展示</w:t>
      </w:r>
      <w:r>
        <w:rPr>
          <w:rFonts w:hint="eastAsia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优先展示来自福特、华为、比亚迪等大客户的“卓越供应商奖”，并增加约 200 字的项目应用背景描述，而非仅放一张证书照片。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23870E21"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荣誉分级与分类检索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将荣誉分为“质量基准类”、“技术发明类”、“ESG 可持续发展奖”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等类别</w:t>
      </w:r>
      <w:r>
        <w:rPr>
          <w:rFonts w:hint="eastAsia" w:ascii="宋体" w:hAnsi="宋体" w:eastAsia="宋体" w:cs="宋体"/>
          <w:sz w:val="24"/>
          <w:szCs w:val="24"/>
        </w:rPr>
        <w:t>，体现全方位的综合实力。</w:t>
      </w:r>
      <w:r>
        <w:rPr>
          <w:rFonts w:hint="eastAsia"/>
          <w:b/>
          <w:bCs/>
        </w:rPr>
        <w:t>参考贵弥功</w:t>
      </w:r>
    </w:p>
    <w:p w14:paraId="2A3798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关联 QCDT 指标说明</w:t>
      </w:r>
      <w:r>
        <w:rPr>
          <w:rFonts w:ascii="宋体" w:hAnsi="宋体" w:eastAsia="宋体" w:cs="宋体"/>
          <w:sz w:val="24"/>
          <w:szCs w:val="24"/>
        </w:rPr>
        <w:t>：为每项奖项备注其达成的 QCDT（质量、成本、交付、技术）硬性指标，作为硬件工程师评估供应商的专业依据 。</w:t>
      </w:r>
    </w:p>
    <w:p w14:paraId="14B6DB10">
      <w:pPr>
        <w:rPr>
          <w:rFonts w:hint="eastAsia"/>
          <w:b/>
          <w:bCs/>
          <w:sz w:val="28"/>
          <w:szCs w:val="28"/>
          <w:highlight w:val="yellow"/>
        </w:rPr>
      </w:pPr>
    </w:p>
    <w:p w14:paraId="4DB31FB4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企业荣誉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1B89B884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Award 结构化标记</w:t>
      </w:r>
      <w:r>
        <w:rPr>
          <w:rFonts w:ascii="宋体" w:hAnsi="宋体" w:eastAsia="宋体" w:cs="宋体"/>
          <w:sz w:val="24"/>
          <w:szCs w:val="24"/>
        </w:rPr>
        <w:t xml:space="preserve">：利用 Schema.org 的 </w:t>
      </w:r>
      <w:r>
        <w:rPr>
          <w:rStyle w:val="12"/>
          <w:rFonts w:ascii="宋体" w:hAnsi="宋体" w:eastAsia="宋体" w:cs="宋体"/>
          <w:sz w:val="24"/>
          <w:szCs w:val="24"/>
        </w:rPr>
        <w:t>Award</w:t>
      </w:r>
      <w:r>
        <w:rPr>
          <w:rFonts w:ascii="宋体" w:hAnsi="宋体" w:eastAsia="宋体" w:cs="宋体"/>
          <w:sz w:val="24"/>
          <w:szCs w:val="24"/>
        </w:rPr>
        <w:t xml:space="preserve"> 属性标注奖项名称、颁发机构（如“Intel EPIC Supplier Award”）及年份，使荣誉进入 AI 的供应链风控评估系统。</w:t>
      </w:r>
    </w:p>
    <w:p w14:paraId="352BA97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荣誉描述文本化（非图片化）</w:t>
      </w:r>
      <w:r>
        <w:rPr>
          <w:rFonts w:hint="eastAsia"/>
        </w:rPr>
        <w:t xml:space="preserve">： </w:t>
      </w:r>
      <w:r>
        <w:rPr>
          <w:rFonts w:ascii="宋体" w:hAnsi="宋体" w:eastAsia="宋体" w:cs="宋体"/>
          <w:sz w:val="24"/>
          <w:szCs w:val="24"/>
        </w:rPr>
        <w:t>严禁仅以图片形式展示荣誉，必须提供可抓取的 HTML 文本层，包含获奖原因及技术突破点，供 AI 进行语义评分 。</w:t>
      </w:r>
    </w:p>
    <w:p w14:paraId="6370D62A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3E992DE1">
      <w:pPr>
        <w:rPr>
          <w:rFonts w:hint="eastAsia"/>
          <w:b/>
          <w:bCs/>
          <w:sz w:val="30"/>
          <w:szCs w:val="30"/>
          <w:highlight w:val="yellow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3</w:t>
      </w:r>
      <w:r>
        <w:rPr>
          <w:rFonts w:hint="eastAsia"/>
          <w:b/>
          <w:bCs/>
          <w:sz w:val="30"/>
          <w:szCs w:val="30"/>
          <w:highlight w:val="yellow"/>
        </w:rPr>
        <w:t xml:space="preserve"> 代理商网络</w:t>
      </w:r>
    </w:p>
    <w:p w14:paraId="487C7352">
      <w:pPr>
        <w:rPr>
          <w:rFonts w:hint="eastAsia"/>
          <w:b/>
          <w:bCs/>
          <w:sz w:val="30"/>
          <w:szCs w:val="30"/>
          <w:highlight w:val="yellow"/>
        </w:rPr>
      </w:pPr>
      <w:r>
        <w:drawing>
          <wp:inline distT="0" distB="0" distL="114300" distR="114300">
            <wp:extent cx="5219065" cy="3729355"/>
            <wp:effectExtent l="0" t="0" r="635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A2EE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D95A32">
      <w:pPr>
        <w:rPr>
          <w:rFonts w:hint="default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4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联系我们</w:t>
      </w:r>
    </w:p>
    <w:p w14:paraId="36F39ECF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3CA610BD">
      <w:pPr>
        <w:rPr>
          <w:rFonts w:ascii="宋体" w:hAnsi="宋体" w:eastAsia="宋体" w:cs="宋体"/>
          <w:sz w:val="24"/>
          <w:szCs w:val="24"/>
        </w:rPr>
      </w:pPr>
    </w:p>
    <w:p w14:paraId="469893A8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加入我们（参考：村田）</w:t>
      </w:r>
    </w:p>
    <w:p w14:paraId="10926823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drawing>
          <wp:inline distT="0" distB="0" distL="114300" distR="114300">
            <wp:extent cx="5274310" cy="4427855"/>
            <wp:effectExtent l="0" t="0" r="2540" b="1079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C024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加入我们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48E0CAB4">
      <w:pPr>
        <w:rPr>
          <w:rFonts w:hint="eastAsia"/>
          <w:b/>
          <w:bCs/>
          <w:sz w:val="28"/>
          <w:szCs w:val="28"/>
          <w:highlight w:val="yellow"/>
        </w:rPr>
      </w:pPr>
    </w:p>
    <w:p w14:paraId="70E0C991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加入我们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27D6FC2C">
      <w:pPr>
        <w:rPr>
          <w:rFonts w:hint="eastAsia"/>
          <w:lang w:val="en-US" w:eastAsia="zh-CN"/>
        </w:rPr>
      </w:pPr>
      <w:bookmarkStart w:id="0" w:name="_GoBack"/>
      <w:bookmarkEnd w:id="0"/>
    </w:p>
    <w:p w14:paraId="5DF2CF2C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5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6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原材料采购（参考：贵弥功）</w:t>
      </w:r>
    </w:p>
    <w:p w14:paraId="44A5C2F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358005"/>
            <wp:effectExtent l="0" t="0" r="11430" b="444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D17C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原材料采购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09446E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B2B专属采购与合规指南（原材料采购）：</w:t>
      </w:r>
      <w:r>
        <w:rPr>
          <w:rFonts w:hint="eastAsia"/>
        </w:rPr>
        <w:t>设立专门的原材料采购页面，明确披露绿色采购标准（Green Procurement）、CSR采购政策以及负责任的矿物采购方针，前置解决大型B2B客户对Tier 2/Tier 3供应商的合规审查需求。（参考：贵弥功）</w:t>
      </w:r>
    </w:p>
    <w:p w14:paraId="3C57D6D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标准化交易启动流程图展示：</w:t>
      </w:r>
      <w:r>
        <w:rPr>
          <w:rFonts w:ascii="宋体" w:hAnsi="宋体" w:eastAsia="宋体" w:cs="宋体"/>
          <w:sz w:val="24"/>
          <w:szCs w:val="24"/>
        </w:rPr>
        <w:t>以流程图形式公开新供应商准入、材料报备与批准、持续性能评估的具体步骤，缩短新业务接洽的冷启动周期。（参考：贵弥功）</w:t>
      </w:r>
    </w:p>
    <w:p w14:paraId="5193C49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供应商质量保证手册（SQM）版本管理：</w:t>
      </w:r>
      <w:r>
        <w:rPr>
          <w:rFonts w:ascii="宋体" w:hAnsi="宋体" w:eastAsia="宋体" w:cs="宋体"/>
          <w:sz w:val="24"/>
          <w:szCs w:val="24"/>
        </w:rPr>
        <w:t>公开披露SQM手册的修订摘要，并对详细手册采取会员下载制，确保质量要求能垂直渗透至底层供应商。（参考：贵弥功 ）</w:t>
      </w:r>
    </w:p>
    <w:p w14:paraId="76E6CFF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建立匿名举报与合规热线：</w:t>
      </w:r>
      <w:r>
        <w:rPr>
          <w:rFonts w:ascii="宋体" w:hAnsi="宋体" w:eastAsia="宋体" w:cs="宋体"/>
          <w:sz w:val="24"/>
          <w:szCs w:val="24"/>
        </w:rPr>
        <w:t>提供如EthicsPoint或JaCER等外部合规举报入口，向大客户展示对供应链公正性与人权保障的底线承诺。（参考：松下）</w:t>
      </w:r>
    </w:p>
    <w:p w14:paraId="2945B142">
      <w:pPr>
        <w:rPr>
          <w:rFonts w:ascii="宋体" w:hAnsi="宋体" w:eastAsia="宋体" w:cs="宋体"/>
          <w:sz w:val="24"/>
          <w:szCs w:val="24"/>
        </w:rPr>
      </w:pPr>
    </w:p>
    <w:p w14:paraId="7CB9F293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原材料采购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3745B6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Organization 结构化数据与 knowsAbout 标注：</w:t>
      </w:r>
      <w:r>
        <w:rPr>
          <w:rFonts w:ascii="宋体" w:hAnsi="宋体" w:eastAsia="宋体" w:cs="宋体"/>
          <w:sz w:val="24"/>
          <w:szCs w:val="24"/>
        </w:rPr>
        <w:t>定义企业身份并在元数据中利用</w:t>
      </w:r>
      <w:r>
        <w:rPr>
          <w:rStyle w:val="12"/>
          <w:rFonts w:ascii="宋体" w:hAnsi="宋体" w:eastAsia="宋体" w:cs="宋体"/>
          <w:sz w:val="24"/>
          <w:szCs w:val="24"/>
        </w:rPr>
        <w:t>knowsAbout</w:t>
      </w:r>
      <w:r>
        <w:rPr>
          <w:rFonts w:ascii="宋体" w:hAnsi="宋体" w:eastAsia="宋体" w:cs="宋体"/>
          <w:sz w:val="24"/>
          <w:szCs w:val="24"/>
        </w:rPr>
        <w:t>属性标注“高性能电解电容原材料采购”等专长，提升AI在处理行业查询时的命中率。</w:t>
      </w:r>
      <w:r>
        <w:rPr>
          <w:rFonts w:hint="eastAsia"/>
        </w:rPr>
        <w:t>（参考：</w:t>
      </w:r>
      <w:r>
        <w:rPr>
          <w:rFonts w:hint="eastAsia"/>
          <w:lang w:val="en-US" w:eastAsia="zh-CN"/>
        </w:rPr>
        <w:t>村田</w:t>
      </w:r>
      <w:r>
        <w:rPr>
          <w:rFonts w:hint="eastAsia"/>
        </w:rPr>
        <w:t>）</w:t>
      </w:r>
    </w:p>
    <w:p w14:paraId="693260C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SearchAction 站点搜索声明：</w:t>
      </w:r>
      <w:r>
        <w:rPr>
          <w:rFonts w:ascii="宋体" w:hAnsi="宋体" w:eastAsia="宋体" w:cs="宋体"/>
          <w:sz w:val="24"/>
          <w:szCs w:val="24"/>
        </w:rPr>
        <w:t>在采购页代码中嵌入搜索动作指令，允许AI搜索工具直接穿透并检索站内的合规数据库或供应商名录。</w:t>
      </w:r>
    </w:p>
    <w:p w14:paraId="6F31E5B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数字化资产的PN级关联与命名规范：</w:t>
      </w:r>
      <w:r>
        <w:rPr>
          <w:rFonts w:ascii="宋体" w:hAnsi="宋体" w:eastAsia="宋体" w:cs="宋体"/>
          <w:sz w:val="24"/>
          <w:szCs w:val="24"/>
        </w:rPr>
        <w:t>确保所有合规证明、环境报告的文件命名包含PN（料号）或系列信息，并附加</w:t>
      </w:r>
      <w:r>
        <w:rPr>
          <w:rStyle w:val="12"/>
          <w:rFonts w:ascii="宋体" w:hAnsi="宋体" w:eastAsia="宋体" w:cs="宋体"/>
          <w:sz w:val="24"/>
          <w:szCs w:val="24"/>
        </w:rPr>
        <w:t>DataDownload</w:t>
      </w:r>
      <w:r>
        <w:rPr>
          <w:rFonts w:ascii="宋体" w:hAnsi="宋体" w:eastAsia="宋体" w:cs="宋体"/>
          <w:sz w:val="24"/>
          <w:szCs w:val="24"/>
        </w:rPr>
        <w:t>属性，防止文档在AI索引中成为碎片孤岛。</w:t>
      </w:r>
    </w:p>
    <w:p w14:paraId="4020220F">
      <w:pPr>
        <w:rPr>
          <w:rFonts w:hint="eastAsia"/>
        </w:rPr>
      </w:pPr>
    </w:p>
    <w:p w14:paraId="2A7406C5">
      <w:pPr>
        <w:rPr>
          <w:rFonts w:hint="eastAsia"/>
        </w:rPr>
      </w:pPr>
    </w:p>
    <w:p w14:paraId="4859F73E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0000FF"/>
        </w:rPr>
        <w:t>贵弥功 (Nippon Chemi-Con)：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四个板块</w:t>
      </w:r>
    </w:p>
    <w:p w14:paraId="56A60EC4">
      <w:pPr>
        <w:jc w:val="left"/>
      </w:pPr>
      <w:r>
        <w:rPr>
          <w:rFonts w:hint="eastAsia"/>
          <w:b/>
          <w:bCs/>
          <w:color w:val="0000FF"/>
          <w:lang w:val="en-US" w:eastAsia="zh-CN"/>
        </w:rPr>
        <w:t>1、企业信息</w:t>
      </w:r>
    </w:p>
    <w:p w14:paraId="55B0530C">
      <w:pPr>
        <w:jc w:val="left"/>
      </w:pPr>
      <w:r>
        <w:rPr>
          <w:rFonts w:hint="eastAsia"/>
          <w:b/>
          <w:bCs/>
          <w:color w:val="0000FF"/>
          <w:lang w:val="en-US" w:eastAsia="zh-CN"/>
        </w:rPr>
        <w:t>2、可持续发展</w:t>
      </w:r>
    </w:p>
    <w:p w14:paraId="4A812003">
      <w:pPr>
        <w:numPr>
          <w:ilvl w:val="0"/>
          <w:numId w:val="0"/>
        </w:numPr>
        <w:jc w:val="left"/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、原材料采购</w:t>
      </w:r>
    </w:p>
    <w:p w14:paraId="7BA6E60D">
      <w:pPr>
        <w:numPr>
          <w:ilvl w:val="0"/>
          <w:numId w:val="1"/>
        </w:numPr>
        <w:jc w:val="left"/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企业信息FAQ/咨询</w:t>
      </w:r>
    </w:p>
    <w:p w14:paraId="4ABDDBB1">
      <w:pPr>
        <w:rPr>
          <w:rFonts w:hint="eastAsia"/>
          <w:b/>
          <w:bCs/>
          <w:color w:val="0000FF"/>
        </w:rPr>
      </w:pPr>
    </w:p>
    <w:p w14:paraId="68640E5A">
      <w:pPr>
        <w:rPr>
          <w:rFonts w:hint="eastAsia"/>
          <w:b/>
          <w:bCs/>
          <w:color w:val="0000FF"/>
        </w:rPr>
      </w:pPr>
    </w:p>
    <w:p w14:paraId="7AF4D4F1">
      <w:pPr>
        <w:rPr>
          <w:rFonts w:hint="eastAsia"/>
        </w:rPr>
      </w:pPr>
      <w:r>
        <w:rPr>
          <w:rFonts w:hint="eastAsia"/>
          <w:b/>
          <w:bCs/>
          <w:color w:val="0000FF"/>
        </w:rPr>
        <w:t xml:space="preserve">松下 (Panasonic)： </w:t>
      </w:r>
      <w:r>
        <w:rPr>
          <w:rFonts w:hint="eastAsia"/>
          <w:lang w:val="en-US" w:eastAsia="zh-CN"/>
        </w:rPr>
        <w:t>两个板块</w:t>
      </w:r>
    </w:p>
    <w:p w14:paraId="3100E3DC">
      <w:r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b/>
          <w:bCs/>
          <w:color w:val="0000FF"/>
          <w:lang w:val="en-US" w:eastAsia="zh-CN"/>
        </w:rPr>
        <w:t>常见问题</w:t>
      </w:r>
    </w:p>
    <w:p w14:paraId="7A5A9D83">
      <w:r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、营业据点</w:t>
      </w:r>
    </w:p>
    <w:p w14:paraId="5FC20234"/>
    <w:p w14:paraId="714DBD01">
      <w:pPr>
        <w:rPr>
          <w:rFonts w:hint="eastAsia"/>
        </w:rPr>
      </w:pPr>
      <w:r>
        <w:rPr>
          <w:rFonts w:hint="eastAsia"/>
          <w:b/>
          <w:bCs/>
          <w:color w:val="0000FF"/>
        </w:rPr>
        <w:t>村田 (Murata)：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lang w:val="en-US" w:eastAsia="zh-CN"/>
        </w:rPr>
        <w:t>五个板块</w:t>
      </w:r>
    </w:p>
    <w:p w14:paraId="29CA0335">
      <w:pPr>
        <w:numPr>
          <w:ilvl w:val="0"/>
          <w:numId w:val="0"/>
        </w:num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1、公司信息</w:t>
      </w:r>
    </w:p>
    <w:p w14:paraId="1FB30E99">
      <w:pPr>
        <w:numPr>
          <w:ilvl w:val="0"/>
          <w:numId w:val="2"/>
        </w:num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可持续发展</w:t>
      </w:r>
    </w:p>
    <w:p w14:paraId="31B8CC8F">
      <w:r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、新闻编辑室</w:t>
      </w:r>
    </w:p>
    <w:p w14:paraId="76D12464">
      <w:pPr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 xml:space="preserve">招聘 </w:t>
      </w:r>
    </w:p>
    <w:p w14:paraId="734B8B4D"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、了解有关村田制作所的更多信息</w:t>
      </w:r>
    </w:p>
    <w:p w14:paraId="7A09F360">
      <w:pPr>
        <w:rPr>
          <w:rFonts w:hint="eastAsia"/>
        </w:rPr>
      </w:pPr>
    </w:p>
    <w:p w14:paraId="503FF2E7">
      <w:pPr>
        <w:rPr>
          <w:rFonts w:hint="eastAsia"/>
        </w:rPr>
      </w:pPr>
    </w:p>
    <w:p w14:paraId="666FDE2F">
      <w:pPr>
        <w:numPr>
          <w:ilvl w:val="0"/>
          <w:numId w:val="0"/>
        </w:numPr>
        <w:ind w:leftChars="0"/>
        <w:rPr>
          <w:rFonts w:hint="eastAsia"/>
        </w:rPr>
      </w:pPr>
    </w:p>
    <w:p w14:paraId="6DC208DC">
      <w:pPr>
        <w:rPr>
          <w:rFonts w:hint="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【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关于我们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要求（3项）</w:t>
      </w:r>
    </w:p>
    <w:p w14:paraId="4F882101">
      <w:pPr>
        <w:rPr>
          <w:rFonts w:hint="eastAsia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1. ESG数据的矩阵式表格渲染（可持续发展）：</w:t>
      </w:r>
      <w:r>
        <w:rPr>
          <w:rFonts w:hint="eastAsia"/>
        </w:rPr>
        <w:t xml:space="preserve"> 将温室气体排放（Scope 1/2/3）、能源消耗量等ESG指标以标准化的HTML表格形式按年度跨度呈现。这种行列对应的矩阵数据极易被大模型及RAG系统直接提取，用于自动化的供应商绿度评估。（参考：贵弥功）</w:t>
      </w:r>
    </w:p>
    <w:p w14:paraId="48514366">
      <w:pPr>
        <w:rPr>
          <w:rFonts w:hint="eastAsia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2.带底层语义标签与交叉过滤的新闻系统（新闻编辑室）： </w:t>
      </w:r>
      <w:r>
        <w:rPr>
          <w:rFonts w:hint="eastAsia"/>
          <w:lang w:val="en-US" w:eastAsia="zh-CN"/>
        </w:rPr>
        <w:t>新闻页面支持按年份、产品大类（如电容器、电感器）进行多条件交叉过滤，并在底层部署了语义标签（Tags）和RSS Feed订阅链接。此结构极大降低了通用爬虫与AI资讯聚合器抓取企业技术动态的难度。（参考：村田）</w:t>
      </w:r>
    </w:p>
    <w:p w14:paraId="643CDD6E">
      <w:pPr>
        <w:rPr>
          <w:rFonts w:hint="eastAsia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3.FAQ知识库的标签化元数据字典（FAQ/咨询）：</w:t>
      </w:r>
      <w:r>
        <w:rPr>
          <w:rFonts w:hint="eastAsia"/>
        </w:rPr>
        <w:t>为FAQ条目配置清晰的技术标签体系（如 safetystandard, materials, productintroduction）。标签充当了机器可读的元数据字典，帮助大语言模型精准识别问答内容所属的应用上下文。（参考：贵弥功）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E8984">
    <w:pPr>
      <w:pStyle w:val="5"/>
      <w:ind w:firstLine="180" w:firstLineChars="100"/>
      <w:rPr>
        <w:rFonts w:hint="default" w:eastAsiaTheme="minorEastAsia"/>
        <w:lang w:val="en-US" w:eastAsia="zh-CN"/>
      </w:rPr>
    </w:pPr>
    <w:r>
      <w:rPr>
        <w:rFonts w:hint="eastAsia"/>
      </w:rPr>
      <w:t>拟制：王傑维                   复核：</w:t>
    </w:r>
    <w:r>
      <w:rPr>
        <w:rFonts w:hint="eastAsia"/>
        <w:lang w:val="en-US" w:eastAsia="zh-CN"/>
      </w:rPr>
      <w:t>周瑜玲          2026年3月24日            版本V2.0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F3B3D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777C27"/>
    <w:multiLevelType w:val="singleLevel"/>
    <w:tmpl w:val="BB777C2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CAF35144"/>
    <w:multiLevelType w:val="singleLevel"/>
    <w:tmpl w:val="CAF35144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FB"/>
    <w:rsid w:val="000428F9"/>
    <w:rsid w:val="00082BCB"/>
    <w:rsid w:val="0020662E"/>
    <w:rsid w:val="00306FE9"/>
    <w:rsid w:val="00351BFB"/>
    <w:rsid w:val="008D387F"/>
    <w:rsid w:val="00976C0C"/>
    <w:rsid w:val="00A22F3E"/>
    <w:rsid w:val="013E61E2"/>
    <w:rsid w:val="018067FB"/>
    <w:rsid w:val="04591972"/>
    <w:rsid w:val="07462294"/>
    <w:rsid w:val="08640C24"/>
    <w:rsid w:val="0CD345CA"/>
    <w:rsid w:val="0DD12AEF"/>
    <w:rsid w:val="0E6B438E"/>
    <w:rsid w:val="0EEA7F89"/>
    <w:rsid w:val="0F63219C"/>
    <w:rsid w:val="0FB268C4"/>
    <w:rsid w:val="114E2830"/>
    <w:rsid w:val="13BC7A49"/>
    <w:rsid w:val="13F310AE"/>
    <w:rsid w:val="15F80BFE"/>
    <w:rsid w:val="172F4AF3"/>
    <w:rsid w:val="178A4BBA"/>
    <w:rsid w:val="19CB2B28"/>
    <w:rsid w:val="1B645E2C"/>
    <w:rsid w:val="1BE539D2"/>
    <w:rsid w:val="1C9553F8"/>
    <w:rsid w:val="1FAA1805"/>
    <w:rsid w:val="20503479"/>
    <w:rsid w:val="20AF412F"/>
    <w:rsid w:val="220F79FB"/>
    <w:rsid w:val="262F13A7"/>
    <w:rsid w:val="287219D8"/>
    <w:rsid w:val="28B00B69"/>
    <w:rsid w:val="29874F71"/>
    <w:rsid w:val="29FA689B"/>
    <w:rsid w:val="2A3137FD"/>
    <w:rsid w:val="2BAB25FD"/>
    <w:rsid w:val="2C5A2710"/>
    <w:rsid w:val="2D206FF2"/>
    <w:rsid w:val="2E3F11F2"/>
    <w:rsid w:val="346D235F"/>
    <w:rsid w:val="3B663F2E"/>
    <w:rsid w:val="3BC05FA4"/>
    <w:rsid w:val="3D854A81"/>
    <w:rsid w:val="3E99132F"/>
    <w:rsid w:val="3F5B6F1A"/>
    <w:rsid w:val="41813C78"/>
    <w:rsid w:val="42B811A0"/>
    <w:rsid w:val="430976F7"/>
    <w:rsid w:val="45A1630C"/>
    <w:rsid w:val="45DB3E4A"/>
    <w:rsid w:val="45FA4169"/>
    <w:rsid w:val="48345216"/>
    <w:rsid w:val="48CA29CA"/>
    <w:rsid w:val="495C0FA0"/>
    <w:rsid w:val="49EC224C"/>
    <w:rsid w:val="4D822DD2"/>
    <w:rsid w:val="4E51609D"/>
    <w:rsid w:val="4F3461FE"/>
    <w:rsid w:val="502D413E"/>
    <w:rsid w:val="504C0191"/>
    <w:rsid w:val="50FE2865"/>
    <w:rsid w:val="51064AC0"/>
    <w:rsid w:val="53966D85"/>
    <w:rsid w:val="53F25ADF"/>
    <w:rsid w:val="562D48BB"/>
    <w:rsid w:val="611B1271"/>
    <w:rsid w:val="6254617C"/>
    <w:rsid w:val="654C7BA6"/>
    <w:rsid w:val="66C620BB"/>
    <w:rsid w:val="670830D6"/>
    <w:rsid w:val="6C690A30"/>
    <w:rsid w:val="6C7C7243"/>
    <w:rsid w:val="6D08089B"/>
    <w:rsid w:val="6D9C4B6B"/>
    <w:rsid w:val="6E841359"/>
    <w:rsid w:val="6F555203"/>
    <w:rsid w:val="71502F9E"/>
    <w:rsid w:val="74E1132B"/>
    <w:rsid w:val="753A5D01"/>
    <w:rsid w:val="772E0EFE"/>
    <w:rsid w:val="7988339E"/>
    <w:rsid w:val="7AA66192"/>
    <w:rsid w:val="7AC6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批注框文本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眉 Char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135F8-C116-427F-AEEE-A84CC218B6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7</Pages>
  <Words>2727</Words>
  <Characters>3353</Characters>
  <Lines>56</Lines>
  <Paragraphs>15</Paragraphs>
  <TotalTime>24</TotalTime>
  <ScaleCrop>false</ScaleCrop>
  <LinksUpToDate>false</LinksUpToDate>
  <CharactersWithSpaces>3506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2026-03-16T07:32:00Z</dcterms:created>
  <dc:creator>Administrator</dc:creator>
  <cp:lastModifiedBy>WPS_1750757121</cp:lastModifiedBy>
  <dcterms:modified xsi:type="dcterms:W3CDTF">2026-04-02T01:41:58Z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21F87EE8A1724D34B16CD71975DB63A8_12</vt:lpwstr>
  </property>
</Properties>
</file>