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F1115"/>
          <w:sz w:val="24"/>
        </w:rPr>
        <w:t>《应用中心仪器仪表_菜单层级_V1》2026-05-27</w:t>
      </w:r>
    </w:p>
    <w:p>
      <w:r>
        <w:rPr>
          <w:rFonts w:ascii="微软雅黑" w:hAnsi="微软雅黑" w:eastAsia="微软雅黑"/>
          <w:color w:val="0F1115"/>
          <w:sz w:val="24"/>
        </w:rPr>
        <w:t>一、 主导航菜单层级（顶部固定导航栏）</w:t>
      </w:r>
    </w:p>
    <w:p>
      <w:r>
        <w:rPr>
          <w:rFonts w:ascii="微软雅黑" w:hAnsi="微软雅黑" w:eastAsia="微软雅黑"/>
          <w:sz w:val="24"/>
        </w:rPr>
        <w:t>该部分为网站全局功能入口，悬停激活二级菜单。来源：application-instrument.html — YMIN.navbar.inject('applications') 高亮"应用中心"。</w:t>
      </w:r>
    </w:p>
    <w:p>
      <w:r>
        <w:rPr>
          <w:rFonts w:ascii="微软雅黑" w:hAnsi="微软雅黑" w:eastAsia="微软雅黑"/>
          <w:sz w:val="24"/>
        </w:rPr>
        <w:t>首页</w:t>
      </w:r>
    </w:p>
    <w:p>
      <w:r>
        <w:rPr>
          <w:rFonts w:ascii="微软雅黑" w:hAnsi="微软雅黑" w:eastAsia="微软雅黑"/>
          <w:sz w:val="24"/>
        </w:rPr>
        <w:t xml:space="preserve">  ├── 动态轮播</w:t>
      </w:r>
    </w:p>
    <w:p>
      <w:r>
        <w:rPr>
          <w:rFonts w:ascii="微软雅黑" w:hAnsi="微软雅黑" w:eastAsia="微软雅黑"/>
          <w:sz w:val="24"/>
        </w:rPr>
        <w:t xml:space="preserve">  ├── 搜索功能</w:t>
      </w:r>
    </w:p>
    <w:p>
      <w:r>
        <w:rPr>
          <w:rFonts w:ascii="微软雅黑" w:hAnsi="微软雅黑" w:eastAsia="微软雅黑"/>
          <w:sz w:val="24"/>
        </w:rPr>
        <w:t xml:space="preserve">  ├── 产品矩阵</w:t>
      </w:r>
    </w:p>
    <w:p>
      <w:r>
        <w:rPr>
          <w:rFonts w:ascii="微软雅黑" w:hAnsi="微软雅黑" w:eastAsia="微软雅黑"/>
          <w:sz w:val="24"/>
        </w:rPr>
        <w:t xml:space="preserve">  ├── 设计工具</w:t>
      </w:r>
    </w:p>
    <w:p>
      <w:r>
        <w:rPr>
          <w:rFonts w:ascii="微软雅黑" w:hAnsi="微软雅黑" w:eastAsia="微软雅黑"/>
          <w:sz w:val="24"/>
        </w:rPr>
        <w:t xml:space="preserve">  ├── 应用指南</w:t>
      </w:r>
    </w:p>
    <w:p>
      <w:r>
        <w:rPr>
          <w:rFonts w:ascii="微软雅黑" w:hAnsi="微软雅黑" w:eastAsia="微软雅黑"/>
          <w:sz w:val="24"/>
        </w:rPr>
        <w:t xml:space="preserve">  └── 新闻中心</w:t>
      </w:r>
    </w:p>
    <w:p>
      <w:r>
        <w:rPr>
          <w:rFonts w:ascii="微软雅黑" w:hAnsi="微软雅黑" w:eastAsia="微软雅黑"/>
          <w:sz w:val="24"/>
        </w:rPr>
      </w:r>
    </w:p>
    <w:p>
      <w:r>
        <w:rPr>
          <w:rFonts w:ascii="微软雅黑" w:hAnsi="微软雅黑" w:eastAsia="微软雅黑"/>
          <w:sz w:val="24"/>
        </w:rPr>
        <w:t>产品中心</w:t>
      </w:r>
    </w:p>
    <w:p>
      <w:r>
        <w:rPr>
          <w:rFonts w:ascii="微软雅黑" w:hAnsi="微软雅黑" w:eastAsia="微软雅黑"/>
          <w:sz w:val="24"/>
        </w:rPr>
        <w:t xml:space="preserve">  ├── 筛选功能</w:t>
      </w:r>
    </w:p>
    <w:p>
      <w:r>
        <w:rPr>
          <w:rFonts w:ascii="微软雅黑" w:hAnsi="微软雅黑" w:eastAsia="微软雅黑"/>
          <w:sz w:val="24"/>
        </w:rPr>
        <w:t xml:space="preserve">  ├── 产品详情页</w:t>
      </w:r>
    </w:p>
    <w:p>
      <w:r>
        <w:rPr>
          <w:rFonts w:ascii="微软雅黑" w:hAnsi="微软雅黑" w:eastAsia="微软雅黑"/>
          <w:sz w:val="24"/>
        </w:rPr>
        <w:t xml:space="preserve">  └── 产品搜索</w:t>
      </w:r>
    </w:p>
    <w:p>
      <w:r>
        <w:rPr>
          <w:rFonts w:ascii="微软雅黑" w:hAnsi="微软雅黑" w:eastAsia="微软雅黑"/>
          <w:sz w:val="24"/>
        </w:rPr>
      </w:r>
    </w:p>
    <w:p>
      <w:r>
        <w:rPr>
          <w:rFonts w:ascii="微软雅黑" w:hAnsi="微软雅黑" w:eastAsia="微软雅黑"/>
          <w:sz w:val="24"/>
        </w:rPr>
        <w:t>应用中心 (当前模块)</w:t>
      </w:r>
    </w:p>
    <w:p>
      <w:r>
        <w:rPr>
          <w:rFonts w:ascii="微软雅黑" w:hAnsi="微软雅黑" w:eastAsia="微软雅黑"/>
          <w:sz w:val="24"/>
        </w:rPr>
        <w:t xml:space="preserve">  ├── 应用总览</w:t>
      </w:r>
    </w:p>
    <w:p>
      <w:r>
        <w:rPr>
          <w:rFonts w:ascii="微软雅黑" w:hAnsi="微软雅黑" w:eastAsia="微软雅黑"/>
          <w:sz w:val="24"/>
        </w:rPr>
        <w:t xml:space="preserve">  ├── 汽车电子</w:t>
      </w:r>
    </w:p>
    <w:p>
      <w:r>
        <w:rPr>
          <w:rFonts w:ascii="微软雅黑" w:hAnsi="微软雅黑" w:eastAsia="微软雅黑"/>
          <w:sz w:val="24"/>
        </w:rPr>
        <w:t xml:space="preserve">  ├── AI服务器与数据中心</w:t>
      </w:r>
    </w:p>
    <w:p>
      <w:r>
        <w:rPr>
          <w:rFonts w:ascii="微软雅黑" w:hAnsi="微软雅黑" w:eastAsia="微软雅黑"/>
          <w:sz w:val="24"/>
        </w:rPr>
        <w:t xml:space="preserve">  ├── 通信电源</w:t>
      </w:r>
    </w:p>
    <w:p>
      <w:r>
        <w:rPr>
          <w:rFonts w:ascii="微软雅黑" w:hAnsi="微软雅黑" w:eastAsia="微软雅黑"/>
          <w:sz w:val="24"/>
        </w:rPr>
        <w:t xml:space="preserve">  ├── 储能</w:t>
      </w:r>
    </w:p>
    <w:p>
      <w:r>
        <w:rPr>
          <w:rFonts w:ascii="微软雅黑" w:hAnsi="微软雅黑" w:eastAsia="微软雅黑"/>
          <w:sz w:val="24"/>
        </w:rPr>
        <w:t xml:space="preserve">  ├── 新型电机驱动</w:t>
      </w:r>
    </w:p>
    <w:p>
      <w:r>
        <w:rPr>
          <w:rFonts w:ascii="微软雅黑" w:hAnsi="微软雅黑" w:eastAsia="微软雅黑"/>
          <w:sz w:val="24"/>
        </w:rPr>
        <w:t xml:space="preserve">  ├── 仪器仪表</w:t>
      </w:r>
    </w:p>
    <w:p>
      <w:r>
        <w:rPr>
          <w:rFonts w:ascii="微软雅黑" w:hAnsi="微软雅黑" w:eastAsia="微软雅黑"/>
          <w:color w:val="0000FF"/>
          <w:sz w:val="24"/>
        </w:rPr>
        <w:t xml:space="preserve">  └── 仪器仪表 ← 当前页面</w:t>
      </w:r>
    </w:p>
    <w:p>
      <w:r>
        <w:rPr>
          <w:rFonts w:ascii="微软雅黑" w:hAnsi="微软雅黑" w:eastAsia="微软雅黑"/>
          <w:sz w:val="24"/>
        </w:rPr>
      </w:r>
    </w:p>
    <w:p>
      <w:r>
        <w:rPr>
          <w:rFonts w:ascii="微软雅黑" w:hAnsi="微软雅黑" w:eastAsia="微软雅黑"/>
          <w:sz w:val="24"/>
        </w:rPr>
        <w:t>设计工具 → 3D-CAD / 寿命计算工具 / 可靠性实验数据 / SPICE模型 / S参数</w:t>
      </w:r>
    </w:p>
    <w:p>
      <w:r>
        <w:rPr>
          <w:rFonts w:ascii="微软雅黑" w:hAnsi="微软雅黑" w:eastAsia="微软雅黑"/>
          <w:sz w:val="24"/>
        </w:rPr>
        <w:t>服务支持 → 知识库(FAQ) / 下载中心 / 合规证书 / 新闻资讯</w:t>
      </w:r>
    </w:p>
    <w:p>
      <w:r>
        <w:rPr>
          <w:rFonts w:ascii="微软雅黑" w:hAnsi="微软雅黑" w:eastAsia="微软雅黑"/>
          <w:sz w:val="24"/>
        </w:rPr>
        <w:t>关于永铭 → 公司简介 / 企业荣誉 / 代理商网络 / 联系我们 / 加入我们 / 原材料采购</w:t>
      </w:r>
    </w:p>
    <w:p>
      <w:r>
        <w:rPr>
          <w:rFonts w:ascii="微软雅黑" w:hAnsi="微软雅黑" w:eastAsia="微软雅黑"/>
          <w:color w:val="0F1115"/>
          <w:sz w:val="24"/>
        </w:rPr>
        <w:t>二、 面包屑内容层级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层级深度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一级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首页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可点击链接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返回网站首页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二级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应用中心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纯文本（当前页）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应用中心总览，不可点击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三级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仪器仪表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纯文本（当前页）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当前页</w:t>
            </w:r>
          </w:p>
        </w:tc>
      </w:tr>
    </w:tbl>
    <w:p>
      <w:r>
        <w:rPr>
          <w:rFonts w:ascii="微软雅黑" w:hAnsi="微软雅黑" w:eastAsia="微软雅黑"/>
          <w:color w:val="0F1115"/>
          <w:sz w:val="24"/>
        </w:rPr>
        <w:t>三、 页面内应用层级（一级 → 二级 → 推荐系列）</w:t>
      </w:r>
    </w:p>
    <w:p>
      <w:r>
        <w:rPr>
          <w:rFonts w:ascii="微软雅黑" w:hAnsi="微软雅黑" w:eastAsia="微软雅黑"/>
          <w:sz w:val="24"/>
        </w:rPr>
        <w:t>来源：application-instrument.html — appData 对象</w:t>
      </w:r>
    </w:p>
    <w:p>
      <w:r>
        <w:rPr>
          <w:rFonts w:ascii="宋体" w:hAnsi="宋体" w:eastAsia="宋体"/>
          <w:sz w:val="24"/>
        </w:rPr>
        <w:t>仪器仪表</w:t>
        <w:br/>
        <w:t>├── 精密测量 (data-tab="precision")</w:t>
        <w:br/>
        <w:t>│   ├── 数字万用表 → VKM, NPX</w:t>
        <w:br/>
        <w:t>│   ├── 示波器 → NPX, VKM</w:t>
        <w:br/>
        <w:t>│   ├── 频谱分析仪 → NPX, VHT</w:t>
        <w:br/>
        <w:t xml:space="preserve">    ├── LCR电桥 → VKM, LK</w:t>
        <w:br/>
        <w:t>├── 工业自动化 (data-tab="industrial")</w:t>
        <w:br/>
        <w:t>│   ├── PLC控制器 → VKM, NPX</w:t>
        <w:br/>
        <w:t>│   ├── 工业机器人 → VHT, VPG</w:t>
        <w:br/>
        <w:t>│   ├── 传感器变送器 → VKM, LK</w:t>
        <w:br/>
        <w:t xml:space="preserve">    ├── DCS系统 → VKM, NPX</w:t>
        <w:br/>
        <w:t>├── 医疗检测 (data-tab="medical")</w:t>
        <w:br/>
        <w:t>│   ├── 心电图机 → LK, VKM</w:t>
        <w:br/>
        <w:t>│   ├── 超声诊断仪 → NPX, VHT</w:t>
        <w:br/>
        <w:t>│   ├── 血氧仪 → VKM, NPX</w:t>
        <w:br/>
        <w:t xml:space="preserve">    ├── 监护仪 → VKM, LK</w:t>
        <w:br/>
        <w:t>├── 分析仪器 (data-tab="analytical")</w:t>
        <w:br/>
        <w:t>│   ├── 色谱仪 → LK, VKM</w:t>
        <w:br/>
        <w:t>│   ├── 质谱仪 → NPX, VHT</w:t>
        <w:br/>
        <w:t>│   ├── 光谱仪 → VKM, LK</w:t>
        <w:br/>
        <w:t xml:space="preserve">    ├── 电化学分析仪 → VKM, NPX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