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F1115"/>
          <w:sz w:val="24"/>
        </w:rPr>
        <w:t>《应用中心仪器仪表_页面结构描述_V1》2026-05-27</w:t>
      </w:r>
    </w:p>
    <w:p>
      <w:r>
        <w:rPr>
          <w:rFonts w:ascii="微软雅黑" w:hAnsi="微软雅黑" w:eastAsia="微软雅黑"/>
          <w:color w:val="0F1115"/>
          <w:sz w:val="24"/>
        </w:rPr>
        <w:t>一、整体框架</w:t>
      </w:r>
    </w:p>
    <w:p>
      <w:r>
        <w:rPr>
          <w:rFonts w:ascii="微软雅黑" w:hAnsi="微软雅黑" w:eastAsia="微软雅黑"/>
          <w:sz w:val="24"/>
        </w:rPr>
        <w:t>来源：application-instrument.html</w:t>
      </w:r>
    </w:p>
    <w:p>
      <w:r>
        <w:rPr>
          <w:rFonts w:ascii="微软雅黑" w:hAnsi="微软雅黑" w:eastAsia="微软雅黑"/>
          <w:sz w:val="24"/>
        </w:rPr>
        <w:t>• 布局：body.flex.flex-col.h-screen.overflow-hidden（全屏弹性布局）</w:t>
      </w:r>
    </w:p>
    <w:p>
      <w:r>
        <w:rPr>
          <w:rFonts w:ascii="微软雅黑" w:hAnsi="微软雅黑" w:eastAsia="微软雅黑"/>
          <w:sz w:val="24"/>
        </w:rPr>
        <w:t>• 顶部：&lt;header id="ymin-navbar"&gt; 固定导航（由 components/navbar.js 注入）</w:t>
      </w:r>
    </w:p>
    <w:p>
      <w:r>
        <w:rPr>
          <w:rFonts w:ascii="微软雅黑" w:hAnsi="微软雅黑" w:eastAsia="微软雅黑"/>
          <w:sz w:val="24"/>
        </w:rPr>
        <w:t>• 主体：&lt;main class="flex-1 overflow-y-auto custom-scrollbar bg-slate-50"&gt;（可滚动区域）</w:t>
      </w:r>
    </w:p>
    <w:p>
      <w:r>
        <w:rPr>
          <w:rFonts w:ascii="微软雅黑" w:hAnsi="微软雅黑" w:eastAsia="微软雅黑"/>
          <w:sz w:val="24"/>
        </w:rPr>
        <w:t>• 内容区：&lt;div class="max-w-7xl mx-auto px-6 py-8"&gt;（居中，最大宽度 1280px）</w:t>
      </w:r>
    </w:p>
    <w:p>
      <w:r>
        <w:rPr>
          <w:rFonts w:ascii="微软雅黑" w:hAnsi="微软雅黑" w:eastAsia="微软雅黑"/>
          <w:sz w:val="24"/>
        </w:rPr>
        <w:t>• 页脚：&lt;footer id="ymin-footer"&gt;（由 components/footer.js 注入）</w:t>
      </w:r>
    </w:p>
    <w:p>
      <w:r>
        <w:rPr>
          <w:rFonts w:ascii="微软雅黑" w:hAnsi="微软雅黑" w:eastAsia="微软雅黑"/>
          <w:color w:val="0F1115"/>
          <w:sz w:val="24"/>
        </w:rPr>
        <w:t>二、页面区块详细描述（从上至下）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区块名称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位置与布局描述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24"/>
              </w:rPr>
              <w:t>内容与功能说明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顶部导航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固定顶部 &lt;header&gt;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应用中心高亮，下拉中"仪器仪表"为当前页面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面包屑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主体顶部 &lt;nav&gt;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首页 / 应用中心 / 仪器仪表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概述区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左右两列（md:flex-row gap-8）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左列：H1标题"仪器仪表应用指南"、描述段落、特性标签（高精度 | 低漏电流 | 长寿命 | 宽温稳定）、下载按钮"仪器仪表应用选型指南"；右列：precision_manufacturing 图标占位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一级标签栏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全宽横向标签（flex-wrap, #tabContainer）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4个标签，点击切换下方内容，tab-active 下划线高亮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左侧二级子应用列表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纵向列表（#subtabContainer），固定宽度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根据一级标签动态显示子应用，subtab-active 深色高亮；下方"设计工具与资源"卡片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右侧详情区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自适应宽度（lg:col-span-3），#tabContent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子应用标题+图标、领域描述（bg-slate-50）、拓扑图 SVG、推荐产品卡片（product-card）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产品映射总览表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全宽表格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应用领域、封装、系列、温度范围/电压、典型寿命、关键特性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相关技术文章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列表 &lt;ul&gt;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5条技术文章，含标题链接 + 日期 + 分类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页脚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底部 &lt;footer&gt;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24"/>
              </w:rPr>
              <w:t>同应用中心总览页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