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A7249">
      <w:pPr>
        <w:jc w:val="center"/>
      </w:pPr>
      <w:r>
        <w:rPr>
          <w:rFonts w:ascii="微软雅黑" w:hAnsi="微软雅黑" w:eastAsia="微软雅黑"/>
          <w:b/>
          <w:color w:val="0F1115"/>
          <w:sz w:val="24"/>
        </w:rPr>
        <w:t>《应用中心消费类电子_页面结构描述_V1》2026-05-27</w:t>
      </w:r>
    </w:p>
    <w:p w14:paraId="0E4EA5DF">
      <w:r>
        <w:rPr>
          <w:rFonts w:ascii="微软雅黑" w:hAnsi="微软雅黑" w:eastAsia="微软雅黑"/>
          <w:color w:val="0F1115"/>
          <w:sz w:val="24"/>
        </w:rPr>
        <w:t>一、整体框架</w:t>
      </w:r>
    </w:p>
    <w:p w14:paraId="194F5814">
      <w:bookmarkStart w:id="0" w:name="_GoBack"/>
      <w:bookmarkEnd w:id="0"/>
      <w:r>
        <w:rPr>
          <w:rFonts w:ascii="微软雅黑" w:hAnsi="微软雅黑" w:eastAsia="微软雅黑"/>
          <w:sz w:val="24"/>
        </w:rPr>
        <w:t>• 布局：body.flex.flex-col.h-screen.overflow-hidden（全屏弹性布局）</w:t>
      </w:r>
    </w:p>
    <w:p w14:paraId="497F60A2">
      <w:r>
        <w:rPr>
          <w:rFonts w:ascii="微软雅黑" w:hAnsi="微软雅黑" w:eastAsia="微软雅黑"/>
          <w:sz w:val="24"/>
        </w:rPr>
        <w:t>• 顶部：&lt;header id="ymin-navbar"&gt; 固定导航（由 components/navbar.js 注入）</w:t>
      </w:r>
    </w:p>
    <w:p w14:paraId="25383D61">
      <w:r>
        <w:rPr>
          <w:rFonts w:ascii="微软雅黑" w:hAnsi="微软雅黑" w:eastAsia="微软雅黑"/>
          <w:sz w:val="24"/>
        </w:rPr>
        <w:t>• 主体：&lt;main class="flex-1 overflow-y-auto custom-scrollbar bg-slate-50"&gt;（可滚动区域）</w:t>
      </w:r>
    </w:p>
    <w:p w14:paraId="21ECEE20">
      <w:r>
        <w:rPr>
          <w:rFonts w:ascii="微软雅黑" w:hAnsi="微软雅黑" w:eastAsia="微软雅黑"/>
          <w:sz w:val="24"/>
        </w:rPr>
        <w:t>• 内容区：&lt;div class="max-w-7xl mx-auto px-6 py-8"&gt;（居中，最大宽度 1280px）</w:t>
      </w:r>
    </w:p>
    <w:p w14:paraId="20F1B4BA">
      <w:r>
        <w:rPr>
          <w:rFonts w:ascii="微软雅黑" w:hAnsi="微软雅黑" w:eastAsia="微软雅黑"/>
          <w:sz w:val="24"/>
        </w:rPr>
        <w:t>• 页脚：&lt;footer id="ymin-footer"&gt;（由 components/footer.js 注入）</w:t>
      </w:r>
    </w:p>
    <w:p w14:paraId="11ACE436">
      <w:r>
        <w:rPr>
          <w:rFonts w:ascii="微软雅黑" w:hAnsi="微软雅黑" w:eastAsia="微软雅黑"/>
          <w:color w:val="0F1115"/>
          <w:sz w:val="24"/>
        </w:rPr>
        <w:t>二、页面区块详细描述（从上至下）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901"/>
        <w:gridCol w:w="3000"/>
        <w:gridCol w:w="2055"/>
      </w:tblGrid>
      <w:tr w14:paraId="451AE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99FE1A">
            <w:r>
              <w:rPr>
                <w:rFonts w:ascii="微软雅黑" w:hAnsi="微软雅黑" w:eastAsia="微软雅黑"/>
                <w:b/>
                <w:sz w:val="24"/>
              </w:rPr>
              <w:t>序号</w:t>
            </w:r>
          </w:p>
        </w:tc>
        <w:tc>
          <w:tcPr>
            <w:tcW w:w="2160" w:type="dxa"/>
          </w:tcPr>
          <w:p w14:paraId="462CCAD7">
            <w:r>
              <w:rPr>
                <w:rFonts w:ascii="微软雅黑" w:hAnsi="微软雅黑" w:eastAsia="微软雅黑"/>
                <w:b/>
                <w:sz w:val="24"/>
              </w:rPr>
              <w:t>区块名称</w:t>
            </w:r>
          </w:p>
        </w:tc>
        <w:tc>
          <w:tcPr>
            <w:tcW w:w="2160" w:type="dxa"/>
          </w:tcPr>
          <w:p w14:paraId="7BE2E0FA">
            <w:r>
              <w:rPr>
                <w:rFonts w:ascii="微软雅黑" w:hAnsi="微软雅黑" w:eastAsia="微软雅黑"/>
                <w:b/>
                <w:sz w:val="24"/>
              </w:rPr>
              <w:t>位置与布局描述</w:t>
            </w:r>
          </w:p>
        </w:tc>
        <w:tc>
          <w:tcPr>
            <w:tcW w:w="2160" w:type="dxa"/>
          </w:tcPr>
          <w:p w14:paraId="040B9770">
            <w:r>
              <w:rPr>
                <w:rFonts w:ascii="微软雅黑" w:hAnsi="微软雅黑" w:eastAsia="微软雅黑"/>
                <w:b/>
                <w:sz w:val="24"/>
              </w:rPr>
              <w:t>内容与功能说明</w:t>
            </w:r>
          </w:p>
        </w:tc>
      </w:tr>
      <w:tr w14:paraId="48D0D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D916B8">
            <w:r>
              <w:rPr>
                <w:rFonts w:ascii="微软雅黑" w:hAnsi="微软雅黑" w:eastAsia="微软雅黑"/>
                <w:sz w:val="24"/>
              </w:rPr>
              <w:t>1</w:t>
            </w:r>
          </w:p>
        </w:tc>
        <w:tc>
          <w:tcPr>
            <w:tcW w:w="2160" w:type="dxa"/>
          </w:tcPr>
          <w:p w14:paraId="22288B5B">
            <w:r>
              <w:rPr>
                <w:rFonts w:ascii="微软雅黑" w:hAnsi="微软雅黑" w:eastAsia="微软雅黑"/>
                <w:sz w:val="24"/>
              </w:rPr>
              <w:t>顶部导航</w:t>
            </w:r>
          </w:p>
        </w:tc>
        <w:tc>
          <w:tcPr>
            <w:tcW w:w="2160" w:type="dxa"/>
          </w:tcPr>
          <w:p w14:paraId="05767A61">
            <w:r>
              <w:rPr>
                <w:rFonts w:ascii="微软雅黑" w:hAnsi="微软雅黑" w:eastAsia="微软雅黑"/>
                <w:sz w:val="24"/>
              </w:rPr>
              <w:t>固定顶部 &lt;header&gt;</w:t>
            </w:r>
          </w:p>
        </w:tc>
        <w:tc>
          <w:tcPr>
            <w:tcW w:w="2160" w:type="dxa"/>
          </w:tcPr>
          <w:p w14:paraId="4425D782">
            <w:r>
              <w:rPr>
                <w:rFonts w:ascii="微软雅黑" w:hAnsi="微软雅黑" w:eastAsia="微软雅黑"/>
                <w:sz w:val="24"/>
              </w:rPr>
              <w:t>应用中心高亮，下拉中"消费类电子"为当前页面</w:t>
            </w:r>
          </w:p>
        </w:tc>
      </w:tr>
      <w:tr w14:paraId="1FEDE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B28149">
            <w:r>
              <w:rPr>
                <w:rFonts w:ascii="微软雅黑" w:hAnsi="微软雅黑" w:eastAsia="微软雅黑"/>
                <w:sz w:val="24"/>
              </w:rPr>
              <w:t>2</w:t>
            </w:r>
          </w:p>
        </w:tc>
        <w:tc>
          <w:tcPr>
            <w:tcW w:w="2160" w:type="dxa"/>
          </w:tcPr>
          <w:p w14:paraId="072F0965">
            <w:r>
              <w:rPr>
                <w:rFonts w:ascii="微软雅黑" w:hAnsi="微软雅黑" w:eastAsia="微软雅黑"/>
                <w:sz w:val="24"/>
              </w:rPr>
              <w:t>面包屑</w:t>
            </w:r>
          </w:p>
        </w:tc>
        <w:tc>
          <w:tcPr>
            <w:tcW w:w="2160" w:type="dxa"/>
          </w:tcPr>
          <w:p w14:paraId="561245A8">
            <w:r>
              <w:rPr>
                <w:rFonts w:ascii="微软雅黑" w:hAnsi="微软雅黑" w:eastAsia="微软雅黑"/>
                <w:sz w:val="24"/>
              </w:rPr>
              <w:t>主体顶部 &lt;nav&gt;</w:t>
            </w:r>
          </w:p>
        </w:tc>
        <w:tc>
          <w:tcPr>
            <w:tcW w:w="2160" w:type="dxa"/>
          </w:tcPr>
          <w:p w14:paraId="2151DB0F">
            <w:r>
              <w:rPr>
                <w:rFonts w:ascii="微软雅黑" w:hAnsi="微软雅黑" w:eastAsia="微软雅黑"/>
                <w:sz w:val="24"/>
              </w:rPr>
              <w:t>首页 / 应用中心 / 消费类电子</w:t>
            </w:r>
          </w:p>
        </w:tc>
      </w:tr>
      <w:tr w14:paraId="2D50D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887A40">
            <w:r>
              <w:rPr>
                <w:rFonts w:ascii="微软雅黑" w:hAnsi="微软雅黑" w:eastAsia="微软雅黑"/>
                <w:sz w:val="24"/>
              </w:rPr>
              <w:t>3</w:t>
            </w:r>
          </w:p>
        </w:tc>
        <w:tc>
          <w:tcPr>
            <w:tcW w:w="2160" w:type="dxa"/>
          </w:tcPr>
          <w:p w14:paraId="3852F453">
            <w:r>
              <w:rPr>
                <w:rFonts w:ascii="微软雅黑" w:hAnsi="微软雅黑" w:eastAsia="微软雅黑"/>
                <w:sz w:val="24"/>
              </w:rPr>
              <w:t>概述区</w:t>
            </w:r>
          </w:p>
        </w:tc>
        <w:tc>
          <w:tcPr>
            <w:tcW w:w="2160" w:type="dxa"/>
          </w:tcPr>
          <w:p w14:paraId="3AF65A05">
            <w:r>
              <w:rPr>
                <w:rFonts w:ascii="微软雅黑" w:hAnsi="微软雅黑" w:eastAsia="微软雅黑"/>
                <w:sz w:val="24"/>
              </w:rPr>
              <w:t>左右两列（md:flex-row gap-8）</w:t>
            </w:r>
          </w:p>
        </w:tc>
        <w:tc>
          <w:tcPr>
            <w:tcW w:w="2160" w:type="dxa"/>
          </w:tcPr>
          <w:p w14:paraId="05A804A8">
            <w:r>
              <w:rPr>
                <w:rFonts w:ascii="微软雅黑" w:hAnsi="微软雅黑" w:eastAsia="微软雅黑"/>
                <w:sz w:val="24"/>
              </w:rPr>
              <w:t>左列：H1标题"消费类电子应用指南"、描述段落、特性标签（小型化 | 薄型化 | 低ESR | 高可靠性）、下载按钮"消费类电子应用选型指南"；右列：laptop 图标占位</w:t>
            </w:r>
          </w:p>
        </w:tc>
      </w:tr>
      <w:tr w14:paraId="7EC33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78EBD1">
            <w:r>
              <w:rPr>
                <w:rFonts w:ascii="微软雅黑" w:hAnsi="微软雅黑" w:eastAsia="微软雅黑"/>
                <w:sz w:val="24"/>
              </w:rPr>
              <w:t>4</w:t>
            </w:r>
          </w:p>
        </w:tc>
        <w:tc>
          <w:tcPr>
            <w:tcW w:w="2160" w:type="dxa"/>
          </w:tcPr>
          <w:p w14:paraId="15E13DE9">
            <w:r>
              <w:rPr>
                <w:rFonts w:ascii="微软雅黑" w:hAnsi="微软雅黑" w:eastAsia="微软雅黑"/>
                <w:sz w:val="24"/>
              </w:rPr>
              <w:t>一级标签栏</w:t>
            </w:r>
          </w:p>
        </w:tc>
        <w:tc>
          <w:tcPr>
            <w:tcW w:w="2160" w:type="dxa"/>
          </w:tcPr>
          <w:p w14:paraId="7AB9C86C">
            <w:r>
              <w:rPr>
                <w:rFonts w:ascii="微软雅黑" w:hAnsi="微软雅黑" w:eastAsia="微软雅黑"/>
                <w:sz w:val="24"/>
              </w:rPr>
              <w:t>全宽横向标签（flex-wrap, #tabContainer）</w:t>
            </w:r>
          </w:p>
        </w:tc>
        <w:tc>
          <w:tcPr>
            <w:tcW w:w="2160" w:type="dxa"/>
          </w:tcPr>
          <w:p w14:paraId="0B7230BF">
            <w:r>
              <w:rPr>
                <w:rFonts w:ascii="微软雅黑" w:hAnsi="微软雅黑" w:eastAsia="微软雅黑"/>
                <w:sz w:val="24"/>
              </w:rPr>
              <w:t>4个标签，点击切换下方内容，tab-active 下划线高亮</w:t>
            </w:r>
          </w:p>
        </w:tc>
      </w:tr>
      <w:tr w14:paraId="07F2F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2478E1">
            <w:r>
              <w:rPr>
                <w:rFonts w:ascii="微软雅黑" w:hAnsi="微软雅黑" w:eastAsia="微软雅黑"/>
                <w:sz w:val="24"/>
              </w:rPr>
              <w:t>5</w:t>
            </w:r>
          </w:p>
        </w:tc>
        <w:tc>
          <w:tcPr>
            <w:tcW w:w="2160" w:type="dxa"/>
          </w:tcPr>
          <w:p w14:paraId="3E080919">
            <w:r>
              <w:rPr>
                <w:rFonts w:ascii="微软雅黑" w:hAnsi="微软雅黑" w:eastAsia="微软雅黑"/>
                <w:sz w:val="24"/>
              </w:rPr>
              <w:t>左侧二级子应用列表</w:t>
            </w:r>
          </w:p>
        </w:tc>
        <w:tc>
          <w:tcPr>
            <w:tcW w:w="2160" w:type="dxa"/>
          </w:tcPr>
          <w:p w14:paraId="648BFCDB">
            <w:r>
              <w:rPr>
                <w:rFonts w:ascii="微软雅黑" w:hAnsi="微软雅黑" w:eastAsia="微软雅黑"/>
                <w:sz w:val="24"/>
              </w:rPr>
              <w:t>纵向列表（#subtabContainer），固定宽度</w:t>
            </w:r>
          </w:p>
        </w:tc>
        <w:tc>
          <w:tcPr>
            <w:tcW w:w="2160" w:type="dxa"/>
          </w:tcPr>
          <w:p w14:paraId="151E67BA">
            <w:r>
              <w:rPr>
                <w:rFonts w:ascii="微软雅黑" w:hAnsi="微软雅黑" w:eastAsia="微软雅黑"/>
                <w:sz w:val="24"/>
              </w:rPr>
              <w:t>根据一级标签动态显示子应用，subtab-active 深色高亮；下方"设计工具与资源"卡片</w:t>
            </w:r>
          </w:p>
        </w:tc>
      </w:tr>
      <w:tr w14:paraId="3B347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17F5AF">
            <w:r>
              <w:rPr>
                <w:rFonts w:ascii="微软雅黑" w:hAnsi="微软雅黑" w:eastAsia="微软雅黑"/>
                <w:sz w:val="24"/>
              </w:rPr>
              <w:t>6</w:t>
            </w:r>
          </w:p>
        </w:tc>
        <w:tc>
          <w:tcPr>
            <w:tcW w:w="2160" w:type="dxa"/>
          </w:tcPr>
          <w:p w14:paraId="2F6BEEAE">
            <w:r>
              <w:rPr>
                <w:rFonts w:ascii="微软雅黑" w:hAnsi="微软雅黑" w:eastAsia="微软雅黑"/>
                <w:sz w:val="24"/>
              </w:rPr>
              <w:t>右侧详情区</w:t>
            </w:r>
          </w:p>
        </w:tc>
        <w:tc>
          <w:tcPr>
            <w:tcW w:w="2160" w:type="dxa"/>
          </w:tcPr>
          <w:p w14:paraId="6BFA6FF9">
            <w:r>
              <w:rPr>
                <w:rFonts w:ascii="微软雅黑" w:hAnsi="微软雅黑" w:eastAsia="微软雅黑"/>
                <w:sz w:val="24"/>
              </w:rPr>
              <w:t>自适应宽度（lg:col-span-3），#tabContent</w:t>
            </w:r>
          </w:p>
        </w:tc>
        <w:tc>
          <w:tcPr>
            <w:tcW w:w="2160" w:type="dxa"/>
          </w:tcPr>
          <w:p w14:paraId="6FF45169">
            <w:r>
              <w:rPr>
                <w:rFonts w:ascii="微软雅黑" w:hAnsi="微软雅黑" w:eastAsia="微软雅黑"/>
                <w:sz w:val="24"/>
              </w:rPr>
              <w:t>子应用标题+图标、领域描述（bg-slate-50）、拓扑图 SVG、推荐产品卡片（product-card）</w:t>
            </w:r>
          </w:p>
        </w:tc>
      </w:tr>
      <w:tr w14:paraId="05FEE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AD7DF1">
            <w:r>
              <w:rPr>
                <w:rFonts w:ascii="微软雅黑" w:hAnsi="微软雅黑" w:eastAsia="微软雅黑"/>
                <w:sz w:val="24"/>
              </w:rPr>
              <w:t>7</w:t>
            </w:r>
          </w:p>
        </w:tc>
        <w:tc>
          <w:tcPr>
            <w:tcW w:w="2160" w:type="dxa"/>
          </w:tcPr>
          <w:p w14:paraId="37EA2F7C">
            <w:r>
              <w:rPr>
                <w:rFonts w:ascii="微软雅黑" w:hAnsi="微软雅黑" w:eastAsia="微软雅黑"/>
                <w:sz w:val="24"/>
              </w:rPr>
              <w:t>产品映射总览表</w:t>
            </w:r>
          </w:p>
        </w:tc>
        <w:tc>
          <w:tcPr>
            <w:tcW w:w="2160" w:type="dxa"/>
          </w:tcPr>
          <w:p w14:paraId="08D03B21">
            <w:r>
              <w:rPr>
                <w:rFonts w:ascii="微软雅黑" w:hAnsi="微软雅黑" w:eastAsia="微软雅黑"/>
                <w:sz w:val="24"/>
              </w:rPr>
              <w:t>全宽表格</w:t>
            </w:r>
          </w:p>
        </w:tc>
        <w:tc>
          <w:tcPr>
            <w:tcW w:w="2160" w:type="dxa"/>
          </w:tcPr>
          <w:p w14:paraId="78892369">
            <w:r>
              <w:rPr>
                <w:rFonts w:ascii="微软雅黑" w:hAnsi="微软雅黑" w:eastAsia="微软雅黑"/>
                <w:sz w:val="24"/>
              </w:rPr>
              <w:t>应用领域、封装、系列、温度范围/电压、典型寿命、关键特性</w:t>
            </w:r>
          </w:p>
        </w:tc>
      </w:tr>
      <w:tr w14:paraId="696FC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246073">
            <w:r>
              <w:rPr>
                <w:rFonts w:ascii="微软雅黑" w:hAnsi="微软雅黑" w:eastAsia="微软雅黑"/>
                <w:sz w:val="24"/>
              </w:rPr>
              <w:t>8</w:t>
            </w:r>
          </w:p>
        </w:tc>
        <w:tc>
          <w:tcPr>
            <w:tcW w:w="2160" w:type="dxa"/>
          </w:tcPr>
          <w:p w14:paraId="62FA6F4F">
            <w:r>
              <w:rPr>
                <w:rFonts w:ascii="微软雅黑" w:hAnsi="微软雅黑" w:eastAsia="微软雅黑"/>
                <w:sz w:val="24"/>
              </w:rPr>
              <w:t>相关技术文章</w:t>
            </w:r>
          </w:p>
        </w:tc>
        <w:tc>
          <w:tcPr>
            <w:tcW w:w="2160" w:type="dxa"/>
          </w:tcPr>
          <w:p w14:paraId="03C3C2CC">
            <w:r>
              <w:rPr>
                <w:rFonts w:ascii="微软雅黑" w:hAnsi="微软雅黑" w:eastAsia="微软雅黑"/>
                <w:sz w:val="24"/>
              </w:rPr>
              <w:t>列表 &lt;ul&gt;</w:t>
            </w:r>
          </w:p>
        </w:tc>
        <w:tc>
          <w:tcPr>
            <w:tcW w:w="2160" w:type="dxa"/>
          </w:tcPr>
          <w:p w14:paraId="3CAE80F1">
            <w:r>
              <w:rPr>
                <w:rFonts w:ascii="微软雅黑" w:hAnsi="微软雅黑" w:eastAsia="微软雅黑"/>
                <w:sz w:val="24"/>
              </w:rPr>
              <w:t>5条技术文章，含标题链接 + 日期 + 分类</w:t>
            </w:r>
          </w:p>
        </w:tc>
      </w:tr>
      <w:tr w14:paraId="15A00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293278">
            <w:r>
              <w:rPr>
                <w:rFonts w:ascii="微软雅黑" w:hAnsi="微软雅黑" w:eastAsia="微软雅黑"/>
                <w:sz w:val="24"/>
              </w:rPr>
              <w:t>9</w:t>
            </w:r>
          </w:p>
        </w:tc>
        <w:tc>
          <w:tcPr>
            <w:tcW w:w="2160" w:type="dxa"/>
          </w:tcPr>
          <w:p w14:paraId="208BA32D">
            <w:r>
              <w:rPr>
                <w:rFonts w:ascii="微软雅黑" w:hAnsi="微软雅黑" w:eastAsia="微软雅黑"/>
                <w:sz w:val="24"/>
              </w:rPr>
              <w:t>页脚</w:t>
            </w:r>
          </w:p>
        </w:tc>
        <w:tc>
          <w:tcPr>
            <w:tcW w:w="2160" w:type="dxa"/>
          </w:tcPr>
          <w:p w14:paraId="5F49DD48">
            <w:r>
              <w:rPr>
                <w:rFonts w:ascii="微软雅黑" w:hAnsi="微软雅黑" w:eastAsia="微软雅黑"/>
                <w:sz w:val="24"/>
              </w:rPr>
              <w:t>底部 &lt;footer&gt;</w:t>
            </w:r>
          </w:p>
        </w:tc>
        <w:tc>
          <w:tcPr>
            <w:tcW w:w="2160" w:type="dxa"/>
          </w:tcPr>
          <w:p w14:paraId="1BD3EC85">
            <w:r>
              <w:rPr>
                <w:rFonts w:ascii="微软雅黑" w:hAnsi="微软雅黑" w:eastAsia="微软雅黑"/>
                <w:sz w:val="24"/>
              </w:rPr>
              <w:t>同应用中心总览页</w:t>
            </w:r>
          </w:p>
        </w:tc>
      </w:tr>
    </w:tbl>
    <w:p w14:paraId="29ADB4F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D6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500</Words>
  <Characters>898</Characters>
  <Lines>0</Lines>
  <Paragraphs>0</Paragraphs>
  <TotalTime>0</TotalTime>
  <ScaleCrop>false</ScaleCrop>
  <LinksUpToDate>false</LinksUpToDate>
  <CharactersWithSpaces>943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WPS_1750757121</cp:lastModifiedBy>
  <dcterms:modified xsi:type="dcterms:W3CDTF">2026-05-28T05:31:20Z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eyJoZGlkIjoiYWI5MWViYTYyZWE2YjFkYzY4YmE5ODFhMWFkZjY1MTIiLCJ1c2VySWQiOiIxNzEzNTcwMjU2In0=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7D5F887B456440379865AD51782637DF_12</vt:lpwstr>
  </property>
</Properties>
</file>